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05187">
      <w:pPr>
        <w:spacing w:before="139" w:line="218" w:lineRule="auto"/>
        <w:ind w:left="570"/>
        <w:outlineLvl w:val="0"/>
        <w:rPr>
          <w:rFonts w:ascii="宋体" w:hAnsi="宋体" w:eastAsia="宋体" w:cs="宋体"/>
          <w:sz w:val="70"/>
          <w:szCs w:val="70"/>
        </w:rPr>
      </w:pPr>
      <w:r>
        <w:rPr>
          <w:rFonts w:ascii="宋体" w:hAnsi="宋体" w:eastAsia="宋体" w:cs="宋体"/>
          <w:spacing w:val="24"/>
          <w:sz w:val="70"/>
          <w:szCs w:val="70"/>
        </w:rPr>
        <w:t>建设项目环境影响报告表</w:t>
      </w:r>
    </w:p>
    <w:p w14:paraId="4AC9CC68">
      <w:pPr>
        <w:spacing w:before="190" w:line="219" w:lineRule="auto"/>
        <w:ind w:left="2020"/>
        <w:rPr>
          <w:rFonts w:ascii="宋体" w:hAnsi="宋体" w:eastAsia="宋体" w:cs="宋体"/>
          <w:sz w:val="48"/>
          <w:szCs w:val="48"/>
        </w:rPr>
      </w:pPr>
      <w:r>
        <w:rPr>
          <w:rFonts w:ascii="宋体" w:hAnsi="宋体" w:eastAsia="宋体" w:cs="宋体"/>
          <w:spacing w:val="30"/>
          <w:sz w:val="48"/>
          <w:szCs w:val="48"/>
        </w:rPr>
        <w:t>(生态影响类)(报批稿)</w:t>
      </w:r>
    </w:p>
    <w:p w14:paraId="45918166">
      <w:pPr>
        <w:pStyle w:val="2"/>
        <w:spacing w:line="249" w:lineRule="auto"/>
      </w:pPr>
    </w:p>
    <w:p w14:paraId="02DDB86D">
      <w:pPr>
        <w:pStyle w:val="2"/>
        <w:spacing w:line="249" w:lineRule="auto"/>
      </w:pPr>
    </w:p>
    <w:p w14:paraId="52CA646E">
      <w:pPr>
        <w:pStyle w:val="2"/>
        <w:spacing w:line="249" w:lineRule="auto"/>
      </w:pPr>
    </w:p>
    <w:p w14:paraId="3D2D6359">
      <w:pPr>
        <w:pStyle w:val="2"/>
        <w:spacing w:line="249" w:lineRule="auto"/>
      </w:pPr>
    </w:p>
    <w:p w14:paraId="7066CE85">
      <w:pPr>
        <w:pStyle w:val="2"/>
        <w:spacing w:line="249" w:lineRule="auto"/>
      </w:pPr>
    </w:p>
    <w:p w14:paraId="72462627">
      <w:pPr>
        <w:pStyle w:val="2"/>
        <w:spacing w:line="249" w:lineRule="auto"/>
      </w:pPr>
    </w:p>
    <w:p w14:paraId="08B4F441">
      <w:pPr>
        <w:pStyle w:val="2"/>
        <w:spacing w:line="249" w:lineRule="auto"/>
      </w:pPr>
    </w:p>
    <w:p w14:paraId="1684988B">
      <w:pPr>
        <w:pStyle w:val="2"/>
        <w:spacing w:line="249" w:lineRule="auto"/>
      </w:pPr>
    </w:p>
    <w:p w14:paraId="2099792A">
      <w:pPr>
        <w:pStyle w:val="2"/>
        <w:spacing w:line="249" w:lineRule="auto"/>
      </w:pPr>
    </w:p>
    <w:p w14:paraId="0876111C">
      <w:pPr>
        <w:pStyle w:val="2"/>
        <w:spacing w:line="249" w:lineRule="auto"/>
      </w:pPr>
    </w:p>
    <w:p w14:paraId="062AF87B">
      <w:pPr>
        <w:pStyle w:val="2"/>
        <w:spacing w:line="249" w:lineRule="auto"/>
      </w:pPr>
    </w:p>
    <w:p w14:paraId="707D378D">
      <w:pPr>
        <w:pStyle w:val="2"/>
        <w:spacing w:line="250" w:lineRule="auto"/>
      </w:pPr>
    </w:p>
    <w:p w14:paraId="5905CD2E">
      <w:pPr>
        <w:pStyle w:val="2"/>
        <w:spacing w:line="250" w:lineRule="auto"/>
      </w:pPr>
    </w:p>
    <w:p w14:paraId="1EB114B3">
      <w:pPr>
        <w:spacing w:before="130" w:line="226" w:lineRule="auto"/>
        <w:rPr>
          <w:rFonts w:ascii="宋体" w:hAnsi="宋体" w:eastAsia="宋体" w:cs="宋体"/>
          <w:sz w:val="40"/>
          <w:szCs w:val="40"/>
        </w:rPr>
      </w:pPr>
      <w:r>
        <w:drawing>
          <wp:anchor distT="0" distB="0" distL="0" distR="0" simplePos="0" relativeHeight="251659264" behindDoc="0" locked="0" layoutInCell="1" allowOverlap="1">
            <wp:simplePos x="0" y="0"/>
            <wp:positionH relativeFrom="column">
              <wp:posOffset>2762250</wp:posOffset>
            </wp:positionH>
            <wp:positionV relativeFrom="paragraph">
              <wp:posOffset>-329565</wp:posOffset>
            </wp:positionV>
            <wp:extent cx="1543050" cy="15430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53"/>
                    <a:stretch>
                      <a:fillRect/>
                    </a:stretch>
                  </pic:blipFill>
                  <pic:spPr>
                    <a:xfrm>
                      <a:off x="0" y="0"/>
                      <a:ext cx="1543048" cy="1543117"/>
                    </a:xfrm>
                    <a:prstGeom prst="rect">
                      <a:avLst/>
                    </a:prstGeom>
                  </pic:spPr>
                </pic:pic>
              </a:graphicData>
            </a:graphic>
          </wp:anchor>
        </w:drawing>
      </w:r>
      <w:r>
        <w:rPr>
          <w:rFonts w:ascii="仿宋" w:hAnsi="仿宋" w:eastAsia="仿宋" w:cs="仿宋"/>
          <w:spacing w:val="38"/>
          <w:position w:val="2"/>
          <w:sz w:val="39"/>
          <w:szCs w:val="39"/>
        </w:rPr>
        <w:t>项目名称：</w:t>
      </w:r>
      <w:r>
        <w:rPr>
          <w:rFonts w:ascii="宋体" w:hAnsi="宋体" w:eastAsia="宋体" w:cs="宋体"/>
          <w:spacing w:val="89"/>
          <w:sz w:val="40"/>
          <w:szCs w:val="40"/>
          <w:u w:val="single" w:color="auto"/>
        </w:rPr>
        <w:t xml:space="preserve">  </w:t>
      </w:r>
      <w:r>
        <w:rPr>
          <w:rFonts w:ascii="宋体" w:hAnsi="宋体" w:eastAsia="宋体" w:cs="宋体"/>
          <w:spacing w:val="38"/>
          <w:sz w:val="40"/>
          <w:szCs w:val="40"/>
          <w:u w:val="single" w:color="auto"/>
        </w:rPr>
        <w:t>几沃梁子农光互补光伏发电项目</w:t>
      </w:r>
      <w:r>
        <w:rPr>
          <w:rFonts w:ascii="宋体" w:hAnsi="宋体" w:eastAsia="宋体" w:cs="宋体"/>
          <w:sz w:val="40"/>
          <w:szCs w:val="40"/>
          <w:u w:val="single" w:color="auto"/>
        </w:rPr>
        <w:t xml:space="preserve">  </w:t>
      </w:r>
    </w:p>
    <w:p w14:paraId="539632E7">
      <w:pPr>
        <w:spacing w:before="285" w:line="219" w:lineRule="auto"/>
        <w:rPr>
          <w:rFonts w:ascii="宋体" w:hAnsi="宋体" w:eastAsia="宋体" w:cs="宋体"/>
          <w:sz w:val="39"/>
          <w:szCs w:val="39"/>
        </w:rPr>
      </w:pPr>
      <w:r>
        <w:rPr>
          <w:rFonts w:ascii="宋体" w:hAnsi="宋体" w:eastAsia="宋体" w:cs="宋体"/>
          <w:spacing w:val="25"/>
          <w:sz w:val="39"/>
          <w:szCs w:val="39"/>
        </w:rPr>
        <w:t xml:space="preserve">建设单位(盖章): </w:t>
      </w:r>
      <w:r>
        <w:rPr>
          <w:rFonts w:ascii="宋体" w:hAnsi="宋体" w:eastAsia="宋体" w:cs="宋体"/>
          <w:spacing w:val="75"/>
          <w:sz w:val="39"/>
          <w:szCs w:val="39"/>
          <w:u w:val="single" w:color="auto"/>
        </w:rPr>
        <w:t xml:space="preserve">  </w:t>
      </w:r>
      <w:r>
        <w:rPr>
          <w:rFonts w:ascii="宋体" w:hAnsi="宋体" w:eastAsia="宋体" w:cs="宋体"/>
          <w:spacing w:val="25"/>
          <w:sz w:val="39"/>
          <w:szCs w:val="39"/>
          <w:u w:val="single" w:color="auto"/>
        </w:rPr>
        <w:t>曲靖晶瑞新能源有限公司</w:t>
      </w:r>
      <w:r>
        <w:rPr>
          <w:rFonts w:ascii="宋体" w:hAnsi="宋体" w:eastAsia="宋体" w:cs="宋体"/>
          <w:sz w:val="39"/>
          <w:szCs w:val="39"/>
          <w:u w:val="single" w:color="auto"/>
        </w:rPr>
        <w:t xml:space="preserve">  </w:t>
      </w:r>
    </w:p>
    <w:p w14:paraId="73B140FF">
      <w:pPr>
        <w:pStyle w:val="2"/>
        <w:spacing w:line="350" w:lineRule="auto"/>
      </w:pPr>
    </w:p>
    <w:p w14:paraId="137B973B">
      <w:pPr>
        <w:spacing w:before="127" w:line="224" w:lineRule="auto"/>
        <w:rPr>
          <w:rFonts w:ascii="宋体" w:hAnsi="宋体" w:eastAsia="宋体" w:cs="宋体"/>
          <w:sz w:val="39"/>
          <w:szCs w:val="39"/>
        </w:rPr>
      </w:pPr>
      <w:r>
        <w:rPr>
          <w:rFonts w:ascii="宋体" w:hAnsi="宋体" w:eastAsia="宋体" w:cs="宋体"/>
          <w:spacing w:val="-25"/>
          <w:position w:val="2"/>
          <w:sz w:val="39"/>
          <w:szCs w:val="39"/>
        </w:rPr>
        <w:t>编制日期：</w:t>
      </w:r>
      <w:r>
        <w:rPr>
          <w:rFonts w:ascii="宋体" w:hAnsi="宋体" w:eastAsia="宋体" w:cs="宋体"/>
          <w:position w:val="-2"/>
          <w:sz w:val="39"/>
          <w:szCs w:val="39"/>
          <w:u w:val="single" w:color="auto"/>
        </w:rPr>
        <w:t xml:space="preserve">        </w:t>
      </w:r>
      <w:r>
        <w:rPr>
          <w:rFonts w:ascii="宋体" w:hAnsi="宋体" w:eastAsia="宋体" w:cs="宋体"/>
          <w:spacing w:val="-25"/>
          <w:position w:val="-2"/>
          <w:sz w:val="39"/>
          <w:szCs w:val="39"/>
          <w:u w:val="single" w:color="auto"/>
        </w:rPr>
        <w:t>二 O</w:t>
      </w:r>
      <w:r>
        <w:rPr>
          <w:rFonts w:ascii="宋体" w:hAnsi="宋体" w:eastAsia="宋体" w:cs="宋体"/>
          <w:spacing w:val="19"/>
          <w:position w:val="-2"/>
          <w:sz w:val="39"/>
          <w:szCs w:val="39"/>
          <w:u w:val="single" w:color="auto"/>
        </w:rPr>
        <w:t xml:space="preserve"> </w:t>
      </w:r>
      <w:r>
        <w:rPr>
          <w:rFonts w:ascii="宋体" w:hAnsi="宋体" w:eastAsia="宋体" w:cs="宋体"/>
          <w:spacing w:val="-25"/>
          <w:position w:val="-2"/>
          <w:sz w:val="39"/>
          <w:szCs w:val="39"/>
          <w:u w:val="single" w:color="auto"/>
        </w:rPr>
        <w:t>二</w:t>
      </w:r>
      <w:r>
        <w:rPr>
          <w:rFonts w:ascii="宋体" w:hAnsi="宋体" w:eastAsia="宋体" w:cs="宋体"/>
          <w:spacing w:val="47"/>
          <w:position w:val="-2"/>
          <w:sz w:val="39"/>
          <w:szCs w:val="39"/>
          <w:u w:val="single" w:color="auto"/>
        </w:rPr>
        <w:t xml:space="preserve"> </w:t>
      </w:r>
      <w:r>
        <w:rPr>
          <w:rFonts w:ascii="宋体" w:hAnsi="宋体" w:eastAsia="宋体" w:cs="宋体"/>
          <w:spacing w:val="-25"/>
          <w:position w:val="-2"/>
          <w:sz w:val="39"/>
          <w:szCs w:val="39"/>
          <w:u w:val="single" w:color="auto"/>
        </w:rPr>
        <w:t>四</w:t>
      </w:r>
      <w:r>
        <w:rPr>
          <w:rFonts w:ascii="宋体" w:hAnsi="宋体" w:eastAsia="宋体" w:cs="宋体"/>
          <w:spacing w:val="12"/>
          <w:position w:val="-2"/>
          <w:sz w:val="39"/>
          <w:szCs w:val="39"/>
          <w:u w:val="single" w:color="auto"/>
        </w:rPr>
        <w:t xml:space="preserve"> </w:t>
      </w:r>
      <w:r>
        <w:rPr>
          <w:rFonts w:ascii="宋体" w:hAnsi="宋体" w:eastAsia="宋体" w:cs="宋体"/>
          <w:spacing w:val="-25"/>
          <w:position w:val="-2"/>
          <w:sz w:val="39"/>
          <w:szCs w:val="39"/>
          <w:u w:val="single" w:color="auto"/>
        </w:rPr>
        <w:t>年</w:t>
      </w:r>
      <w:r>
        <w:rPr>
          <w:rFonts w:ascii="宋体" w:hAnsi="宋体" w:eastAsia="宋体" w:cs="宋体"/>
          <w:spacing w:val="13"/>
          <w:position w:val="-2"/>
          <w:sz w:val="39"/>
          <w:szCs w:val="39"/>
          <w:u w:val="single" w:color="auto"/>
        </w:rPr>
        <w:t xml:space="preserve"> </w:t>
      </w:r>
      <w:r>
        <w:rPr>
          <w:rFonts w:ascii="宋体" w:hAnsi="宋体" w:eastAsia="宋体" w:cs="宋体"/>
          <w:spacing w:val="-25"/>
          <w:position w:val="-2"/>
          <w:sz w:val="39"/>
          <w:szCs w:val="39"/>
          <w:u w:val="single" w:color="auto"/>
        </w:rPr>
        <w:t>十</w:t>
      </w:r>
      <w:r>
        <w:rPr>
          <w:rFonts w:ascii="宋体" w:hAnsi="宋体" w:eastAsia="宋体" w:cs="宋体"/>
          <w:spacing w:val="16"/>
          <w:position w:val="-2"/>
          <w:sz w:val="39"/>
          <w:szCs w:val="39"/>
          <w:u w:val="single" w:color="auto"/>
        </w:rPr>
        <w:t xml:space="preserve"> </w:t>
      </w:r>
      <w:r>
        <w:rPr>
          <w:rFonts w:ascii="宋体" w:hAnsi="宋体" w:eastAsia="宋体" w:cs="宋体"/>
          <w:spacing w:val="-25"/>
          <w:position w:val="-2"/>
          <w:sz w:val="39"/>
          <w:szCs w:val="39"/>
          <w:u w:val="single" w:color="auto"/>
        </w:rPr>
        <w:t>一</w:t>
      </w:r>
      <w:r>
        <w:rPr>
          <w:rFonts w:ascii="宋体" w:hAnsi="宋体" w:eastAsia="宋体" w:cs="宋体"/>
          <w:spacing w:val="20"/>
          <w:position w:val="-2"/>
          <w:sz w:val="39"/>
          <w:szCs w:val="39"/>
          <w:u w:val="single" w:color="auto"/>
        </w:rPr>
        <w:t xml:space="preserve"> </w:t>
      </w:r>
      <w:r>
        <w:rPr>
          <w:rFonts w:ascii="宋体" w:hAnsi="宋体" w:eastAsia="宋体" w:cs="宋体"/>
          <w:spacing w:val="-25"/>
          <w:position w:val="-2"/>
          <w:sz w:val="39"/>
          <w:szCs w:val="39"/>
          <w:u w:val="single" w:color="auto"/>
        </w:rPr>
        <w:t>月</w:t>
      </w:r>
      <w:r>
        <w:rPr>
          <w:rFonts w:ascii="宋体" w:hAnsi="宋体" w:eastAsia="宋体" w:cs="宋体"/>
          <w:position w:val="-2"/>
          <w:sz w:val="39"/>
          <w:szCs w:val="39"/>
          <w:u w:val="single" w:color="auto"/>
        </w:rPr>
        <w:t xml:space="preserve">        </w:t>
      </w:r>
    </w:p>
    <w:p w14:paraId="100AFDDF">
      <w:pPr>
        <w:pStyle w:val="2"/>
        <w:spacing w:line="252" w:lineRule="auto"/>
      </w:pPr>
    </w:p>
    <w:p w14:paraId="116570CF">
      <w:pPr>
        <w:pStyle w:val="2"/>
        <w:spacing w:line="252" w:lineRule="auto"/>
      </w:pPr>
    </w:p>
    <w:p w14:paraId="0FA040F9">
      <w:pPr>
        <w:pStyle w:val="2"/>
        <w:spacing w:line="252" w:lineRule="auto"/>
      </w:pPr>
    </w:p>
    <w:p w14:paraId="58AD2816">
      <w:pPr>
        <w:pStyle w:val="2"/>
        <w:spacing w:line="252" w:lineRule="auto"/>
      </w:pPr>
    </w:p>
    <w:p w14:paraId="1C2F45B3">
      <w:pPr>
        <w:pStyle w:val="2"/>
        <w:spacing w:line="252" w:lineRule="auto"/>
      </w:pPr>
    </w:p>
    <w:p w14:paraId="498FD80A">
      <w:pPr>
        <w:pStyle w:val="2"/>
        <w:spacing w:line="252" w:lineRule="auto"/>
      </w:pPr>
    </w:p>
    <w:p w14:paraId="6E141E26">
      <w:pPr>
        <w:pStyle w:val="2"/>
        <w:spacing w:line="252" w:lineRule="auto"/>
      </w:pPr>
    </w:p>
    <w:p w14:paraId="37324BC6">
      <w:pPr>
        <w:pStyle w:val="2"/>
        <w:spacing w:line="252" w:lineRule="auto"/>
      </w:pPr>
    </w:p>
    <w:p w14:paraId="1569F313">
      <w:pPr>
        <w:pStyle w:val="2"/>
        <w:spacing w:line="252" w:lineRule="auto"/>
      </w:pPr>
    </w:p>
    <w:p w14:paraId="4DB89EAA">
      <w:pPr>
        <w:pStyle w:val="2"/>
        <w:spacing w:line="252" w:lineRule="auto"/>
      </w:pPr>
    </w:p>
    <w:p w14:paraId="3E7CA619">
      <w:pPr>
        <w:pStyle w:val="2"/>
        <w:spacing w:line="253" w:lineRule="auto"/>
      </w:pPr>
    </w:p>
    <w:p w14:paraId="4D1CCB26">
      <w:pPr>
        <w:spacing w:before="127" w:line="219" w:lineRule="auto"/>
        <w:ind w:left="2100"/>
        <w:rPr>
          <w:rFonts w:ascii="宋体" w:hAnsi="宋体" w:eastAsia="宋体" w:cs="宋体"/>
          <w:sz w:val="39"/>
          <w:szCs w:val="39"/>
        </w:rPr>
      </w:pPr>
      <w:r>
        <w:rPr>
          <w:rFonts w:ascii="宋体" w:hAnsi="宋体" w:eastAsia="宋体" w:cs="宋体"/>
          <w:spacing w:val="-20"/>
          <w:sz w:val="39"/>
          <w:szCs w:val="39"/>
        </w:rPr>
        <w:t>中华人民共和国生态环境部制</w:t>
      </w:r>
    </w:p>
    <w:p w14:paraId="30885535">
      <w:pPr>
        <w:pStyle w:val="2"/>
        <w:spacing w:line="247" w:lineRule="auto"/>
      </w:pPr>
    </w:p>
    <w:p w14:paraId="4DC86013">
      <w:pPr>
        <w:pStyle w:val="2"/>
        <w:spacing w:line="247" w:lineRule="auto"/>
      </w:pPr>
    </w:p>
    <w:p w14:paraId="1DAB3B2D">
      <w:pPr>
        <w:pStyle w:val="2"/>
        <w:spacing w:line="247" w:lineRule="auto"/>
      </w:pPr>
    </w:p>
    <w:p w14:paraId="703BC985">
      <w:pPr>
        <w:pStyle w:val="2"/>
        <w:spacing w:line="247" w:lineRule="auto"/>
      </w:pPr>
    </w:p>
    <w:p w14:paraId="42D37A9B">
      <w:pPr>
        <w:pStyle w:val="2"/>
        <w:spacing w:line="248" w:lineRule="auto"/>
      </w:pPr>
    </w:p>
    <w:p w14:paraId="703FDF95">
      <w:pPr>
        <w:pStyle w:val="2"/>
        <w:spacing w:line="248" w:lineRule="auto"/>
      </w:pPr>
    </w:p>
    <w:p w14:paraId="1D57A0A6">
      <w:pPr>
        <w:pStyle w:val="2"/>
        <w:spacing w:line="248" w:lineRule="auto"/>
      </w:pPr>
    </w:p>
    <w:p w14:paraId="5603F87D">
      <w:pPr>
        <w:pStyle w:val="2"/>
        <w:spacing w:line="248" w:lineRule="auto"/>
      </w:pPr>
    </w:p>
    <w:p w14:paraId="42B06B70">
      <w:pPr>
        <w:pStyle w:val="2"/>
        <w:spacing w:line="248" w:lineRule="auto"/>
      </w:pPr>
    </w:p>
    <w:p w14:paraId="006861B3">
      <w:pPr>
        <w:pStyle w:val="2"/>
        <w:spacing w:line="248" w:lineRule="auto"/>
      </w:pPr>
    </w:p>
    <w:p w14:paraId="78D6B8AA">
      <w:pPr>
        <w:pStyle w:val="2"/>
        <w:spacing w:line="248" w:lineRule="auto"/>
      </w:pPr>
    </w:p>
    <w:p w14:paraId="726EE23E">
      <w:pPr>
        <w:pStyle w:val="2"/>
        <w:spacing w:line="248" w:lineRule="auto"/>
      </w:pPr>
    </w:p>
    <w:p w14:paraId="69176B68">
      <w:pPr>
        <w:pStyle w:val="2"/>
        <w:spacing w:line="248" w:lineRule="auto"/>
      </w:pPr>
    </w:p>
    <w:p w14:paraId="570138FE">
      <w:pPr>
        <w:pStyle w:val="2"/>
        <w:spacing w:line="248" w:lineRule="auto"/>
      </w:pPr>
    </w:p>
    <w:p w14:paraId="4AE5A8B6">
      <w:pPr>
        <w:pStyle w:val="2"/>
        <w:spacing w:line="248" w:lineRule="auto"/>
      </w:pPr>
    </w:p>
    <w:p w14:paraId="64FE6786">
      <w:pPr>
        <w:pStyle w:val="2"/>
        <w:spacing w:line="248" w:lineRule="auto"/>
      </w:pPr>
    </w:p>
    <w:p w14:paraId="50FF830A">
      <w:pPr>
        <w:spacing w:before="63"/>
        <w:jc w:val="right"/>
        <w:rPr>
          <w:rFonts w:ascii="黑体" w:hAnsi="黑体" w:eastAsia="黑体" w:cs="黑体"/>
          <w:sz w:val="19"/>
          <w:szCs w:val="19"/>
        </w:rPr>
      </w:pPr>
      <w:r>
        <w:rPr>
          <w:rFonts w:ascii="黑体" w:hAnsi="黑体" w:eastAsia="黑体" w:cs="黑体"/>
          <w:position w:val="-13"/>
          <w:sz w:val="19"/>
          <w:szCs w:val="19"/>
        </w:rPr>
        <w:drawing>
          <wp:inline distT="0" distB="0" distL="0" distR="0">
            <wp:extent cx="228600" cy="2279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54"/>
                    <a:stretch>
                      <a:fillRect/>
                    </a:stretch>
                  </pic:blipFill>
                  <pic:spPr>
                    <a:xfrm>
                      <a:off x="0" y="0"/>
                      <a:ext cx="228625" cy="228546"/>
                    </a:xfrm>
                    <a:prstGeom prst="rect">
                      <a:avLst/>
                    </a:prstGeom>
                  </pic:spPr>
                </pic:pic>
              </a:graphicData>
            </a:graphic>
          </wp:inline>
        </w:drawing>
      </w:r>
      <w:r>
        <w:rPr>
          <w:rFonts w:ascii="黑体" w:hAnsi="黑体" w:eastAsia="黑体" w:cs="黑体"/>
          <w:b/>
          <w:bCs/>
          <w:spacing w:val="13"/>
          <w:sz w:val="19"/>
          <w:szCs w:val="19"/>
        </w:rPr>
        <w:t>扫描全能王</w:t>
      </w:r>
    </w:p>
    <w:p w14:paraId="5DE21E85">
      <w:pPr>
        <w:spacing w:before="22" w:line="212" w:lineRule="auto"/>
        <w:ind w:left="8850"/>
        <w:rPr>
          <w:rFonts w:ascii="Times New Roman" w:hAnsi="Times New Roman" w:eastAsia="Times New Roman" w:cs="Times New Roman"/>
          <w:sz w:val="11"/>
          <w:szCs w:val="11"/>
        </w:rPr>
      </w:pPr>
      <w:r>
        <w:rPr>
          <w:rFonts w:ascii="黑体" w:hAnsi="黑体" w:eastAsia="黑体" w:cs="黑体"/>
          <w:spacing w:val="-3"/>
          <w:sz w:val="11"/>
          <w:szCs w:val="11"/>
        </w:rPr>
        <w:t>3</w:t>
      </w:r>
      <w:r>
        <w:rPr>
          <w:rFonts w:ascii="黑体" w:hAnsi="黑体" w:eastAsia="黑体" w:cs="黑体"/>
          <w:spacing w:val="-20"/>
          <w:sz w:val="11"/>
          <w:szCs w:val="11"/>
        </w:rPr>
        <w:t xml:space="preserve"> </w:t>
      </w:r>
      <w:r>
        <w:rPr>
          <w:rFonts w:ascii="黑体" w:hAnsi="黑体" w:eastAsia="黑体" w:cs="黑体"/>
          <w:spacing w:val="-3"/>
          <w:sz w:val="11"/>
          <w:szCs w:val="11"/>
        </w:rPr>
        <w:t>亿</w:t>
      </w:r>
      <w:r>
        <w:rPr>
          <w:rFonts w:ascii="黑体" w:hAnsi="黑体" w:eastAsia="黑体" w:cs="黑体"/>
          <w:spacing w:val="-23"/>
          <w:sz w:val="11"/>
          <w:szCs w:val="11"/>
        </w:rPr>
        <w:t xml:space="preserve"> </w:t>
      </w:r>
      <w:r>
        <w:rPr>
          <w:rFonts w:ascii="黑体" w:hAnsi="黑体" w:eastAsia="黑体" w:cs="黑体"/>
          <w:spacing w:val="-3"/>
          <w:sz w:val="11"/>
          <w:szCs w:val="11"/>
        </w:rPr>
        <w:t>人</w:t>
      </w:r>
      <w:r>
        <w:rPr>
          <w:rFonts w:ascii="黑体" w:hAnsi="黑体" w:eastAsia="黑体" w:cs="黑体"/>
          <w:spacing w:val="-24"/>
          <w:sz w:val="11"/>
          <w:szCs w:val="11"/>
        </w:rPr>
        <w:t xml:space="preserve"> </w:t>
      </w:r>
      <w:r>
        <w:rPr>
          <w:rFonts w:ascii="黑体" w:hAnsi="黑体" w:eastAsia="黑体" w:cs="黑体"/>
          <w:spacing w:val="-3"/>
          <w:sz w:val="11"/>
          <w:szCs w:val="11"/>
        </w:rPr>
        <w:t>都</w:t>
      </w:r>
      <w:r>
        <w:rPr>
          <w:rFonts w:ascii="黑体" w:hAnsi="黑体" w:eastAsia="黑体" w:cs="黑体"/>
          <w:spacing w:val="-25"/>
          <w:sz w:val="11"/>
          <w:szCs w:val="11"/>
        </w:rPr>
        <w:t xml:space="preserve"> </w:t>
      </w:r>
      <w:r>
        <w:rPr>
          <w:rFonts w:ascii="黑体" w:hAnsi="黑体" w:eastAsia="黑体" w:cs="黑体"/>
          <w:spacing w:val="-3"/>
          <w:sz w:val="11"/>
          <w:szCs w:val="11"/>
        </w:rPr>
        <w:t>在</w:t>
      </w:r>
      <w:r>
        <w:rPr>
          <w:rFonts w:ascii="黑体" w:hAnsi="黑体" w:eastAsia="黑体" w:cs="黑体"/>
          <w:spacing w:val="-22"/>
          <w:sz w:val="11"/>
          <w:szCs w:val="11"/>
        </w:rPr>
        <w:t xml:space="preserve"> </w:t>
      </w:r>
      <w:r>
        <w:rPr>
          <w:rFonts w:ascii="黑体" w:hAnsi="黑体" w:eastAsia="黑体" w:cs="黑体"/>
          <w:spacing w:val="-3"/>
          <w:sz w:val="11"/>
          <w:szCs w:val="11"/>
        </w:rPr>
        <w:t>用</w:t>
      </w:r>
      <w:r>
        <w:rPr>
          <w:rFonts w:ascii="黑体" w:hAnsi="黑体" w:eastAsia="黑体" w:cs="黑体"/>
          <w:spacing w:val="-18"/>
          <w:sz w:val="11"/>
          <w:szCs w:val="11"/>
        </w:rPr>
        <w:t xml:space="preserve"> </w:t>
      </w:r>
      <w:r>
        <w:rPr>
          <w:rFonts w:ascii="黑体" w:hAnsi="黑体" w:eastAsia="黑体" w:cs="黑体"/>
          <w:spacing w:val="-3"/>
          <w:sz w:val="11"/>
          <w:szCs w:val="11"/>
        </w:rPr>
        <w:t>的</w:t>
      </w:r>
      <w:r>
        <w:rPr>
          <w:rFonts w:ascii="黑体" w:hAnsi="黑体" w:eastAsia="黑体" w:cs="黑体"/>
          <w:spacing w:val="-25"/>
          <w:sz w:val="11"/>
          <w:szCs w:val="11"/>
        </w:rPr>
        <w:t xml:space="preserve"> </w:t>
      </w:r>
      <w:r>
        <w:rPr>
          <w:rFonts w:ascii="黑体" w:hAnsi="黑体" w:eastAsia="黑体" w:cs="黑体"/>
          <w:spacing w:val="-3"/>
          <w:sz w:val="11"/>
          <w:szCs w:val="11"/>
        </w:rPr>
        <w:t>扫</w:t>
      </w:r>
      <w:r>
        <w:rPr>
          <w:rFonts w:ascii="黑体" w:hAnsi="黑体" w:eastAsia="黑体" w:cs="黑体"/>
          <w:spacing w:val="-24"/>
          <w:sz w:val="11"/>
          <w:szCs w:val="11"/>
        </w:rPr>
        <w:t xml:space="preserve"> </w:t>
      </w:r>
      <w:r>
        <w:rPr>
          <w:rFonts w:ascii="黑体" w:hAnsi="黑体" w:eastAsia="黑体" w:cs="黑体"/>
          <w:spacing w:val="-3"/>
          <w:sz w:val="11"/>
          <w:szCs w:val="11"/>
        </w:rPr>
        <w:t>描</w:t>
      </w:r>
      <w:r>
        <w:rPr>
          <w:rFonts w:ascii="Times New Roman" w:hAnsi="Times New Roman" w:eastAsia="Times New Roman" w:cs="Times New Roman"/>
          <w:spacing w:val="-3"/>
          <w:sz w:val="11"/>
          <w:szCs w:val="11"/>
        </w:rPr>
        <w:t>App</w:t>
      </w:r>
    </w:p>
    <w:p w14:paraId="4251033F">
      <w:pPr>
        <w:spacing w:line="212" w:lineRule="auto"/>
        <w:rPr>
          <w:rFonts w:ascii="Times New Roman" w:hAnsi="Times New Roman" w:eastAsia="Times New Roman" w:cs="Times New Roman"/>
          <w:sz w:val="11"/>
          <w:szCs w:val="11"/>
        </w:rPr>
        <w:sectPr>
          <w:footerReference r:id="rId5" w:type="default"/>
          <w:pgSz w:w="11910" w:h="16850"/>
          <w:pgMar w:top="1333" w:right="460" w:bottom="1" w:left="1219" w:header="0" w:footer="0" w:gutter="0"/>
          <w:cols w:space="720" w:num="1"/>
        </w:sectPr>
      </w:pPr>
    </w:p>
    <w:p w14:paraId="0C4BABDB">
      <w:pPr>
        <w:spacing w:before="48" w:line="221" w:lineRule="auto"/>
        <w:ind w:left="4"/>
        <w:rPr>
          <w:rFonts w:ascii="Times New Roman" w:hAnsi="Times New Roman" w:eastAsia="Times New Roman" w:cs="Times New Roman"/>
          <w:sz w:val="22"/>
          <w:szCs w:val="22"/>
        </w:rPr>
      </w:pPr>
      <w:r>
        <w:rPr>
          <w:rFonts w:ascii="黑体" w:hAnsi="黑体" w:eastAsia="黑体" w:cs="黑体"/>
          <w:spacing w:val="-6"/>
          <w:position w:val="1"/>
          <w:sz w:val="24"/>
          <w:szCs w:val="24"/>
        </w:rPr>
        <w:t>打印编</w:t>
      </w:r>
      <w:r>
        <w:rPr>
          <w:rFonts w:ascii="宋体" w:hAnsi="宋体" w:eastAsia="宋体" w:cs="宋体"/>
          <w:spacing w:val="-6"/>
          <w:position w:val="1"/>
          <w:sz w:val="24"/>
          <w:szCs w:val="24"/>
        </w:rPr>
        <w:t>号：</w:t>
      </w:r>
      <w:r>
        <w:rPr>
          <w:rFonts w:ascii="Times New Roman" w:hAnsi="Times New Roman" w:eastAsia="Times New Roman" w:cs="Times New Roman"/>
          <w:spacing w:val="-6"/>
          <w:position w:val="-1"/>
          <w:sz w:val="22"/>
          <w:szCs w:val="22"/>
        </w:rPr>
        <w:t>1727062319000</w:t>
      </w:r>
    </w:p>
    <w:p w14:paraId="5AA044D8">
      <w:pPr>
        <w:spacing w:before="158" w:line="219" w:lineRule="auto"/>
        <w:ind w:left="2451"/>
        <w:rPr>
          <w:rFonts w:ascii="宋体" w:hAnsi="宋体" w:eastAsia="宋体" w:cs="宋体"/>
          <w:sz w:val="48"/>
          <w:szCs w:val="48"/>
        </w:rPr>
      </w:pPr>
      <w:r>
        <w:rPr>
          <w:rFonts w:ascii="宋体" w:hAnsi="宋体" w:eastAsia="宋体" w:cs="宋体"/>
          <w:b/>
          <w:bCs/>
          <w:spacing w:val="-32"/>
          <w:sz w:val="48"/>
          <w:szCs w:val="48"/>
        </w:rPr>
        <w:t>编制单位和编制人员情况表</w:t>
      </w:r>
    </w:p>
    <w:p w14:paraId="31E0EF0D">
      <w:pPr>
        <w:spacing w:before="10"/>
      </w:pPr>
    </w:p>
    <w:tbl>
      <w:tblPr>
        <w:tblStyle w:val="5"/>
        <w:tblW w:w="102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3"/>
        <w:gridCol w:w="1658"/>
        <w:gridCol w:w="854"/>
        <w:gridCol w:w="1205"/>
        <w:gridCol w:w="2857"/>
        <w:gridCol w:w="1813"/>
      </w:tblGrid>
      <w:tr w14:paraId="4C0F7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3521" w:type="dxa"/>
            <w:gridSpan w:val="2"/>
            <w:vAlign w:val="top"/>
          </w:tcPr>
          <w:p w14:paraId="1E6CC651">
            <w:pPr>
              <w:pStyle w:val="6"/>
              <w:spacing w:before="195" w:line="219" w:lineRule="auto"/>
              <w:ind w:left="5"/>
            </w:pPr>
            <w:r>
              <w:rPr>
                <w:spacing w:val="3"/>
              </w:rPr>
              <w:t>项目编号</w:t>
            </w:r>
          </w:p>
        </w:tc>
        <w:tc>
          <w:tcPr>
            <w:tcW w:w="6729" w:type="dxa"/>
            <w:gridSpan w:val="4"/>
            <w:vAlign w:val="top"/>
          </w:tcPr>
          <w:p w14:paraId="0F36A17A">
            <w:pPr>
              <w:pStyle w:val="6"/>
              <w:spacing w:before="218"/>
              <w:ind w:left="14"/>
            </w:pPr>
            <w:r>
              <w:rPr>
                <w:spacing w:val="-2"/>
              </w:rPr>
              <w:t>0bz443</w:t>
            </w:r>
          </w:p>
        </w:tc>
      </w:tr>
      <w:tr w14:paraId="4A614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521" w:type="dxa"/>
            <w:gridSpan w:val="2"/>
            <w:vAlign w:val="top"/>
          </w:tcPr>
          <w:p w14:paraId="0471C247">
            <w:pPr>
              <w:pStyle w:val="6"/>
              <w:spacing w:before="190" w:line="220" w:lineRule="auto"/>
              <w:ind w:left="5"/>
            </w:pPr>
            <w:r>
              <w:rPr>
                <w:spacing w:val="2"/>
              </w:rPr>
              <w:t>建设项目名称</w:t>
            </w:r>
          </w:p>
        </w:tc>
        <w:tc>
          <w:tcPr>
            <w:tcW w:w="6729" w:type="dxa"/>
            <w:gridSpan w:val="4"/>
            <w:vAlign w:val="top"/>
          </w:tcPr>
          <w:p w14:paraId="290A0C84">
            <w:pPr>
              <w:pStyle w:val="6"/>
              <w:spacing w:before="188" w:line="219" w:lineRule="auto"/>
              <w:ind w:left="14"/>
            </w:pPr>
            <w:r>
              <w:rPr>
                <w:spacing w:val="3"/>
              </w:rPr>
              <w:t>几沃梁子农光互补光伏发电项目</w:t>
            </w:r>
          </w:p>
        </w:tc>
      </w:tr>
      <w:tr w14:paraId="1D5A0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521" w:type="dxa"/>
            <w:gridSpan w:val="2"/>
            <w:vAlign w:val="top"/>
          </w:tcPr>
          <w:p w14:paraId="7CF54B2E">
            <w:pPr>
              <w:pStyle w:val="6"/>
              <w:spacing w:before="181" w:line="219" w:lineRule="auto"/>
              <w:ind w:left="5"/>
            </w:pPr>
            <w:r>
              <w:rPr>
                <w:spacing w:val="3"/>
              </w:rPr>
              <w:t>建设项目类别</w:t>
            </w:r>
          </w:p>
        </w:tc>
        <w:tc>
          <w:tcPr>
            <w:tcW w:w="6729" w:type="dxa"/>
            <w:gridSpan w:val="4"/>
            <w:vAlign w:val="top"/>
          </w:tcPr>
          <w:p w14:paraId="42534CAB">
            <w:pPr>
              <w:pStyle w:val="6"/>
              <w:spacing w:before="181" w:line="219" w:lineRule="auto"/>
              <w:ind w:left="14"/>
            </w:pPr>
            <w:r>
              <w:t>41--090陆上风力发电；太阳能发电；其他电力生产</w:t>
            </w:r>
          </w:p>
        </w:tc>
      </w:tr>
      <w:tr w14:paraId="119C0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521" w:type="dxa"/>
            <w:gridSpan w:val="2"/>
            <w:vAlign w:val="top"/>
          </w:tcPr>
          <w:p w14:paraId="07E6C750">
            <w:pPr>
              <w:pStyle w:val="6"/>
              <w:spacing w:before="189" w:line="218" w:lineRule="auto"/>
              <w:ind w:left="5"/>
            </w:pPr>
            <w:r>
              <w:rPr>
                <w:spacing w:val="1"/>
              </w:rPr>
              <w:t>环境影响评价文件类型</w:t>
            </w:r>
          </w:p>
        </w:tc>
        <w:tc>
          <w:tcPr>
            <w:tcW w:w="6729" w:type="dxa"/>
            <w:gridSpan w:val="4"/>
            <w:vAlign w:val="top"/>
          </w:tcPr>
          <w:p w14:paraId="6BF4473C">
            <w:pPr>
              <w:pStyle w:val="6"/>
              <w:spacing w:before="189" w:line="218" w:lineRule="auto"/>
              <w:ind w:left="14"/>
            </w:pPr>
            <w:r>
              <w:rPr>
                <w:spacing w:val="-2"/>
              </w:rPr>
              <w:t>报告表</w:t>
            </w:r>
          </w:p>
        </w:tc>
      </w:tr>
      <w:tr w14:paraId="7BE42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0250" w:type="dxa"/>
            <w:gridSpan w:val="6"/>
            <w:vAlign w:val="top"/>
          </w:tcPr>
          <w:p w14:paraId="07E4FF48">
            <w:pPr>
              <w:pStyle w:val="6"/>
              <w:spacing w:before="190" w:line="220" w:lineRule="auto"/>
              <w:ind w:left="108"/>
            </w:pPr>
            <w:r>
              <w:rPr>
                <w:b/>
                <w:bCs/>
                <w:spacing w:val="-6"/>
              </w:rPr>
              <w:t>一、建设单位情况</w:t>
            </w:r>
          </w:p>
        </w:tc>
      </w:tr>
      <w:tr w14:paraId="74936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521" w:type="dxa"/>
            <w:gridSpan w:val="2"/>
            <w:vAlign w:val="top"/>
          </w:tcPr>
          <w:p w14:paraId="65E7D515">
            <w:pPr>
              <w:pStyle w:val="6"/>
              <w:spacing w:before="192" w:line="219" w:lineRule="auto"/>
              <w:ind w:left="5"/>
            </w:pPr>
            <w:r>
              <w:rPr>
                <w:spacing w:val="6"/>
              </w:rPr>
              <w:t>单位名称(盖章)</w:t>
            </w:r>
          </w:p>
        </w:tc>
        <w:tc>
          <w:tcPr>
            <w:tcW w:w="6729" w:type="dxa"/>
            <w:gridSpan w:val="4"/>
            <w:vAlign w:val="top"/>
          </w:tcPr>
          <w:p w14:paraId="213FD911">
            <w:pPr>
              <w:pStyle w:val="6"/>
              <w:spacing w:before="192" w:line="219" w:lineRule="auto"/>
              <w:ind w:left="14"/>
            </w:pPr>
            <w:r>
              <w:drawing>
                <wp:anchor distT="0" distB="0" distL="0" distR="0" simplePos="0" relativeHeight="251665408" behindDoc="0" locked="0" layoutInCell="1" allowOverlap="1">
                  <wp:simplePos x="0" y="0"/>
                  <wp:positionH relativeFrom="column">
                    <wp:posOffset>694690</wp:posOffset>
                  </wp:positionH>
                  <wp:positionV relativeFrom="paragraph">
                    <wp:posOffset>-486410</wp:posOffset>
                  </wp:positionV>
                  <wp:extent cx="1485900" cy="15176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55"/>
                          <a:stretch>
                            <a:fillRect/>
                          </a:stretch>
                        </pic:blipFill>
                        <pic:spPr>
                          <a:xfrm>
                            <a:off x="0" y="0"/>
                            <a:ext cx="1485948" cy="1517652"/>
                          </a:xfrm>
                          <a:prstGeom prst="rect">
                            <a:avLst/>
                          </a:prstGeom>
                        </pic:spPr>
                      </pic:pic>
                    </a:graphicData>
                  </a:graphic>
                </wp:anchor>
              </w:drawing>
            </w:r>
            <w:r>
              <w:rPr>
                <w:spacing w:val="1"/>
              </w:rPr>
              <w:t>曲靖晶瑞新能源有限</w:t>
            </w:r>
          </w:p>
        </w:tc>
      </w:tr>
      <w:tr w14:paraId="6A5BD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521" w:type="dxa"/>
            <w:gridSpan w:val="2"/>
            <w:vAlign w:val="top"/>
          </w:tcPr>
          <w:p w14:paraId="495C9D8F">
            <w:pPr>
              <w:pStyle w:val="6"/>
              <w:spacing w:before="192" w:line="219" w:lineRule="auto"/>
              <w:ind w:left="5"/>
            </w:pPr>
            <w:r>
              <w:rPr>
                <w:spacing w:val="1"/>
              </w:rPr>
              <w:t>统一社会信用代码</w:t>
            </w:r>
          </w:p>
        </w:tc>
        <w:tc>
          <w:tcPr>
            <w:tcW w:w="6729" w:type="dxa"/>
            <w:gridSpan w:val="4"/>
            <w:vAlign w:val="top"/>
          </w:tcPr>
          <w:p w14:paraId="1E9A3575">
            <w:pPr>
              <w:pStyle w:val="6"/>
              <w:spacing w:before="253" w:line="185" w:lineRule="auto"/>
              <w:ind w:left="14"/>
            </w:pPr>
            <w:r>
              <w:rPr>
                <w:spacing w:val="-1"/>
              </w:rPr>
              <w:t>91530304MAE002T37F</w:t>
            </w:r>
          </w:p>
        </w:tc>
      </w:tr>
      <w:tr w14:paraId="502E5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521" w:type="dxa"/>
            <w:gridSpan w:val="2"/>
            <w:vAlign w:val="top"/>
          </w:tcPr>
          <w:p w14:paraId="25DF617D">
            <w:pPr>
              <w:pStyle w:val="6"/>
              <w:spacing w:before="192" w:line="219" w:lineRule="auto"/>
              <w:ind w:left="5"/>
            </w:pPr>
            <w:r>
              <w:rPr>
                <w:spacing w:val="5"/>
              </w:rPr>
              <w:t>法定代表人(签章)</w:t>
            </w:r>
          </w:p>
        </w:tc>
        <w:tc>
          <w:tcPr>
            <w:tcW w:w="854" w:type="dxa"/>
            <w:tcBorders>
              <w:right w:val="nil"/>
            </w:tcBorders>
            <w:vAlign w:val="top"/>
          </w:tcPr>
          <w:p w14:paraId="22DBFBE4">
            <w:pPr>
              <w:pStyle w:val="6"/>
              <w:spacing w:before="192" w:line="219" w:lineRule="auto"/>
              <w:ind w:left="14"/>
            </w:pPr>
            <w:r>
              <w:rPr>
                <w:spacing w:val="3"/>
              </w:rPr>
              <w:t>陈远新</w:t>
            </w:r>
          </w:p>
        </w:tc>
        <w:tc>
          <w:tcPr>
            <w:tcW w:w="5875" w:type="dxa"/>
            <w:gridSpan w:val="3"/>
            <w:tcBorders>
              <w:left w:val="nil"/>
            </w:tcBorders>
            <w:vAlign w:val="top"/>
          </w:tcPr>
          <w:p w14:paraId="477A0B78">
            <w:pPr>
              <w:rPr>
                <w:rFonts w:ascii="Arial"/>
                <w:sz w:val="21"/>
              </w:rPr>
            </w:pPr>
            <w:r>
              <w:drawing>
                <wp:anchor distT="0" distB="0" distL="0" distR="0" simplePos="0" relativeHeight="251664384" behindDoc="0" locked="0" layoutInCell="1" allowOverlap="1">
                  <wp:simplePos x="0" y="0"/>
                  <wp:positionH relativeFrom="rightMargin">
                    <wp:posOffset>-3661410</wp:posOffset>
                  </wp:positionH>
                  <wp:positionV relativeFrom="topMargin">
                    <wp:posOffset>113030</wp:posOffset>
                  </wp:positionV>
                  <wp:extent cx="746760" cy="33337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56"/>
                          <a:stretch>
                            <a:fillRect/>
                          </a:stretch>
                        </pic:blipFill>
                        <pic:spPr>
                          <a:xfrm>
                            <a:off x="0" y="0"/>
                            <a:ext cx="746990" cy="333633"/>
                          </a:xfrm>
                          <a:prstGeom prst="rect">
                            <a:avLst/>
                          </a:prstGeom>
                        </pic:spPr>
                      </pic:pic>
                    </a:graphicData>
                  </a:graphic>
                </wp:anchor>
              </w:drawing>
            </w:r>
          </w:p>
        </w:tc>
      </w:tr>
      <w:tr w14:paraId="11F0A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521" w:type="dxa"/>
            <w:gridSpan w:val="2"/>
            <w:vAlign w:val="top"/>
          </w:tcPr>
          <w:p w14:paraId="64039915">
            <w:pPr>
              <w:pStyle w:val="6"/>
              <w:spacing w:before="194" w:line="219" w:lineRule="auto"/>
              <w:ind w:left="5"/>
            </w:pPr>
            <w:r>
              <w:rPr>
                <w:spacing w:val="5"/>
              </w:rPr>
              <w:t>主要负责人(签字)</w:t>
            </w:r>
          </w:p>
        </w:tc>
        <w:tc>
          <w:tcPr>
            <w:tcW w:w="854" w:type="dxa"/>
            <w:tcBorders>
              <w:right w:val="nil"/>
            </w:tcBorders>
            <w:vAlign w:val="top"/>
          </w:tcPr>
          <w:p w14:paraId="51E79DDC">
            <w:pPr>
              <w:pStyle w:val="6"/>
              <w:spacing w:before="195" w:line="221" w:lineRule="auto"/>
              <w:ind w:left="14"/>
            </w:pPr>
            <w:r>
              <w:rPr>
                <w:spacing w:val="3"/>
              </w:rPr>
              <w:t>罗安琪</w:t>
            </w:r>
          </w:p>
        </w:tc>
        <w:tc>
          <w:tcPr>
            <w:tcW w:w="5875" w:type="dxa"/>
            <w:gridSpan w:val="3"/>
            <w:tcBorders>
              <w:left w:val="nil"/>
            </w:tcBorders>
            <w:vAlign w:val="top"/>
          </w:tcPr>
          <w:p w14:paraId="6632C573">
            <w:pPr>
              <w:spacing w:before="73" w:line="531" w:lineRule="exact"/>
              <w:ind w:firstLine="284"/>
            </w:pPr>
            <w:r>
              <w:rPr>
                <w:position w:val="-10"/>
              </w:rPr>
              <w:drawing>
                <wp:inline distT="0" distB="0" distL="0" distR="0">
                  <wp:extent cx="616585" cy="3371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57"/>
                          <a:stretch>
                            <a:fillRect/>
                          </a:stretch>
                        </pic:blipFill>
                        <pic:spPr>
                          <a:xfrm>
                            <a:off x="0" y="0"/>
                            <a:ext cx="616852" cy="337352"/>
                          </a:xfrm>
                          <a:prstGeom prst="rect">
                            <a:avLst/>
                          </a:prstGeom>
                        </pic:spPr>
                      </pic:pic>
                    </a:graphicData>
                  </a:graphic>
                </wp:inline>
              </w:drawing>
            </w:r>
          </w:p>
        </w:tc>
      </w:tr>
      <w:tr w14:paraId="7A4D5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521" w:type="dxa"/>
            <w:gridSpan w:val="2"/>
            <w:vAlign w:val="top"/>
          </w:tcPr>
          <w:p w14:paraId="632907C8">
            <w:pPr>
              <w:pStyle w:val="6"/>
              <w:spacing w:before="195" w:line="219" w:lineRule="auto"/>
              <w:ind w:left="5"/>
            </w:pPr>
            <w:r>
              <w:rPr>
                <w:spacing w:val="4"/>
              </w:rPr>
              <w:t>直接负责的主管人员(签字)</w:t>
            </w:r>
          </w:p>
        </w:tc>
        <w:tc>
          <w:tcPr>
            <w:tcW w:w="854" w:type="dxa"/>
            <w:tcBorders>
              <w:right w:val="nil"/>
            </w:tcBorders>
            <w:vAlign w:val="top"/>
          </w:tcPr>
          <w:p w14:paraId="64A35C1A">
            <w:pPr>
              <w:pStyle w:val="6"/>
              <w:spacing w:before="196" w:line="221" w:lineRule="auto"/>
              <w:ind w:left="14"/>
            </w:pPr>
            <w:r>
              <w:rPr>
                <w:spacing w:val="3"/>
              </w:rPr>
              <w:t>罗安琪</w:t>
            </w:r>
          </w:p>
        </w:tc>
        <w:tc>
          <w:tcPr>
            <w:tcW w:w="5875" w:type="dxa"/>
            <w:gridSpan w:val="3"/>
            <w:tcBorders>
              <w:left w:val="nil"/>
            </w:tcBorders>
            <w:vAlign w:val="top"/>
          </w:tcPr>
          <w:p w14:paraId="653D2CF9">
            <w:pPr>
              <w:rPr>
                <w:rFonts w:ascii="Arial"/>
                <w:sz w:val="21"/>
              </w:rPr>
            </w:pPr>
            <w:r>
              <w:drawing>
                <wp:anchor distT="0" distB="0" distL="0" distR="0" simplePos="0" relativeHeight="251663360" behindDoc="0" locked="0" layoutInCell="1" allowOverlap="1">
                  <wp:simplePos x="0" y="0"/>
                  <wp:positionH relativeFrom="rightMargin">
                    <wp:posOffset>-3460115</wp:posOffset>
                  </wp:positionH>
                  <wp:positionV relativeFrom="topMargin">
                    <wp:posOffset>132715</wp:posOffset>
                  </wp:positionV>
                  <wp:extent cx="627380" cy="31623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58"/>
                          <a:stretch>
                            <a:fillRect/>
                          </a:stretch>
                        </pic:blipFill>
                        <pic:spPr>
                          <a:xfrm>
                            <a:off x="0" y="0"/>
                            <a:ext cx="627494" cy="316027"/>
                          </a:xfrm>
                          <a:prstGeom prst="rect">
                            <a:avLst/>
                          </a:prstGeom>
                        </pic:spPr>
                      </pic:pic>
                    </a:graphicData>
                  </a:graphic>
                </wp:anchor>
              </w:drawing>
            </w:r>
          </w:p>
        </w:tc>
      </w:tr>
      <w:tr w14:paraId="5C63E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0250" w:type="dxa"/>
            <w:gridSpan w:val="6"/>
            <w:vAlign w:val="top"/>
          </w:tcPr>
          <w:p w14:paraId="3840312A">
            <w:pPr>
              <w:pStyle w:val="6"/>
              <w:spacing w:before="192" w:line="219" w:lineRule="auto"/>
              <w:ind w:left="108"/>
            </w:pPr>
            <w:r>
              <w:rPr>
                <w:b/>
                <w:bCs/>
                <w:spacing w:val="-4"/>
              </w:rPr>
              <w:t>二、编制单位情况</w:t>
            </w:r>
          </w:p>
        </w:tc>
      </w:tr>
      <w:tr w14:paraId="7C88D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521" w:type="dxa"/>
            <w:gridSpan w:val="2"/>
            <w:vAlign w:val="top"/>
          </w:tcPr>
          <w:p w14:paraId="4B84BCA4">
            <w:pPr>
              <w:pStyle w:val="6"/>
              <w:spacing w:before="194" w:line="219" w:lineRule="auto"/>
              <w:ind w:left="5"/>
            </w:pPr>
            <w:r>
              <w:rPr>
                <w:spacing w:val="6"/>
              </w:rPr>
              <w:t>单位名称(盖章)</w:t>
            </w:r>
          </w:p>
        </w:tc>
        <w:tc>
          <w:tcPr>
            <w:tcW w:w="6729" w:type="dxa"/>
            <w:gridSpan w:val="4"/>
            <w:vAlign w:val="top"/>
          </w:tcPr>
          <w:p w14:paraId="54F8F441">
            <w:pPr>
              <w:pStyle w:val="6"/>
              <w:spacing w:before="196" w:line="220" w:lineRule="auto"/>
              <w:ind w:left="14"/>
            </w:pPr>
            <w:r>
              <w:drawing>
                <wp:anchor distT="0" distB="0" distL="0" distR="0" simplePos="0" relativeHeight="251661312" behindDoc="0" locked="0" layoutInCell="1" allowOverlap="1">
                  <wp:simplePos x="0" y="0"/>
                  <wp:positionH relativeFrom="column">
                    <wp:posOffset>624840</wp:posOffset>
                  </wp:positionH>
                  <wp:positionV relativeFrom="paragraph">
                    <wp:posOffset>-103505</wp:posOffset>
                  </wp:positionV>
                  <wp:extent cx="1574800" cy="16192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59"/>
                          <a:stretch>
                            <a:fillRect/>
                          </a:stretch>
                        </pic:blipFill>
                        <pic:spPr>
                          <a:xfrm>
                            <a:off x="0" y="0"/>
                            <a:ext cx="1574812" cy="1619193"/>
                          </a:xfrm>
                          <a:prstGeom prst="rect">
                            <a:avLst/>
                          </a:prstGeom>
                        </pic:spPr>
                      </pic:pic>
                    </a:graphicData>
                  </a:graphic>
                </wp:anchor>
              </w:drawing>
            </w:r>
            <w:r>
              <w:rPr>
                <w:spacing w:val="2"/>
              </w:rPr>
              <w:t>云南德创环保工程有限公司</w:t>
            </w:r>
          </w:p>
        </w:tc>
      </w:tr>
      <w:tr w14:paraId="03830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521" w:type="dxa"/>
            <w:gridSpan w:val="2"/>
            <w:vAlign w:val="top"/>
          </w:tcPr>
          <w:p w14:paraId="56E16BE3">
            <w:pPr>
              <w:pStyle w:val="6"/>
              <w:spacing w:before="195" w:line="219" w:lineRule="auto"/>
              <w:ind w:left="5"/>
            </w:pPr>
            <w:r>
              <w:rPr>
                <w:spacing w:val="1"/>
              </w:rPr>
              <w:t>统一社会信用代码</w:t>
            </w:r>
          </w:p>
        </w:tc>
        <w:tc>
          <w:tcPr>
            <w:tcW w:w="6729" w:type="dxa"/>
            <w:gridSpan w:val="4"/>
            <w:vAlign w:val="top"/>
          </w:tcPr>
          <w:p w14:paraId="732C39B1">
            <w:pPr>
              <w:pStyle w:val="6"/>
              <w:spacing w:before="257" w:line="184" w:lineRule="auto"/>
              <w:ind w:left="14"/>
            </w:pPr>
            <w:r>
              <w:rPr>
                <w:spacing w:val="-1"/>
              </w:rPr>
              <w:t>91530112309506552W</w:t>
            </w:r>
          </w:p>
        </w:tc>
      </w:tr>
      <w:tr w14:paraId="486B2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0250" w:type="dxa"/>
            <w:gridSpan w:val="6"/>
            <w:vAlign w:val="top"/>
          </w:tcPr>
          <w:p w14:paraId="677A3737">
            <w:pPr>
              <w:pStyle w:val="6"/>
              <w:spacing w:before="193" w:line="193" w:lineRule="auto"/>
              <w:ind w:left="108"/>
            </w:pPr>
            <w:r>
              <w:rPr>
                <w:b/>
                <w:bCs/>
                <w:spacing w:val="-4"/>
              </w:rPr>
              <w:t>三、编制人员情况</w:t>
            </w:r>
          </w:p>
          <w:p w14:paraId="4B792903">
            <w:pPr>
              <w:pStyle w:val="6"/>
              <w:spacing w:line="162" w:lineRule="exact"/>
              <w:ind w:left="4935"/>
            </w:pPr>
            <w:r>
              <w:rPr>
                <w:spacing w:val="-2"/>
                <w:position w:val="-4"/>
              </w:rPr>
              <w:t>---</w:t>
            </w:r>
          </w:p>
        </w:tc>
      </w:tr>
      <w:tr w14:paraId="5E514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0250" w:type="dxa"/>
            <w:gridSpan w:val="6"/>
            <w:vAlign w:val="top"/>
          </w:tcPr>
          <w:p w14:paraId="69896BBA">
            <w:pPr>
              <w:pStyle w:val="6"/>
              <w:spacing w:before="197" w:line="219" w:lineRule="auto"/>
              <w:ind w:left="105"/>
            </w:pPr>
            <w:r>
              <w:rPr>
                <w:spacing w:val="1"/>
              </w:rPr>
              <w:t>1.编制主持人</w:t>
            </w:r>
          </w:p>
        </w:tc>
      </w:tr>
      <w:tr w14:paraId="1416A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863" w:type="dxa"/>
            <w:vAlign w:val="top"/>
          </w:tcPr>
          <w:p w14:paraId="7EE789F4">
            <w:pPr>
              <w:pStyle w:val="6"/>
              <w:spacing w:before="197" w:line="219" w:lineRule="auto"/>
              <w:ind w:left="685"/>
            </w:pPr>
            <w:r>
              <w:rPr>
                <w:spacing w:val="15"/>
              </w:rPr>
              <w:t>姓名</w:t>
            </w:r>
          </w:p>
        </w:tc>
        <w:tc>
          <w:tcPr>
            <w:tcW w:w="3717" w:type="dxa"/>
            <w:gridSpan w:val="3"/>
            <w:vAlign w:val="top"/>
          </w:tcPr>
          <w:p w14:paraId="262A5773">
            <w:pPr>
              <w:pStyle w:val="6"/>
              <w:spacing w:before="195" w:line="219" w:lineRule="auto"/>
              <w:ind w:left="772"/>
            </w:pPr>
            <w:r>
              <w:rPr>
                <w:spacing w:val="1"/>
              </w:rPr>
              <w:t>职业资格证书管理号</w:t>
            </w:r>
          </w:p>
        </w:tc>
        <w:tc>
          <w:tcPr>
            <w:tcW w:w="2857" w:type="dxa"/>
            <w:vAlign w:val="top"/>
          </w:tcPr>
          <w:p w14:paraId="5B923C0F">
            <w:pPr>
              <w:pStyle w:val="6"/>
              <w:spacing w:before="197" w:line="219" w:lineRule="auto"/>
              <w:ind w:left="945"/>
            </w:pPr>
            <w:r>
              <w:rPr>
                <w:spacing w:val="3"/>
              </w:rPr>
              <w:t>信用编号</w:t>
            </w:r>
          </w:p>
        </w:tc>
        <w:tc>
          <w:tcPr>
            <w:tcW w:w="1813" w:type="dxa"/>
            <w:vAlign w:val="top"/>
          </w:tcPr>
          <w:p w14:paraId="4161A3E4">
            <w:pPr>
              <w:pStyle w:val="6"/>
              <w:spacing w:before="197" w:line="219" w:lineRule="auto"/>
              <w:ind w:left="658"/>
            </w:pPr>
            <w:r>
              <w:rPr>
                <w:spacing w:val="5"/>
              </w:rPr>
              <w:t>签字</w:t>
            </w:r>
          </w:p>
        </w:tc>
      </w:tr>
      <w:tr w14:paraId="071F4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863" w:type="dxa"/>
            <w:vAlign w:val="top"/>
          </w:tcPr>
          <w:p w14:paraId="1F7141AF">
            <w:pPr>
              <w:pStyle w:val="6"/>
              <w:spacing w:before="197" w:line="219" w:lineRule="auto"/>
              <w:ind w:left="565"/>
            </w:pPr>
            <w:r>
              <w:rPr>
                <w:spacing w:val="4"/>
              </w:rPr>
              <w:t>高俊飞</w:t>
            </w:r>
          </w:p>
        </w:tc>
        <w:tc>
          <w:tcPr>
            <w:tcW w:w="3717" w:type="dxa"/>
            <w:gridSpan w:val="3"/>
            <w:vAlign w:val="top"/>
          </w:tcPr>
          <w:p w14:paraId="43CB6039">
            <w:pPr>
              <w:pStyle w:val="6"/>
              <w:spacing w:before="220"/>
              <w:ind w:left="172"/>
            </w:pPr>
            <w:r>
              <w:rPr>
                <w:spacing w:val="-1"/>
              </w:rPr>
              <w:t>2016035530350000003512530344</w:t>
            </w:r>
          </w:p>
        </w:tc>
        <w:tc>
          <w:tcPr>
            <w:tcW w:w="2857" w:type="dxa"/>
            <w:vAlign w:val="top"/>
          </w:tcPr>
          <w:p w14:paraId="51560D5B">
            <w:pPr>
              <w:pStyle w:val="6"/>
              <w:spacing w:before="257" w:line="184" w:lineRule="auto"/>
              <w:ind w:left="945"/>
            </w:pPr>
            <w:r>
              <w:rPr>
                <w:spacing w:val="-1"/>
              </w:rPr>
              <w:t>BH011113</w:t>
            </w:r>
          </w:p>
        </w:tc>
        <w:tc>
          <w:tcPr>
            <w:tcW w:w="1813" w:type="dxa"/>
            <w:vAlign w:val="top"/>
          </w:tcPr>
          <w:p w14:paraId="5C91ADA1">
            <w:pPr>
              <w:spacing w:before="85" w:line="523" w:lineRule="exact"/>
              <w:ind w:firstLine="107"/>
            </w:pPr>
            <w:r>
              <w:rPr>
                <w:position w:val="-10"/>
              </w:rPr>
              <w:drawing>
                <wp:inline distT="0" distB="0" distL="0" distR="0">
                  <wp:extent cx="743585" cy="33210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0"/>
                          <a:stretch>
                            <a:fillRect/>
                          </a:stretch>
                        </pic:blipFill>
                        <pic:spPr>
                          <a:xfrm>
                            <a:off x="0" y="0"/>
                            <a:ext cx="744036" cy="332201"/>
                          </a:xfrm>
                          <a:prstGeom prst="rect">
                            <a:avLst/>
                          </a:prstGeom>
                        </pic:spPr>
                      </pic:pic>
                    </a:graphicData>
                  </a:graphic>
                </wp:inline>
              </w:drawing>
            </w:r>
          </w:p>
        </w:tc>
      </w:tr>
      <w:tr w14:paraId="6117E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0250" w:type="dxa"/>
            <w:gridSpan w:val="6"/>
            <w:vAlign w:val="top"/>
          </w:tcPr>
          <w:p w14:paraId="6FE70A4B">
            <w:pPr>
              <w:pStyle w:val="6"/>
              <w:spacing w:before="198" w:line="219" w:lineRule="auto"/>
              <w:ind w:left="105"/>
            </w:pPr>
            <w:r>
              <w:rPr>
                <w:spacing w:val="4"/>
              </w:rPr>
              <w:t>2.主要编制人员</w:t>
            </w:r>
          </w:p>
        </w:tc>
      </w:tr>
      <w:tr w14:paraId="56EE4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63" w:type="dxa"/>
            <w:vAlign w:val="top"/>
          </w:tcPr>
          <w:p w14:paraId="14841B34">
            <w:pPr>
              <w:pStyle w:val="6"/>
              <w:spacing w:before="208" w:line="219" w:lineRule="auto"/>
              <w:ind w:left="685"/>
            </w:pPr>
            <w:r>
              <w:rPr>
                <w:spacing w:val="15"/>
              </w:rPr>
              <w:t>姓名</w:t>
            </w:r>
          </w:p>
        </w:tc>
        <w:tc>
          <w:tcPr>
            <w:tcW w:w="3717" w:type="dxa"/>
            <w:gridSpan w:val="3"/>
            <w:vAlign w:val="top"/>
          </w:tcPr>
          <w:p w14:paraId="549AA69C">
            <w:pPr>
              <w:pStyle w:val="6"/>
              <w:spacing w:before="208" w:line="219" w:lineRule="auto"/>
              <w:ind w:left="1132"/>
            </w:pPr>
            <w:r>
              <w:rPr>
                <w:spacing w:val="2"/>
              </w:rPr>
              <w:t>主要编写内容</w:t>
            </w:r>
          </w:p>
        </w:tc>
        <w:tc>
          <w:tcPr>
            <w:tcW w:w="2857" w:type="dxa"/>
            <w:vAlign w:val="top"/>
          </w:tcPr>
          <w:p w14:paraId="58798E1C">
            <w:pPr>
              <w:pStyle w:val="6"/>
              <w:spacing w:before="208" w:line="219" w:lineRule="auto"/>
              <w:ind w:left="945"/>
            </w:pPr>
            <w:r>
              <w:rPr>
                <w:spacing w:val="3"/>
              </w:rPr>
              <w:t>信用编号</w:t>
            </w:r>
          </w:p>
        </w:tc>
        <w:tc>
          <w:tcPr>
            <w:tcW w:w="1813" w:type="dxa"/>
            <w:vAlign w:val="top"/>
          </w:tcPr>
          <w:p w14:paraId="4D955818">
            <w:pPr>
              <w:pStyle w:val="6"/>
              <w:spacing w:before="208" w:line="219" w:lineRule="auto"/>
              <w:ind w:left="658"/>
            </w:pPr>
            <w:r>
              <w:rPr>
                <w:spacing w:val="5"/>
              </w:rPr>
              <w:t>签字</w:t>
            </w:r>
          </w:p>
        </w:tc>
      </w:tr>
      <w:tr w14:paraId="602D1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863" w:type="dxa"/>
            <w:vAlign w:val="top"/>
          </w:tcPr>
          <w:p w14:paraId="410E48A3">
            <w:pPr>
              <w:pStyle w:val="6"/>
              <w:spacing w:before="209" w:line="219" w:lineRule="auto"/>
              <w:ind w:left="565"/>
            </w:pPr>
            <w:r>
              <w:rPr>
                <w:spacing w:val="6"/>
              </w:rPr>
              <w:t>杨东剑</w:t>
            </w:r>
          </w:p>
        </w:tc>
        <w:tc>
          <w:tcPr>
            <w:tcW w:w="3717" w:type="dxa"/>
            <w:gridSpan w:val="3"/>
            <w:vAlign w:val="top"/>
          </w:tcPr>
          <w:p w14:paraId="60A4E8DB">
            <w:pPr>
              <w:pStyle w:val="6"/>
              <w:spacing w:before="209" w:line="220" w:lineRule="auto"/>
              <w:ind w:left="412"/>
            </w:pPr>
            <w:r>
              <w:t>分析判定、结论及措施分析</w:t>
            </w:r>
          </w:p>
        </w:tc>
        <w:tc>
          <w:tcPr>
            <w:tcW w:w="2857" w:type="dxa"/>
            <w:vAlign w:val="top"/>
          </w:tcPr>
          <w:p w14:paraId="791D70B8">
            <w:pPr>
              <w:pStyle w:val="6"/>
              <w:spacing w:before="269" w:line="183" w:lineRule="auto"/>
              <w:ind w:left="948"/>
            </w:pPr>
            <w:r>
              <w:rPr>
                <w:b/>
                <w:bCs/>
                <w:spacing w:val="-3"/>
              </w:rPr>
              <w:t>BH044660</w:t>
            </w:r>
          </w:p>
        </w:tc>
        <w:tc>
          <w:tcPr>
            <w:tcW w:w="1813" w:type="dxa"/>
            <w:vAlign w:val="top"/>
          </w:tcPr>
          <w:p w14:paraId="087AE9DA">
            <w:pPr>
              <w:rPr>
                <w:rFonts w:ascii="Arial"/>
                <w:sz w:val="21"/>
              </w:rPr>
            </w:pPr>
            <w:r>
              <w:drawing>
                <wp:anchor distT="0" distB="0" distL="0" distR="0" simplePos="0" relativeHeight="251662336" behindDoc="0" locked="0" layoutInCell="1" allowOverlap="1">
                  <wp:simplePos x="0" y="0"/>
                  <wp:positionH relativeFrom="rightMargin">
                    <wp:posOffset>-1101725</wp:posOffset>
                  </wp:positionH>
                  <wp:positionV relativeFrom="topMargin">
                    <wp:posOffset>148590</wp:posOffset>
                  </wp:positionV>
                  <wp:extent cx="756920" cy="30797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61"/>
                          <a:stretch>
                            <a:fillRect/>
                          </a:stretch>
                        </pic:blipFill>
                        <pic:spPr>
                          <a:xfrm>
                            <a:off x="0" y="0"/>
                            <a:ext cx="756803" cy="307861"/>
                          </a:xfrm>
                          <a:prstGeom prst="rect">
                            <a:avLst/>
                          </a:prstGeom>
                        </pic:spPr>
                      </pic:pic>
                    </a:graphicData>
                  </a:graphic>
                </wp:anchor>
              </w:drawing>
            </w:r>
          </w:p>
        </w:tc>
      </w:tr>
      <w:tr w14:paraId="26ADB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863" w:type="dxa"/>
            <w:vAlign w:val="top"/>
          </w:tcPr>
          <w:p w14:paraId="50132D03">
            <w:pPr>
              <w:pStyle w:val="6"/>
              <w:spacing w:before="209" w:line="219" w:lineRule="auto"/>
              <w:ind w:left="565"/>
            </w:pPr>
            <w:r>
              <w:rPr>
                <w:spacing w:val="4"/>
              </w:rPr>
              <w:t>高俊飞</w:t>
            </w:r>
          </w:p>
        </w:tc>
        <w:tc>
          <w:tcPr>
            <w:tcW w:w="3717" w:type="dxa"/>
            <w:gridSpan w:val="3"/>
            <w:vAlign w:val="top"/>
          </w:tcPr>
          <w:p w14:paraId="7691E8FD">
            <w:pPr>
              <w:pStyle w:val="6"/>
              <w:spacing w:before="209" w:line="219" w:lineRule="auto"/>
              <w:ind w:left="772"/>
            </w:pPr>
            <w:r>
              <w:rPr>
                <w:spacing w:val="1"/>
              </w:rPr>
              <w:t>现状调查、工程分析</w:t>
            </w:r>
          </w:p>
        </w:tc>
        <w:tc>
          <w:tcPr>
            <w:tcW w:w="2857" w:type="dxa"/>
            <w:vAlign w:val="top"/>
          </w:tcPr>
          <w:p w14:paraId="4BB0873F">
            <w:pPr>
              <w:pStyle w:val="6"/>
              <w:spacing w:before="268" w:line="184" w:lineRule="auto"/>
              <w:ind w:left="948"/>
            </w:pPr>
            <w:r>
              <w:rPr>
                <w:b/>
                <w:bCs/>
                <w:spacing w:val="-3"/>
              </w:rPr>
              <w:t>BH011113</w:t>
            </w:r>
          </w:p>
        </w:tc>
        <w:tc>
          <w:tcPr>
            <w:tcW w:w="1813" w:type="dxa"/>
            <w:vAlign w:val="top"/>
          </w:tcPr>
          <w:p w14:paraId="1E28D34D">
            <w:pPr>
              <w:spacing w:before="58" w:line="575" w:lineRule="exact"/>
              <w:ind w:firstLine="78"/>
            </w:pPr>
            <w:r>
              <w:rPr>
                <w:position w:val="-11"/>
              </w:rPr>
              <w:drawing>
                <wp:inline distT="0" distB="0" distL="0" distR="0">
                  <wp:extent cx="888365" cy="36512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62"/>
                          <a:stretch>
                            <a:fillRect/>
                          </a:stretch>
                        </pic:blipFill>
                        <pic:spPr>
                          <a:xfrm>
                            <a:off x="0" y="0"/>
                            <a:ext cx="888955" cy="365662"/>
                          </a:xfrm>
                          <a:prstGeom prst="rect">
                            <a:avLst/>
                          </a:prstGeom>
                        </pic:spPr>
                      </pic:pic>
                    </a:graphicData>
                  </a:graphic>
                </wp:inline>
              </w:drawing>
            </w:r>
          </w:p>
        </w:tc>
      </w:tr>
    </w:tbl>
    <w:p w14:paraId="12DE215C">
      <w:pPr>
        <w:pStyle w:val="2"/>
        <w:spacing w:line="266" w:lineRule="auto"/>
      </w:pPr>
    </w:p>
    <w:p w14:paraId="10FDE1C4">
      <w:pPr>
        <w:pStyle w:val="2"/>
        <w:spacing w:line="267" w:lineRule="auto"/>
      </w:pPr>
    </w:p>
    <w:p w14:paraId="7A7FC298">
      <w:pPr>
        <w:pStyle w:val="2"/>
        <w:spacing w:line="267" w:lineRule="auto"/>
      </w:pPr>
    </w:p>
    <w:p w14:paraId="68F46F4F">
      <w:pPr>
        <w:pStyle w:val="2"/>
        <w:spacing w:line="267" w:lineRule="auto"/>
      </w:pPr>
    </w:p>
    <w:p w14:paraId="17BBCFEA">
      <w:pPr>
        <w:pStyle w:val="2"/>
        <w:spacing w:line="267" w:lineRule="auto"/>
      </w:pPr>
    </w:p>
    <w:p w14:paraId="0C1CF980">
      <w:pPr>
        <w:pStyle w:val="2"/>
        <w:spacing w:line="267" w:lineRule="auto"/>
      </w:pPr>
    </w:p>
    <w:p w14:paraId="5C94147F">
      <w:pPr>
        <w:pStyle w:val="2"/>
        <w:spacing w:before="36" w:line="181" w:lineRule="auto"/>
        <w:ind w:left="9595"/>
        <w:rPr>
          <w:rFonts w:ascii="Times New Roman" w:hAnsi="Times New Roman" w:eastAsia="Times New Roman" w:cs="Times New Roman"/>
          <w:sz w:val="11"/>
          <w:szCs w:val="11"/>
        </w:rPr>
      </w:pPr>
      <w:r>
        <w:drawing>
          <wp:anchor distT="0" distB="0" distL="0" distR="0" simplePos="0" relativeHeight="251660288" behindDoc="1" locked="0" layoutInCell="1" allowOverlap="1">
            <wp:simplePos x="0" y="0"/>
            <wp:positionH relativeFrom="column">
              <wp:posOffset>6067425</wp:posOffset>
            </wp:positionH>
            <wp:positionV relativeFrom="paragraph">
              <wp:posOffset>-231775</wp:posOffset>
            </wp:positionV>
            <wp:extent cx="920750" cy="2921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63"/>
                    <a:stretch>
                      <a:fillRect/>
                    </a:stretch>
                  </pic:blipFill>
                  <pic:spPr>
                    <a:xfrm>
                      <a:off x="0" y="0"/>
                      <a:ext cx="920776" cy="292103"/>
                    </a:xfrm>
                    <a:prstGeom prst="rect">
                      <a:avLst/>
                    </a:prstGeom>
                  </pic:spPr>
                </pic:pic>
              </a:graphicData>
            </a:graphic>
          </wp:anchor>
        </w:drawing>
      </w:r>
      <w:r>
        <w:rPr>
          <w:rFonts w:ascii="黑体" w:hAnsi="黑体" w:eastAsia="黑体" w:cs="黑体"/>
          <w:spacing w:val="23"/>
          <w:sz w:val="11"/>
          <w:szCs w:val="11"/>
        </w:rPr>
        <w:t>3亿人都在用的扫描</w:t>
      </w:r>
      <w:r>
        <w:rPr>
          <w:sz w:val="11"/>
          <w:szCs w:val="11"/>
        </w:rPr>
        <w:t>A</w:t>
      </w:r>
      <w:r>
        <w:rPr>
          <w:rFonts w:ascii="Times New Roman" w:hAnsi="Times New Roman" w:eastAsia="Times New Roman" w:cs="Times New Roman"/>
          <w:b/>
          <w:bCs/>
          <w:sz w:val="11"/>
          <w:szCs w:val="11"/>
        </w:rPr>
        <w:t>pp</w:t>
      </w:r>
    </w:p>
    <w:p w14:paraId="5404F8FD">
      <w:pPr>
        <w:spacing w:line="181" w:lineRule="auto"/>
        <w:rPr>
          <w:rFonts w:ascii="Times New Roman" w:hAnsi="Times New Roman" w:eastAsia="Times New Roman" w:cs="Times New Roman"/>
          <w:sz w:val="11"/>
          <w:szCs w:val="11"/>
        </w:rPr>
        <w:sectPr>
          <w:pgSz w:w="11910" w:h="16850"/>
          <w:pgMar w:top="329" w:right="229" w:bottom="209" w:left="674" w:header="0" w:footer="0" w:gutter="0"/>
          <w:cols w:space="720" w:num="1"/>
        </w:sectPr>
      </w:pPr>
    </w:p>
    <w:p w14:paraId="0D32605B">
      <w:pPr>
        <w:spacing w:before="150" w:line="222" w:lineRule="auto"/>
        <w:ind w:left="3305"/>
        <w:rPr>
          <w:rFonts w:ascii="黑体" w:hAnsi="黑体" w:eastAsia="黑体" w:cs="黑体"/>
          <w:sz w:val="32"/>
          <w:szCs w:val="32"/>
        </w:rPr>
      </w:pPr>
      <w:r>
        <w:rPr>
          <w:rFonts w:ascii="黑体" w:hAnsi="黑体" w:eastAsia="黑体" w:cs="黑体"/>
          <w:spacing w:val="-2"/>
          <w:sz w:val="32"/>
          <w:szCs w:val="32"/>
        </w:rPr>
        <w:t>项目现场照片</w:t>
      </w:r>
    </w:p>
    <w:p w14:paraId="3F0AFBB7">
      <w:pPr>
        <w:spacing w:line="89" w:lineRule="exact"/>
      </w:pP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15"/>
        <w:gridCol w:w="104"/>
      </w:tblGrid>
      <w:tr w14:paraId="2AC7F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0" w:hRule="atLeast"/>
        </w:trPr>
        <w:tc>
          <w:tcPr>
            <w:tcW w:w="8519" w:type="dxa"/>
            <w:gridSpan w:val="2"/>
            <w:shd w:val="clear" w:color="auto" w:fill="868672"/>
            <w:vAlign w:val="top"/>
          </w:tcPr>
          <w:p w14:paraId="5DAAF1BB">
            <w:pPr>
              <w:pStyle w:val="6"/>
              <w:spacing w:before="55" w:line="5530" w:lineRule="exact"/>
              <w:ind w:firstLine="65"/>
            </w:pPr>
            <w:r>
              <w:rPr>
                <w:position w:val="-110"/>
              </w:rPr>
              <w:pict>
                <v:group id="_x0000_s1026" o:spid="_x0000_s1026" o:spt="203" style="height:276.55pt;width:419.5pt;" coordsize="8390,5530">
                  <o:lock v:ext="edit"/>
                  <v:shape id="_x0000_s1027" o:spid="_x0000_s1027" o:spt="75" type="#_x0000_t75" style="position:absolute;left:0;top:0;height:5530;width:8390;" filled="f" stroked="f" coordsize="21600,21600">
                    <v:path/>
                    <v:fill on="f" focussize="0,0"/>
                    <v:stroke on="f"/>
                    <v:imagedata r:id="rId164" o:title=""/>
                    <o:lock v:ext="edit" aspectratio="t"/>
                  </v:shape>
                  <v:shape id="_x0000_s1028" o:spid="_x0000_s1028" o:spt="202" type="#_x0000_t202" style="position:absolute;left:-20;top:-20;height:5570;width:8430;" filled="f" stroked="f" coordsize="21600,21600">
                    <v:path/>
                    <v:fill on="f" focussize="0,0"/>
                    <v:stroke on="f"/>
                    <v:imagedata o:title=""/>
                    <o:lock v:ext="edit" aspectratio="f"/>
                    <v:textbox inset="0mm,0mm,0mm,0mm">
                      <w:txbxContent>
                        <w:p w14:paraId="3AA7F592">
                          <w:pPr>
                            <w:spacing w:line="241" w:lineRule="auto"/>
                            <w:rPr>
                              <w:rFonts w:ascii="Arial"/>
                              <w:sz w:val="21"/>
                            </w:rPr>
                          </w:pPr>
                        </w:p>
                        <w:p w14:paraId="3F39A254">
                          <w:pPr>
                            <w:spacing w:line="241" w:lineRule="auto"/>
                            <w:rPr>
                              <w:rFonts w:ascii="Arial"/>
                              <w:sz w:val="21"/>
                            </w:rPr>
                          </w:pPr>
                        </w:p>
                        <w:p w14:paraId="46602240">
                          <w:pPr>
                            <w:spacing w:line="241" w:lineRule="auto"/>
                            <w:rPr>
                              <w:rFonts w:ascii="Arial"/>
                              <w:sz w:val="21"/>
                            </w:rPr>
                          </w:pPr>
                        </w:p>
                        <w:p w14:paraId="0B1A138E">
                          <w:pPr>
                            <w:spacing w:line="241" w:lineRule="auto"/>
                            <w:rPr>
                              <w:rFonts w:ascii="Arial"/>
                              <w:sz w:val="21"/>
                            </w:rPr>
                          </w:pPr>
                        </w:p>
                        <w:p w14:paraId="1BA39979">
                          <w:pPr>
                            <w:spacing w:line="241" w:lineRule="auto"/>
                            <w:rPr>
                              <w:rFonts w:ascii="Arial"/>
                              <w:sz w:val="21"/>
                            </w:rPr>
                          </w:pPr>
                        </w:p>
                        <w:p w14:paraId="30098E5E">
                          <w:pPr>
                            <w:spacing w:line="241" w:lineRule="auto"/>
                            <w:rPr>
                              <w:rFonts w:ascii="Arial"/>
                              <w:sz w:val="21"/>
                            </w:rPr>
                          </w:pPr>
                        </w:p>
                        <w:p w14:paraId="534BA7B5">
                          <w:pPr>
                            <w:spacing w:line="241" w:lineRule="auto"/>
                            <w:rPr>
                              <w:rFonts w:ascii="Arial"/>
                              <w:sz w:val="21"/>
                            </w:rPr>
                          </w:pPr>
                        </w:p>
                        <w:p w14:paraId="1EA22C66">
                          <w:pPr>
                            <w:spacing w:line="241" w:lineRule="auto"/>
                            <w:rPr>
                              <w:rFonts w:ascii="Arial"/>
                              <w:sz w:val="21"/>
                            </w:rPr>
                          </w:pPr>
                        </w:p>
                        <w:p w14:paraId="7EBF0385">
                          <w:pPr>
                            <w:spacing w:line="242" w:lineRule="auto"/>
                            <w:rPr>
                              <w:rFonts w:ascii="Arial"/>
                              <w:sz w:val="21"/>
                            </w:rPr>
                          </w:pPr>
                        </w:p>
                        <w:p w14:paraId="71A0DAC1">
                          <w:pPr>
                            <w:spacing w:line="242" w:lineRule="auto"/>
                            <w:rPr>
                              <w:rFonts w:ascii="Arial"/>
                              <w:sz w:val="21"/>
                            </w:rPr>
                          </w:pPr>
                        </w:p>
                        <w:p w14:paraId="6607A434">
                          <w:pPr>
                            <w:spacing w:line="242" w:lineRule="auto"/>
                            <w:rPr>
                              <w:rFonts w:ascii="Arial"/>
                              <w:sz w:val="21"/>
                            </w:rPr>
                          </w:pPr>
                        </w:p>
                        <w:p w14:paraId="659F2561">
                          <w:pPr>
                            <w:spacing w:line="242" w:lineRule="auto"/>
                            <w:rPr>
                              <w:rFonts w:ascii="Arial"/>
                              <w:sz w:val="21"/>
                            </w:rPr>
                          </w:pPr>
                        </w:p>
                        <w:p w14:paraId="25A2620E">
                          <w:pPr>
                            <w:spacing w:line="242" w:lineRule="auto"/>
                            <w:rPr>
                              <w:rFonts w:ascii="Arial"/>
                              <w:sz w:val="21"/>
                            </w:rPr>
                          </w:pPr>
                        </w:p>
                        <w:p w14:paraId="65CCABDD">
                          <w:pPr>
                            <w:spacing w:line="242" w:lineRule="auto"/>
                            <w:rPr>
                              <w:rFonts w:ascii="Arial"/>
                              <w:sz w:val="21"/>
                            </w:rPr>
                          </w:pPr>
                        </w:p>
                        <w:p w14:paraId="5DC113E6">
                          <w:pPr>
                            <w:spacing w:line="242" w:lineRule="auto"/>
                            <w:rPr>
                              <w:rFonts w:ascii="Arial"/>
                              <w:sz w:val="21"/>
                            </w:rPr>
                          </w:pPr>
                        </w:p>
                        <w:p w14:paraId="0E253423">
                          <w:pPr>
                            <w:spacing w:line="242" w:lineRule="auto"/>
                            <w:rPr>
                              <w:rFonts w:ascii="Arial"/>
                              <w:sz w:val="21"/>
                            </w:rPr>
                          </w:pPr>
                        </w:p>
                        <w:p w14:paraId="097244CC">
                          <w:pPr>
                            <w:spacing w:line="242" w:lineRule="auto"/>
                            <w:rPr>
                              <w:rFonts w:ascii="Arial"/>
                              <w:sz w:val="21"/>
                            </w:rPr>
                          </w:pPr>
                        </w:p>
                        <w:p w14:paraId="4E942B4B">
                          <w:pPr>
                            <w:spacing w:line="242" w:lineRule="auto"/>
                            <w:rPr>
                              <w:rFonts w:ascii="Arial"/>
                              <w:sz w:val="21"/>
                            </w:rPr>
                          </w:pPr>
                        </w:p>
                        <w:p w14:paraId="277B707E">
                          <w:pPr>
                            <w:spacing w:line="242" w:lineRule="auto"/>
                            <w:rPr>
                              <w:rFonts w:ascii="Arial"/>
                              <w:sz w:val="21"/>
                            </w:rPr>
                          </w:pPr>
                        </w:p>
                        <w:p w14:paraId="15368B67">
                          <w:pPr>
                            <w:spacing w:line="242" w:lineRule="auto"/>
                            <w:rPr>
                              <w:rFonts w:ascii="Arial"/>
                              <w:sz w:val="21"/>
                            </w:rPr>
                          </w:pPr>
                        </w:p>
                        <w:p w14:paraId="321D7D72">
                          <w:pPr>
                            <w:spacing w:line="242" w:lineRule="auto"/>
                            <w:rPr>
                              <w:rFonts w:ascii="Arial"/>
                              <w:sz w:val="21"/>
                            </w:rPr>
                          </w:pPr>
                        </w:p>
                        <w:p w14:paraId="78CFE7C4">
                          <w:pPr>
                            <w:spacing w:before="78" w:line="239" w:lineRule="auto"/>
                            <w:ind w:left="6919"/>
                            <w:rPr>
                              <w:rFonts w:ascii="宋体" w:hAnsi="宋体" w:eastAsia="宋体" w:cs="宋体"/>
                              <w:sz w:val="24"/>
                              <w:szCs w:val="24"/>
                            </w:rPr>
                          </w:pPr>
                          <w:r>
                            <w:rPr>
                              <w:rFonts w:ascii="宋体" w:hAnsi="宋体" w:eastAsia="宋体" w:cs="宋体"/>
                              <w:spacing w:val="-2"/>
                              <w:sz w:val="24"/>
                              <w:szCs w:val="24"/>
                            </w:rPr>
                            <w:t>2024.08.05</w:t>
                          </w:r>
                        </w:p>
                      </w:txbxContent>
                    </v:textbox>
                  </v:shape>
                  <w10:wrap type="none"/>
                  <w10:anchorlock/>
                </v:group>
              </w:pict>
            </w:r>
          </w:p>
        </w:tc>
      </w:tr>
      <w:tr w14:paraId="6DB1B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19" w:type="dxa"/>
            <w:gridSpan w:val="2"/>
            <w:vAlign w:val="top"/>
          </w:tcPr>
          <w:p w14:paraId="35E73400">
            <w:pPr>
              <w:pStyle w:val="6"/>
              <w:spacing w:before="73" w:line="219" w:lineRule="auto"/>
              <w:ind w:left="2394"/>
              <w:rPr>
                <w:sz w:val="19"/>
                <w:szCs w:val="19"/>
              </w:rPr>
            </w:pPr>
            <w:r>
              <w:rPr>
                <w:spacing w:val="2"/>
                <w:sz w:val="19"/>
                <w:szCs w:val="19"/>
              </w:rPr>
              <w:t>项目区地块5旁道路现状(直接利用，不改造)</w:t>
            </w:r>
          </w:p>
        </w:tc>
      </w:tr>
      <w:tr w14:paraId="2A29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5" w:hRule="atLeast"/>
        </w:trPr>
        <w:tc>
          <w:tcPr>
            <w:tcW w:w="8415" w:type="dxa"/>
            <w:shd w:val="clear" w:color="auto" w:fill="4B5759"/>
            <w:vAlign w:val="top"/>
          </w:tcPr>
          <w:p w14:paraId="465CC101">
            <w:pPr>
              <w:pStyle w:val="6"/>
              <w:spacing w:before="15" w:line="4939" w:lineRule="exact"/>
              <w:ind w:firstLine="65"/>
            </w:pPr>
            <w:r>
              <w:rPr>
                <w:position w:val="-98"/>
              </w:rPr>
              <w:pict>
                <v:group id="_x0000_s1029" o:spid="_x0000_s1029" o:spt="203" style="height:247pt;width:415.5pt;" coordsize="8310,4940">
                  <o:lock v:ext="edit"/>
                  <v:shape id="_x0000_s1030" o:spid="_x0000_s1030" o:spt="75" type="#_x0000_t75" style="position:absolute;left:0;top:0;height:4940;width:8310;" filled="f" stroked="f" coordsize="21600,21600">
                    <v:path/>
                    <v:fill on="f" focussize="0,0"/>
                    <v:stroke on="f"/>
                    <v:imagedata r:id="rId165" o:title=""/>
                    <o:lock v:ext="edit" aspectratio="t"/>
                  </v:shape>
                  <v:shape id="_x0000_s1031" o:spid="_x0000_s1031" o:spt="202" type="#_x0000_t202" style="position:absolute;left:-20;top:-20;height:4980;width:8350;" filled="f" stroked="f" coordsize="21600,21600">
                    <v:path/>
                    <v:fill on="f" focussize="0,0"/>
                    <v:stroke on="f"/>
                    <v:imagedata o:title=""/>
                    <o:lock v:ext="edit" aspectratio="f"/>
                    <v:textbox inset="0mm,0mm,0mm,0mm">
                      <w:txbxContent>
                        <w:p w14:paraId="37502D6B">
                          <w:pPr>
                            <w:spacing w:line="248" w:lineRule="auto"/>
                            <w:rPr>
                              <w:rFonts w:ascii="Arial"/>
                              <w:sz w:val="21"/>
                            </w:rPr>
                          </w:pPr>
                        </w:p>
                        <w:p w14:paraId="2F6F1AA4">
                          <w:pPr>
                            <w:spacing w:line="248" w:lineRule="auto"/>
                            <w:rPr>
                              <w:rFonts w:ascii="Arial"/>
                              <w:sz w:val="21"/>
                            </w:rPr>
                          </w:pPr>
                        </w:p>
                        <w:p w14:paraId="5804F104">
                          <w:pPr>
                            <w:spacing w:line="248" w:lineRule="auto"/>
                            <w:rPr>
                              <w:rFonts w:ascii="Arial"/>
                              <w:sz w:val="21"/>
                            </w:rPr>
                          </w:pPr>
                        </w:p>
                        <w:p w14:paraId="4EB3B8A8">
                          <w:pPr>
                            <w:spacing w:line="248" w:lineRule="auto"/>
                            <w:rPr>
                              <w:rFonts w:ascii="Arial"/>
                              <w:sz w:val="21"/>
                            </w:rPr>
                          </w:pPr>
                        </w:p>
                        <w:p w14:paraId="52A8C02D">
                          <w:pPr>
                            <w:spacing w:line="248" w:lineRule="auto"/>
                            <w:rPr>
                              <w:rFonts w:ascii="Arial"/>
                              <w:sz w:val="21"/>
                            </w:rPr>
                          </w:pPr>
                        </w:p>
                        <w:p w14:paraId="62C3697C">
                          <w:pPr>
                            <w:spacing w:line="249" w:lineRule="auto"/>
                            <w:rPr>
                              <w:rFonts w:ascii="Arial"/>
                              <w:sz w:val="21"/>
                            </w:rPr>
                          </w:pPr>
                        </w:p>
                        <w:p w14:paraId="506AF655">
                          <w:pPr>
                            <w:spacing w:line="249" w:lineRule="auto"/>
                            <w:rPr>
                              <w:rFonts w:ascii="Arial"/>
                              <w:sz w:val="21"/>
                            </w:rPr>
                          </w:pPr>
                        </w:p>
                        <w:p w14:paraId="5D4E4399">
                          <w:pPr>
                            <w:spacing w:line="249" w:lineRule="auto"/>
                            <w:rPr>
                              <w:rFonts w:ascii="Arial"/>
                              <w:sz w:val="21"/>
                            </w:rPr>
                          </w:pPr>
                        </w:p>
                        <w:p w14:paraId="52E74F27">
                          <w:pPr>
                            <w:spacing w:line="249" w:lineRule="auto"/>
                            <w:rPr>
                              <w:rFonts w:ascii="Arial"/>
                              <w:sz w:val="21"/>
                            </w:rPr>
                          </w:pPr>
                        </w:p>
                        <w:p w14:paraId="55DC2A7D">
                          <w:pPr>
                            <w:spacing w:line="249" w:lineRule="auto"/>
                            <w:rPr>
                              <w:rFonts w:ascii="Arial"/>
                              <w:sz w:val="21"/>
                            </w:rPr>
                          </w:pPr>
                        </w:p>
                        <w:p w14:paraId="38E53D33">
                          <w:pPr>
                            <w:spacing w:line="249" w:lineRule="auto"/>
                            <w:rPr>
                              <w:rFonts w:ascii="Arial"/>
                              <w:sz w:val="21"/>
                            </w:rPr>
                          </w:pPr>
                        </w:p>
                        <w:p w14:paraId="27C83CBD">
                          <w:pPr>
                            <w:spacing w:line="249" w:lineRule="auto"/>
                            <w:rPr>
                              <w:rFonts w:ascii="Arial"/>
                              <w:sz w:val="21"/>
                            </w:rPr>
                          </w:pPr>
                        </w:p>
                        <w:p w14:paraId="7D0530F4">
                          <w:pPr>
                            <w:spacing w:line="249" w:lineRule="auto"/>
                            <w:rPr>
                              <w:rFonts w:ascii="Arial"/>
                              <w:sz w:val="21"/>
                            </w:rPr>
                          </w:pPr>
                        </w:p>
                        <w:p w14:paraId="2F8892A4">
                          <w:pPr>
                            <w:spacing w:line="249" w:lineRule="auto"/>
                            <w:rPr>
                              <w:rFonts w:ascii="Arial"/>
                              <w:sz w:val="21"/>
                            </w:rPr>
                          </w:pPr>
                        </w:p>
                        <w:p w14:paraId="78719725">
                          <w:pPr>
                            <w:spacing w:line="249" w:lineRule="auto"/>
                            <w:rPr>
                              <w:rFonts w:ascii="Arial"/>
                              <w:sz w:val="21"/>
                            </w:rPr>
                          </w:pPr>
                        </w:p>
                        <w:p w14:paraId="048A5A6A">
                          <w:pPr>
                            <w:spacing w:line="249" w:lineRule="auto"/>
                            <w:rPr>
                              <w:rFonts w:ascii="Arial"/>
                              <w:sz w:val="21"/>
                            </w:rPr>
                          </w:pPr>
                        </w:p>
                        <w:p w14:paraId="2526F014">
                          <w:pPr>
                            <w:spacing w:line="249" w:lineRule="auto"/>
                            <w:rPr>
                              <w:rFonts w:ascii="Arial"/>
                              <w:sz w:val="21"/>
                            </w:rPr>
                          </w:pPr>
                        </w:p>
                        <w:p w14:paraId="2C3786F7">
                          <w:pPr>
                            <w:spacing w:line="249" w:lineRule="auto"/>
                            <w:rPr>
                              <w:rFonts w:ascii="Arial"/>
                              <w:sz w:val="21"/>
                            </w:rPr>
                          </w:pPr>
                        </w:p>
                        <w:p w14:paraId="073BDD99">
                          <w:pPr>
                            <w:spacing w:before="78" w:line="239" w:lineRule="auto"/>
                            <w:ind w:left="6959"/>
                            <w:rPr>
                              <w:rFonts w:ascii="宋体" w:hAnsi="宋体" w:eastAsia="宋体" w:cs="宋体"/>
                              <w:sz w:val="24"/>
                              <w:szCs w:val="24"/>
                            </w:rPr>
                          </w:pPr>
                          <w:r>
                            <w:rPr>
                              <w:rFonts w:ascii="宋体" w:hAnsi="宋体" w:eastAsia="宋体" w:cs="宋体"/>
                              <w:spacing w:val="-2"/>
                              <w:sz w:val="24"/>
                              <w:szCs w:val="24"/>
                            </w:rPr>
                            <w:t>2024.08.05</w:t>
                          </w:r>
                        </w:p>
                      </w:txbxContent>
                    </v:textbox>
                  </v:shape>
                  <w10:wrap type="none"/>
                  <w10:anchorlock/>
                </v:group>
              </w:pict>
            </w:r>
          </w:p>
        </w:tc>
        <w:tc>
          <w:tcPr>
            <w:tcW w:w="104" w:type="dxa"/>
            <w:shd w:val="clear" w:color="auto" w:fill="FFFFFF"/>
            <w:vAlign w:val="top"/>
          </w:tcPr>
          <w:p w14:paraId="1A077421">
            <w:pPr>
              <w:rPr>
                <w:rFonts w:ascii="Arial"/>
                <w:sz w:val="21"/>
              </w:rPr>
            </w:pPr>
          </w:p>
        </w:tc>
      </w:tr>
      <w:tr w14:paraId="34FF4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519" w:type="dxa"/>
            <w:gridSpan w:val="2"/>
            <w:vAlign w:val="top"/>
          </w:tcPr>
          <w:p w14:paraId="2343E743">
            <w:pPr>
              <w:pStyle w:val="6"/>
              <w:spacing w:before="66" w:line="219" w:lineRule="auto"/>
              <w:ind w:left="3064"/>
              <w:rPr>
                <w:sz w:val="19"/>
                <w:szCs w:val="19"/>
              </w:rPr>
            </w:pPr>
            <w:r>
              <w:rPr>
                <w:spacing w:val="-1"/>
                <w:sz w:val="19"/>
                <w:szCs w:val="19"/>
              </w:rPr>
              <w:t>项目地块1光伏阵列区域现状</w:t>
            </w:r>
          </w:p>
        </w:tc>
      </w:tr>
    </w:tbl>
    <w:p w14:paraId="3710C952">
      <w:pPr>
        <w:pStyle w:val="2"/>
      </w:pPr>
    </w:p>
    <w:p w14:paraId="601DC81A">
      <w:pPr>
        <w:sectPr>
          <w:pgSz w:w="11910" w:h="16830"/>
          <w:pgMar w:top="1430" w:right="1705" w:bottom="400" w:left="1675" w:header="0" w:footer="0" w:gutter="0"/>
          <w:cols w:space="720" w:num="1"/>
        </w:sectPr>
      </w:pPr>
    </w:p>
    <w:p w14:paraId="17548A6B">
      <w:pPr>
        <w:spacing w:line="94" w:lineRule="exact"/>
      </w:pPr>
      <w:r>
        <w:drawing>
          <wp:anchor distT="0" distB="0" distL="0" distR="0" simplePos="0" relativeHeight="251666432" behindDoc="0" locked="0" layoutInCell="0" allowOverlap="1">
            <wp:simplePos x="0" y="0"/>
            <wp:positionH relativeFrom="page">
              <wp:posOffset>1047750</wp:posOffset>
            </wp:positionH>
            <wp:positionV relativeFrom="page">
              <wp:posOffset>908050</wp:posOffset>
            </wp:positionV>
            <wp:extent cx="5454650" cy="6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66"/>
                    <a:stretch>
                      <a:fillRect/>
                    </a:stretch>
                  </pic:blipFill>
                  <pic:spPr>
                    <a:xfrm>
                      <a:off x="0" y="0"/>
                      <a:ext cx="5454629" cy="6350"/>
                    </a:xfrm>
                    <a:prstGeom prst="rect">
                      <a:avLst/>
                    </a:prstGeom>
                  </pic:spPr>
                </pic:pic>
              </a:graphicData>
            </a:graphic>
          </wp:anchor>
        </w:drawing>
      </w:r>
    </w:p>
    <w:tbl>
      <w:tblPr>
        <w:tblStyle w:val="5"/>
        <w:tblW w:w="8499" w:type="dxa"/>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99"/>
      </w:tblGrid>
      <w:tr w14:paraId="39F05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0" w:hRule="atLeast"/>
        </w:trPr>
        <w:tc>
          <w:tcPr>
            <w:tcW w:w="8499" w:type="dxa"/>
            <w:shd w:val="clear" w:color="auto" w:fill="76816D"/>
            <w:vAlign w:val="top"/>
          </w:tcPr>
          <w:p w14:paraId="78611F61">
            <w:pPr>
              <w:pStyle w:val="6"/>
              <w:spacing w:before="15" w:line="5729" w:lineRule="exact"/>
              <w:ind w:firstLine="65"/>
            </w:pPr>
            <w:r>
              <w:rPr>
                <w:position w:val="-114"/>
              </w:rPr>
              <w:pict>
                <v:group id="_x0000_s1032" o:spid="_x0000_s1032" o:spt="203" style="height:286.5pt;width:419.5pt;" coordsize="8390,5730">
                  <o:lock v:ext="edit"/>
                  <v:shape id="_x0000_s1033" o:spid="_x0000_s1033" o:spt="75" type="#_x0000_t75" style="position:absolute;left:0;top:0;height:5730;width:8390;" filled="f" stroked="f" coordsize="21600,21600">
                    <v:path/>
                    <v:fill on="f" focussize="0,0"/>
                    <v:stroke on="f"/>
                    <v:imagedata r:id="rId167" o:title=""/>
                    <o:lock v:ext="edit" aspectratio="t"/>
                  </v:shape>
                  <v:shape id="_x0000_s1034" o:spid="_x0000_s1034" o:spt="202" type="#_x0000_t202" style="position:absolute;left:-20;top:-20;height:5770;width:8430;" filled="f" stroked="f" coordsize="21600,21600">
                    <v:path/>
                    <v:fill on="f" focussize="0,0"/>
                    <v:stroke on="f"/>
                    <v:imagedata o:title=""/>
                    <o:lock v:ext="edit" aspectratio="f"/>
                    <v:textbox inset="0mm,0mm,0mm,0mm">
                      <w:txbxContent>
                        <w:p w14:paraId="6C40A083">
                          <w:pPr>
                            <w:rPr>
                              <w:rFonts w:ascii="Arial"/>
                              <w:sz w:val="21"/>
                            </w:rPr>
                          </w:pPr>
                        </w:p>
                        <w:p w14:paraId="5A92A1A1">
                          <w:pPr>
                            <w:rPr>
                              <w:rFonts w:ascii="Arial"/>
                              <w:sz w:val="21"/>
                            </w:rPr>
                          </w:pPr>
                        </w:p>
                        <w:p w14:paraId="06501C9D">
                          <w:pPr>
                            <w:rPr>
                              <w:rFonts w:ascii="Arial"/>
                              <w:sz w:val="21"/>
                            </w:rPr>
                          </w:pPr>
                        </w:p>
                        <w:p w14:paraId="760B6C1A">
                          <w:pPr>
                            <w:rPr>
                              <w:rFonts w:ascii="Arial"/>
                              <w:sz w:val="21"/>
                            </w:rPr>
                          </w:pPr>
                        </w:p>
                        <w:p w14:paraId="7A5BA1E7">
                          <w:pPr>
                            <w:rPr>
                              <w:rFonts w:ascii="Arial"/>
                              <w:sz w:val="21"/>
                            </w:rPr>
                          </w:pPr>
                        </w:p>
                        <w:p w14:paraId="69B92ED2">
                          <w:pPr>
                            <w:rPr>
                              <w:rFonts w:ascii="Arial"/>
                              <w:sz w:val="21"/>
                            </w:rPr>
                          </w:pPr>
                        </w:p>
                        <w:p w14:paraId="45EF0A99">
                          <w:pPr>
                            <w:rPr>
                              <w:rFonts w:ascii="Arial"/>
                              <w:sz w:val="21"/>
                            </w:rPr>
                          </w:pPr>
                        </w:p>
                        <w:p w14:paraId="37F33050">
                          <w:pPr>
                            <w:rPr>
                              <w:rFonts w:ascii="Arial"/>
                              <w:sz w:val="21"/>
                            </w:rPr>
                          </w:pPr>
                        </w:p>
                        <w:p w14:paraId="626B8B9F">
                          <w:pPr>
                            <w:rPr>
                              <w:rFonts w:ascii="Arial"/>
                              <w:sz w:val="21"/>
                            </w:rPr>
                          </w:pPr>
                        </w:p>
                        <w:p w14:paraId="020CA833">
                          <w:pPr>
                            <w:rPr>
                              <w:rFonts w:ascii="Arial"/>
                              <w:sz w:val="21"/>
                            </w:rPr>
                          </w:pPr>
                        </w:p>
                        <w:p w14:paraId="0AE275AC">
                          <w:pPr>
                            <w:rPr>
                              <w:rFonts w:ascii="Arial"/>
                              <w:sz w:val="21"/>
                            </w:rPr>
                          </w:pPr>
                        </w:p>
                        <w:p w14:paraId="418815D7">
                          <w:pPr>
                            <w:rPr>
                              <w:rFonts w:ascii="Arial"/>
                              <w:sz w:val="21"/>
                            </w:rPr>
                          </w:pPr>
                        </w:p>
                        <w:p w14:paraId="28524ED0">
                          <w:pPr>
                            <w:rPr>
                              <w:rFonts w:ascii="Arial"/>
                              <w:sz w:val="21"/>
                            </w:rPr>
                          </w:pPr>
                        </w:p>
                        <w:p w14:paraId="21F16C0F">
                          <w:pPr>
                            <w:rPr>
                              <w:rFonts w:ascii="Arial"/>
                              <w:sz w:val="21"/>
                            </w:rPr>
                          </w:pPr>
                        </w:p>
                        <w:p w14:paraId="2E79681A">
                          <w:pPr>
                            <w:spacing w:line="241" w:lineRule="auto"/>
                            <w:rPr>
                              <w:rFonts w:ascii="Arial"/>
                              <w:sz w:val="21"/>
                            </w:rPr>
                          </w:pPr>
                        </w:p>
                        <w:p w14:paraId="7A1BA68A">
                          <w:pPr>
                            <w:spacing w:line="241" w:lineRule="auto"/>
                            <w:rPr>
                              <w:rFonts w:ascii="Arial"/>
                              <w:sz w:val="21"/>
                            </w:rPr>
                          </w:pPr>
                        </w:p>
                        <w:p w14:paraId="610EFDB4">
                          <w:pPr>
                            <w:spacing w:line="241" w:lineRule="auto"/>
                            <w:rPr>
                              <w:rFonts w:ascii="Arial"/>
                              <w:sz w:val="21"/>
                            </w:rPr>
                          </w:pPr>
                        </w:p>
                        <w:p w14:paraId="741CB4CC">
                          <w:pPr>
                            <w:spacing w:line="241" w:lineRule="auto"/>
                            <w:rPr>
                              <w:rFonts w:ascii="Arial"/>
                              <w:sz w:val="21"/>
                            </w:rPr>
                          </w:pPr>
                        </w:p>
                        <w:p w14:paraId="2A0B093C">
                          <w:pPr>
                            <w:spacing w:line="241" w:lineRule="auto"/>
                            <w:rPr>
                              <w:rFonts w:ascii="Arial"/>
                              <w:sz w:val="21"/>
                            </w:rPr>
                          </w:pPr>
                        </w:p>
                        <w:p w14:paraId="30CE615B">
                          <w:pPr>
                            <w:spacing w:line="241" w:lineRule="auto"/>
                            <w:rPr>
                              <w:rFonts w:ascii="Arial"/>
                              <w:sz w:val="21"/>
                            </w:rPr>
                          </w:pPr>
                        </w:p>
                        <w:p w14:paraId="5E4579D2">
                          <w:pPr>
                            <w:spacing w:line="241" w:lineRule="auto"/>
                            <w:rPr>
                              <w:rFonts w:ascii="Arial"/>
                              <w:sz w:val="21"/>
                            </w:rPr>
                          </w:pPr>
                        </w:p>
                        <w:p w14:paraId="7428A4E6">
                          <w:pPr>
                            <w:spacing w:line="241" w:lineRule="auto"/>
                            <w:rPr>
                              <w:rFonts w:ascii="Arial"/>
                              <w:sz w:val="21"/>
                            </w:rPr>
                          </w:pPr>
                        </w:p>
                        <w:p w14:paraId="03470C79">
                          <w:pPr>
                            <w:spacing w:before="68" w:line="239" w:lineRule="auto"/>
                            <w:ind w:left="6969"/>
                            <w:rPr>
                              <w:rFonts w:ascii="宋体" w:hAnsi="宋体" w:eastAsia="宋体" w:cs="宋体"/>
                              <w:sz w:val="21"/>
                              <w:szCs w:val="21"/>
                            </w:rPr>
                          </w:pPr>
                          <w:r>
                            <w:rPr>
                              <w:rFonts w:ascii="宋体" w:hAnsi="宋体" w:eastAsia="宋体" w:cs="宋体"/>
                              <w:spacing w:val="-1"/>
                              <w:sz w:val="21"/>
                              <w:szCs w:val="21"/>
                            </w:rPr>
                            <w:t>2024.08.05</w:t>
                          </w:r>
                        </w:p>
                      </w:txbxContent>
                    </v:textbox>
                  </v:shape>
                  <w10:wrap type="none"/>
                  <w10:anchorlock/>
                </v:group>
              </w:pict>
            </w:r>
          </w:p>
        </w:tc>
      </w:tr>
      <w:tr w14:paraId="36D75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499" w:type="dxa"/>
            <w:vAlign w:val="top"/>
          </w:tcPr>
          <w:p w14:paraId="0882318E">
            <w:pPr>
              <w:pStyle w:val="6"/>
              <w:spacing w:before="53" w:line="216" w:lineRule="auto"/>
              <w:ind w:left="3324"/>
              <w:rPr>
                <w:sz w:val="21"/>
                <w:szCs w:val="21"/>
              </w:rPr>
            </w:pPr>
            <w:r>
              <w:rPr>
                <w:spacing w:val="-1"/>
                <w:sz w:val="21"/>
                <w:szCs w:val="21"/>
              </w:rPr>
              <w:t>项目地块2占用耕地现状</w:t>
            </w:r>
          </w:p>
        </w:tc>
      </w:tr>
      <w:tr w14:paraId="049B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0" w:hRule="atLeast"/>
        </w:trPr>
        <w:tc>
          <w:tcPr>
            <w:tcW w:w="8499" w:type="dxa"/>
            <w:shd w:val="clear" w:color="auto" w:fill="716C5A"/>
            <w:vAlign w:val="top"/>
          </w:tcPr>
          <w:p w14:paraId="7EF83304">
            <w:pPr>
              <w:pStyle w:val="6"/>
              <w:spacing w:before="26" w:line="5740" w:lineRule="exact"/>
              <w:ind w:firstLine="35"/>
            </w:pPr>
            <w:r>
              <w:rPr>
                <w:position w:val="-114"/>
              </w:rPr>
              <w:pict>
                <v:group id="_x0000_s1035" o:spid="_x0000_s1035" o:spt="203" style="height:287.05pt;width:421.05pt;" coordsize="8420,5740">
                  <o:lock v:ext="edit"/>
                  <v:shape id="_x0000_s1036" o:spid="_x0000_s1036" o:spt="75" type="#_x0000_t75" style="position:absolute;left:0;top:0;height:5740;width:8420;" filled="f" stroked="f" coordsize="21600,21600">
                    <v:path/>
                    <v:fill on="f" focussize="0,0"/>
                    <v:stroke on="f"/>
                    <v:imagedata r:id="rId168" o:title=""/>
                    <o:lock v:ext="edit" aspectratio="t"/>
                  </v:shape>
                  <v:shape id="_x0000_s1037" o:spid="_x0000_s1037" o:spt="202" type="#_x0000_t202" style="position:absolute;left:-20;top:-20;height:5780;width:8460;" filled="f" stroked="f" coordsize="21600,21600">
                    <v:path/>
                    <v:fill on="f" focussize="0,0"/>
                    <v:stroke on="f"/>
                    <v:imagedata o:title=""/>
                    <o:lock v:ext="edit" aspectratio="f"/>
                    <v:textbox inset="0mm,0mm,0mm,0mm">
                      <w:txbxContent>
                        <w:p w14:paraId="7F508C8E">
                          <w:pPr>
                            <w:spacing w:line="243" w:lineRule="auto"/>
                            <w:rPr>
                              <w:rFonts w:ascii="Arial"/>
                              <w:sz w:val="21"/>
                            </w:rPr>
                          </w:pPr>
                        </w:p>
                        <w:p w14:paraId="7FF310C5">
                          <w:pPr>
                            <w:spacing w:line="243" w:lineRule="auto"/>
                            <w:rPr>
                              <w:rFonts w:ascii="Arial"/>
                              <w:sz w:val="21"/>
                            </w:rPr>
                          </w:pPr>
                        </w:p>
                        <w:p w14:paraId="3B81D41E">
                          <w:pPr>
                            <w:spacing w:line="243" w:lineRule="auto"/>
                            <w:rPr>
                              <w:rFonts w:ascii="Arial"/>
                              <w:sz w:val="21"/>
                            </w:rPr>
                          </w:pPr>
                        </w:p>
                        <w:p w14:paraId="713F7323">
                          <w:pPr>
                            <w:spacing w:line="243" w:lineRule="auto"/>
                            <w:rPr>
                              <w:rFonts w:ascii="Arial"/>
                              <w:sz w:val="21"/>
                            </w:rPr>
                          </w:pPr>
                        </w:p>
                        <w:p w14:paraId="272AA9E7">
                          <w:pPr>
                            <w:spacing w:line="243" w:lineRule="auto"/>
                            <w:rPr>
                              <w:rFonts w:ascii="Arial"/>
                              <w:sz w:val="21"/>
                            </w:rPr>
                          </w:pPr>
                        </w:p>
                        <w:p w14:paraId="53A11F8C">
                          <w:pPr>
                            <w:spacing w:line="243" w:lineRule="auto"/>
                            <w:rPr>
                              <w:rFonts w:ascii="Arial"/>
                              <w:sz w:val="21"/>
                            </w:rPr>
                          </w:pPr>
                        </w:p>
                        <w:p w14:paraId="1E2933C3">
                          <w:pPr>
                            <w:spacing w:line="243" w:lineRule="auto"/>
                            <w:rPr>
                              <w:rFonts w:ascii="Arial"/>
                              <w:sz w:val="21"/>
                            </w:rPr>
                          </w:pPr>
                        </w:p>
                        <w:p w14:paraId="1B808FE5">
                          <w:pPr>
                            <w:spacing w:line="243" w:lineRule="auto"/>
                            <w:rPr>
                              <w:rFonts w:ascii="Arial"/>
                              <w:sz w:val="21"/>
                            </w:rPr>
                          </w:pPr>
                        </w:p>
                        <w:p w14:paraId="6E673C83">
                          <w:pPr>
                            <w:spacing w:line="243" w:lineRule="auto"/>
                            <w:rPr>
                              <w:rFonts w:ascii="Arial"/>
                              <w:sz w:val="21"/>
                            </w:rPr>
                          </w:pPr>
                        </w:p>
                        <w:p w14:paraId="2D96A667">
                          <w:pPr>
                            <w:spacing w:line="243" w:lineRule="auto"/>
                            <w:rPr>
                              <w:rFonts w:ascii="Arial"/>
                              <w:sz w:val="21"/>
                            </w:rPr>
                          </w:pPr>
                        </w:p>
                        <w:p w14:paraId="24BE8299">
                          <w:pPr>
                            <w:spacing w:line="244" w:lineRule="auto"/>
                            <w:rPr>
                              <w:rFonts w:ascii="Arial"/>
                              <w:sz w:val="21"/>
                            </w:rPr>
                          </w:pPr>
                        </w:p>
                        <w:p w14:paraId="15572A19">
                          <w:pPr>
                            <w:spacing w:line="244" w:lineRule="auto"/>
                            <w:rPr>
                              <w:rFonts w:ascii="Arial"/>
                              <w:sz w:val="21"/>
                            </w:rPr>
                          </w:pPr>
                        </w:p>
                        <w:p w14:paraId="56BD2AAF">
                          <w:pPr>
                            <w:spacing w:line="244" w:lineRule="auto"/>
                            <w:rPr>
                              <w:rFonts w:ascii="Arial"/>
                              <w:sz w:val="21"/>
                            </w:rPr>
                          </w:pPr>
                        </w:p>
                        <w:p w14:paraId="218969F8">
                          <w:pPr>
                            <w:spacing w:line="244" w:lineRule="auto"/>
                            <w:rPr>
                              <w:rFonts w:ascii="Arial"/>
                              <w:sz w:val="21"/>
                            </w:rPr>
                          </w:pPr>
                        </w:p>
                        <w:p w14:paraId="178344FE">
                          <w:pPr>
                            <w:spacing w:line="244" w:lineRule="auto"/>
                            <w:rPr>
                              <w:rFonts w:ascii="Arial"/>
                              <w:sz w:val="21"/>
                            </w:rPr>
                          </w:pPr>
                        </w:p>
                        <w:p w14:paraId="297C6D0D">
                          <w:pPr>
                            <w:spacing w:line="244" w:lineRule="auto"/>
                            <w:rPr>
                              <w:rFonts w:ascii="Arial"/>
                              <w:sz w:val="21"/>
                            </w:rPr>
                          </w:pPr>
                        </w:p>
                        <w:p w14:paraId="7EBF557F">
                          <w:pPr>
                            <w:spacing w:line="244" w:lineRule="auto"/>
                            <w:rPr>
                              <w:rFonts w:ascii="Arial"/>
                              <w:sz w:val="21"/>
                            </w:rPr>
                          </w:pPr>
                        </w:p>
                        <w:p w14:paraId="1434209F">
                          <w:pPr>
                            <w:spacing w:line="244" w:lineRule="auto"/>
                            <w:rPr>
                              <w:rFonts w:ascii="Arial"/>
                              <w:sz w:val="21"/>
                            </w:rPr>
                          </w:pPr>
                        </w:p>
                        <w:p w14:paraId="2F9028A3">
                          <w:pPr>
                            <w:spacing w:line="244" w:lineRule="auto"/>
                            <w:rPr>
                              <w:rFonts w:ascii="Arial"/>
                              <w:sz w:val="21"/>
                            </w:rPr>
                          </w:pPr>
                        </w:p>
                        <w:p w14:paraId="5D52EE56">
                          <w:pPr>
                            <w:spacing w:line="244" w:lineRule="auto"/>
                            <w:rPr>
                              <w:rFonts w:ascii="Arial"/>
                              <w:sz w:val="21"/>
                            </w:rPr>
                          </w:pPr>
                        </w:p>
                        <w:p w14:paraId="27E74E34">
                          <w:pPr>
                            <w:spacing w:line="244" w:lineRule="auto"/>
                            <w:rPr>
                              <w:rFonts w:ascii="Arial"/>
                              <w:sz w:val="21"/>
                            </w:rPr>
                          </w:pPr>
                        </w:p>
                        <w:p w14:paraId="3BA6F587">
                          <w:pPr>
                            <w:spacing w:line="244" w:lineRule="auto"/>
                            <w:rPr>
                              <w:rFonts w:ascii="Arial"/>
                              <w:sz w:val="21"/>
                            </w:rPr>
                          </w:pPr>
                        </w:p>
                        <w:p w14:paraId="3C84D9EC">
                          <w:pPr>
                            <w:spacing w:before="68" w:line="239" w:lineRule="auto"/>
                            <w:ind w:left="6999"/>
                            <w:rPr>
                              <w:rFonts w:ascii="宋体" w:hAnsi="宋体" w:eastAsia="宋体" w:cs="宋体"/>
                              <w:sz w:val="21"/>
                              <w:szCs w:val="21"/>
                            </w:rPr>
                          </w:pPr>
                          <w:r>
                            <w:rPr>
                              <w:rFonts w:ascii="宋体" w:hAnsi="宋体" w:eastAsia="宋体" w:cs="宋体"/>
                              <w:spacing w:val="-1"/>
                              <w:sz w:val="21"/>
                              <w:szCs w:val="21"/>
                            </w:rPr>
                            <w:t>2024.08.05</w:t>
                          </w:r>
                        </w:p>
                      </w:txbxContent>
                    </v:textbox>
                  </v:shape>
                  <w10:wrap type="none"/>
                  <w10:anchorlock/>
                </v:group>
              </w:pict>
            </w:r>
          </w:p>
        </w:tc>
      </w:tr>
    </w:tbl>
    <w:p w14:paraId="6A0DBC4C">
      <w:pPr>
        <w:spacing w:before="71" w:line="219" w:lineRule="auto"/>
        <w:ind w:left="3199"/>
        <w:rPr>
          <w:rFonts w:ascii="宋体" w:hAnsi="宋体" w:eastAsia="宋体" w:cs="宋体"/>
          <w:sz w:val="18"/>
          <w:szCs w:val="18"/>
        </w:rPr>
      </w:pPr>
      <w:r>
        <w:rPr>
          <w:rFonts w:ascii="宋体" w:hAnsi="宋体" w:eastAsia="宋体" w:cs="宋体"/>
          <w:spacing w:val="-1"/>
          <w:sz w:val="18"/>
          <w:szCs w:val="18"/>
        </w:rPr>
        <w:t>项目地块3光伏阵列范围现状</w:t>
      </w:r>
    </w:p>
    <w:p w14:paraId="6B9690CD">
      <w:pPr>
        <w:spacing w:line="219" w:lineRule="auto"/>
        <w:rPr>
          <w:rFonts w:ascii="宋体" w:hAnsi="宋体" w:eastAsia="宋体" w:cs="宋体"/>
          <w:sz w:val="18"/>
          <w:szCs w:val="18"/>
        </w:rPr>
        <w:sectPr>
          <w:pgSz w:w="11910" w:h="16830"/>
          <w:pgMar w:top="1430" w:right="1670" w:bottom="400" w:left="1650" w:header="0" w:footer="0" w:gutter="0"/>
          <w:cols w:space="720" w:num="1"/>
        </w:sectPr>
      </w:pPr>
    </w:p>
    <w:p w14:paraId="7B6EBB2B">
      <w:pPr>
        <w:spacing w:line="46" w:lineRule="auto"/>
        <w:rPr>
          <w:rFonts w:ascii="Arial"/>
          <w:sz w:val="2"/>
        </w:rPr>
      </w:pPr>
    </w:p>
    <w:tbl>
      <w:tblPr>
        <w:tblStyle w:val="5"/>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9"/>
      </w:tblGrid>
      <w:tr w14:paraId="53265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0" w:hRule="atLeast"/>
        </w:trPr>
        <w:tc>
          <w:tcPr>
            <w:tcW w:w="8509" w:type="dxa"/>
            <w:vAlign w:val="top"/>
          </w:tcPr>
          <w:p w14:paraId="47AC9565">
            <w:pPr>
              <w:spacing w:line="241" w:lineRule="auto"/>
              <w:rPr>
                <w:rFonts w:ascii="Arial"/>
                <w:sz w:val="21"/>
              </w:rPr>
            </w:pPr>
          </w:p>
          <w:p w14:paraId="51B13B22">
            <w:pPr>
              <w:spacing w:line="241" w:lineRule="auto"/>
              <w:rPr>
                <w:rFonts w:ascii="Arial"/>
                <w:sz w:val="21"/>
              </w:rPr>
            </w:pPr>
          </w:p>
          <w:p w14:paraId="0A511C9B">
            <w:pPr>
              <w:spacing w:line="241" w:lineRule="auto"/>
              <w:rPr>
                <w:rFonts w:ascii="Arial"/>
                <w:sz w:val="21"/>
              </w:rPr>
            </w:pPr>
          </w:p>
          <w:p w14:paraId="1C99BC81">
            <w:pPr>
              <w:spacing w:line="241" w:lineRule="auto"/>
              <w:rPr>
                <w:rFonts w:ascii="Arial"/>
                <w:sz w:val="21"/>
              </w:rPr>
            </w:pPr>
          </w:p>
          <w:p w14:paraId="7555E26A">
            <w:pPr>
              <w:spacing w:line="241" w:lineRule="auto"/>
              <w:rPr>
                <w:rFonts w:ascii="Arial"/>
                <w:sz w:val="21"/>
              </w:rPr>
            </w:pPr>
          </w:p>
          <w:p w14:paraId="6BA5A15C">
            <w:pPr>
              <w:spacing w:line="241" w:lineRule="auto"/>
              <w:rPr>
                <w:rFonts w:ascii="Arial"/>
                <w:sz w:val="21"/>
              </w:rPr>
            </w:pPr>
          </w:p>
          <w:p w14:paraId="66CF306D">
            <w:pPr>
              <w:spacing w:line="241" w:lineRule="auto"/>
              <w:rPr>
                <w:rFonts w:ascii="Arial"/>
                <w:sz w:val="21"/>
              </w:rPr>
            </w:pPr>
          </w:p>
          <w:p w14:paraId="2F6D6677">
            <w:pPr>
              <w:spacing w:line="241" w:lineRule="auto"/>
              <w:rPr>
                <w:rFonts w:ascii="Arial"/>
                <w:sz w:val="21"/>
              </w:rPr>
            </w:pPr>
          </w:p>
          <w:p w14:paraId="5234D2BB">
            <w:pPr>
              <w:spacing w:line="241" w:lineRule="auto"/>
              <w:rPr>
                <w:rFonts w:ascii="Arial"/>
                <w:sz w:val="21"/>
              </w:rPr>
            </w:pPr>
          </w:p>
          <w:p w14:paraId="453606EE">
            <w:pPr>
              <w:spacing w:line="241" w:lineRule="auto"/>
              <w:rPr>
                <w:rFonts w:ascii="Arial"/>
                <w:sz w:val="21"/>
              </w:rPr>
            </w:pPr>
          </w:p>
          <w:p w14:paraId="2D5C1B2E">
            <w:pPr>
              <w:spacing w:line="241" w:lineRule="auto"/>
              <w:rPr>
                <w:rFonts w:ascii="Arial"/>
                <w:sz w:val="21"/>
              </w:rPr>
            </w:pPr>
          </w:p>
          <w:p w14:paraId="4FEA59DA">
            <w:pPr>
              <w:spacing w:line="241" w:lineRule="auto"/>
              <w:rPr>
                <w:rFonts w:ascii="Arial"/>
                <w:sz w:val="21"/>
              </w:rPr>
            </w:pPr>
          </w:p>
          <w:p w14:paraId="68C9AD31">
            <w:pPr>
              <w:spacing w:line="241" w:lineRule="auto"/>
              <w:rPr>
                <w:rFonts w:ascii="Arial"/>
                <w:sz w:val="21"/>
              </w:rPr>
            </w:pPr>
          </w:p>
          <w:p w14:paraId="247124F2">
            <w:pPr>
              <w:spacing w:line="241" w:lineRule="auto"/>
              <w:rPr>
                <w:rFonts w:ascii="Arial"/>
                <w:sz w:val="21"/>
              </w:rPr>
            </w:pPr>
          </w:p>
          <w:p w14:paraId="7E5A23C2">
            <w:pPr>
              <w:spacing w:line="241" w:lineRule="auto"/>
              <w:rPr>
                <w:rFonts w:ascii="Arial"/>
                <w:sz w:val="21"/>
              </w:rPr>
            </w:pPr>
          </w:p>
          <w:p w14:paraId="11917CD5">
            <w:pPr>
              <w:spacing w:line="241" w:lineRule="auto"/>
              <w:rPr>
                <w:rFonts w:ascii="Arial"/>
                <w:sz w:val="21"/>
              </w:rPr>
            </w:pPr>
          </w:p>
          <w:p w14:paraId="5821059A">
            <w:pPr>
              <w:spacing w:line="242" w:lineRule="auto"/>
              <w:rPr>
                <w:rFonts w:ascii="Arial"/>
                <w:sz w:val="21"/>
              </w:rPr>
            </w:pPr>
          </w:p>
          <w:p w14:paraId="1BBED4B2">
            <w:pPr>
              <w:spacing w:line="242" w:lineRule="auto"/>
              <w:rPr>
                <w:rFonts w:ascii="Arial"/>
                <w:sz w:val="21"/>
              </w:rPr>
            </w:pPr>
          </w:p>
          <w:p w14:paraId="419E0CDD">
            <w:pPr>
              <w:spacing w:line="242" w:lineRule="auto"/>
              <w:rPr>
                <w:rFonts w:ascii="Arial"/>
                <w:sz w:val="21"/>
              </w:rPr>
            </w:pPr>
          </w:p>
          <w:p w14:paraId="4CE35320">
            <w:pPr>
              <w:spacing w:line="242" w:lineRule="auto"/>
              <w:rPr>
                <w:rFonts w:ascii="Arial"/>
                <w:sz w:val="21"/>
              </w:rPr>
            </w:pPr>
          </w:p>
          <w:p w14:paraId="5F370ECF">
            <w:pPr>
              <w:spacing w:line="242" w:lineRule="auto"/>
              <w:rPr>
                <w:rFonts w:ascii="Arial"/>
                <w:sz w:val="21"/>
              </w:rPr>
            </w:pPr>
          </w:p>
          <w:p w14:paraId="03BA9101">
            <w:pPr>
              <w:pStyle w:val="6"/>
              <w:spacing w:before="65" w:line="239" w:lineRule="auto"/>
              <w:ind w:left="7124"/>
              <w:rPr>
                <w:sz w:val="20"/>
                <w:szCs w:val="20"/>
              </w:rPr>
            </w:pPr>
            <w:r>
              <w:drawing>
                <wp:anchor distT="0" distB="0" distL="0" distR="0" simplePos="0" relativeHeight="251667456" behindDoc="1" locked="0" layoutInCell="1" allowOverlap="1">
                  <wp:simplePos x="0" y="0"/>
                  <wp:positionH relativeFrom="column">
                    <wp:posOffset>72390</wp:posOffset>
                  </wp:positionH>
                  <wp:positionV relativeFrom="paragraph">
                    <wp:posOffset>-3169920</wp:posOffset>
                  </wp:positionV>
                  <wp:extent cx="5295900" cy="34036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69"/>
                          <a:stretch>
                            <a:fillRect/>
                          </a:stretch>
                        </pic:blipFill>
                        <pic:spPr>
                          <a:xfrm>
                            <a:off x="0" y="0"/>
                            <a:ext cx="5295961" cy="3403611"/>
                          </a:xfrm>
                          <a:prstGeom prst="rect">
                            <a:avLst/>
                          </a:prstGeom>
                        </pic:spPr>
                      </pic:pic>
                    </a:graphicData>
                  </a:graphic>
                </wp:anchor>
              </w:drawing>
            </w:r>
            <w:r>
              <w:rPr>
                <w:spacing w:val="-1"/>
                <w:sz w:val="20"/>
                <w:szCs w:val="20"/>
              </w:rPr>
              <w:t>2024.08.05</w:t>
            </w:r>
          </w:p>
        </w:tc>
      </w:tr>
      <w:tr w14:paraId="6DA4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9" w:type="dxa"/>
            <w:vAlign w:val="top"/>
          </w:tcPr>
          <w:p w14:paraId="6BF1B833">
            <w:pPr>
              <w:pStyle w:val="6"/>
              <w:spacing w:before="52" w:line="219" w:lineRule="auto"/>
              <w:ind w:left="3324"/>
              <w:rPr>
                <w:sz w:val="20"/>
                <w:szCs w:val="20"/>
              </w:rPr>
            </w:pPr>
            <w:r>
              <w:rPr>
                <w:spacing w:val="1"/>
                <w:sz w:val="20"/>
                <w:szCs w:val="20"/>
              </w:rPr>
              <w:t>项目地块1光伏阵列范围</w:t>
            </w:r>
          </w:p>
        </w:tc>
      </w:tr>
      <w:tr w14:paraId="5FDA6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5" w:hRule="atLeast"/>
        </w:trPr>
        <w:tc>
          <w:tcPr>
            <w:tcW w:w="8509" w:type="dxa"/>
            <w:vAlign w:val="top"/>
          </w:tcPr>
          <w:p w14:paraId="2E50F51D">
            <w:pPr>
              <w:spacing w:line="246" w:lineRule="auto"/>
              <w:rPr>
                <w:rFonts w:ascii="Arial"/>
                <w:sz w:val="21"/>
              </w:rPr>
            </w:pPr>
          </w:p>
          <w:p w14:paraId="71CAFC8B">
            <w:pPr>
              <w:spacing w:line="246" w:lineRule="auto"/>
              <w:rPr>
                <w:rFonts w:ascii="Arial"/>
                <w:sz w:val="21"/>
              </w:rPr>
            </w:pPr>
          </w:p>
          <w:p w14:paraId="36C77FB5">
            <w:pPr>
              <w:spacing w:line="246" w:lineRule="auto"/>
              <w:rPr>
                <w:rFonts w:ascii="Arial"/>
                <w:sz w:val="21"/>
              </w:rPr>
            </w:pPr>
          </w:p>
          <w:p w14:paraId="49559DF1">
            <w:pPr>
              <w:spacing w:line="246" w:lineRule="auto"/>
              <w:rPr>
                <w:rFonts w:ascii="Arial"/>
                <w:sz w:val="21"/>
              </w:rPr>
            </w:pPr>
          </w:p>
          <w:p w14:paraId="7E39FBB0">
            <w:pPr>
              <w:spacing w:line="246" w:lineRule="auto"/>
              <w:rPr>
                <w:rFonts w:ascii="Arial"/>
                <w:sz w:val="21"/>
              </w:rPr>
            </w:pPr>
          </w:p>
          <w:p w14:paraId="124ADA4F">
            <w:pPr>
              <w:spacing w:line="246" w:lineRule="auto"/>
              <w:rPr>
                <w:rFonts w:ascii="Arial"/>
                <w:sz w:val="21"/>
              </w:rPr>
            </w:pPr>
          </w:p>
          <w:p w14:paraId="0256C606">
            <w:pPr>
              <w:spacing w:line="246" w:lineRule="auto"/>
              <w:rPr>
                <w:rFonts w:ascii="Arial"/>
                <w:sz w:val="21"/>
              </w:rPr>
            </w:pPr>
          </w:p>
          <w:p w14:paraId="07DC767B">
            <w:pPr>
              <w:spacing w:line="246" w:lineRule="auto"/>
              <w:rPr>
                <w:rFonts w:ascii="Arial"/>
                <w:sz w:val="21"/>
              </w:rPr>
            </w:pPr>
          </w:p>
          <w:p w14:paraId="3DB71AD7">
            <w:pPr>
              <w:spacing w:line="246" w:lineRule="auto"/>
              <w:rPr>
                <w:rFonts w:ascii="Arial"/>
                <w:sz w:val="21"/>
              </w:rPr>
            </w:pPr>
          </w:p>
          <w:p w14:paraId="08C7C0F1">
            <w:pPr>
              <w:spacing w:line="246" w:lineRule="auto"/>
              <w:rPr>
                <w:rFonts w:ascii="Arial"/>
                <w:sz w:val="21"/>
              </w:rPr>
            </w:pPr>
          </w:p>
          <w:p w14:paraId="133725F8">
            <w:pPr>
              <w:spacing w:line="246" w:lineRule="auto"/>
              <w:rPr>
                <w:rFonts w:ascii="Arial"/>
                <w:sz w:val="21"/>
              </w:rPr>
            </w:pPr>
          </w:p>
          <w:p w14:paraId="752482FD">
            <w:pPr>
              <w:spacing w:line="247" w:lineRule="auto"/>
              <w:rPr>
                <w:rFonts w:ascii="Arial"/>
                <w:sz w:val="21"/>
              </w:rPr>
            </w:pPr>
          </w:p>
          <w:p w14:paraId="6C8BC47A">
            <w:pPr>
              <w:spacing w:line="247" w:lineRule="auto"/>
              <w:rPr>
                <w:rFonts w:ascii="Arial"/>
                <w:sz w:val="21"/>
              </w:rPr>
            </w:pPr>
          </w:p>
          <w:p w14:paraId="5240F25F">
            <w:pPr>
              <w:spacing w:line="247" w:lineRule="auto"/>
              <w:rPr>
                <w:rFonts w:ascii="Arial"/>
                <w:sz w:val="21"/>
              </w:rPr>
            </w:pPr>
          </w:p>
          <w:p w14:paraId="412269DD">
            <w:pPr>
              <w:spacing w:line="247" w:lineRule="auto"/>
              <w:rPr>
                <w:rFonts w:ascii="Arial"/>
                <w:sz w:val="21"/>
              </w:rPr>
            </w:pPr>
          </w:p>
          <w:p w14:paraId="3E659F3F">
            <w:pPr>
              <w:spacing w:line="247" w:lineRule="auto"/>
              <w:rPr>
                <w:rFonts w:ascii="Arial"/>
                <w:sz w:val="21"/>
              </w:rPr>
            </w:pPr>
          </w:p>
          <w:p w14:paraId="11FAF54E">
            <w:pPr>
              <w:spacing w:line="247" w:lineRule="auto"/>
              <w:rPr>
                <w:rFonts w:ascii="Arial"/>
                <w:sz w:val="21"/>
              </w:rPr>
            </w:pPr>
          </w:p>
          <w:p w14:paraId="44DC7BDD">
            <w:pPr>
              <w:spacing w:line="247" w:lineRule="auto"/>
              <w:rPr>
                <w:rFonts w:ascii="Arial"/>
                <w:sz w:val="21"/>
              </w:rPr>
            </w:pPr>
          </w:p>
          <w:p w14:paraId="300E550C">
            <w:pPr>
              <w:spacing w:line="247" w:lineRule="auto"/>
              <w:rPr>
                <w:rFonts w:ascii="Arial"/>
                <w:sz w:val="21"/>
              </w:rPr>
            </w:pPr>
          </w:p>
          <w:p w14:paraId="3E204DD1">
            <w:pPr>
              <w:spacing w:line="247" w:lineRule="auto"/>
              <w:rPr>
                <w:rFonts w:ascii="Arial"/>
                <w:sz w:val="21"/>
              </w:rPr>
            </w:pPr>
          </w:p>
          <w:p w14:paraId="11D516D4">
            <w:pPr>
              <w:spacing w:line="247" w:lineRule="auto"/>
              <w:rPr>
                <w:rFonts w:ascii="Arial"/>
                <w:sz w:val="21"/>
              </w:rPr>
            </w:pPr>
          </w:p>
          <w:p w14:paraId="14B8B27C">
            <w:pPr>
              <w:pStyle w:val="6"/>
              <w:spacing w:before="65" w:line="239" w:lineRule="auto"/>
              <w:ind w:left="7124"/>
              <w:rPr>
                <w:sz w:val="20"/>
                <w:szCs w:val="20"/>
              </w:rPr>
            </w:pPr>
            <w:r>
              <w:drawing>
                <wp:anchor distT="0" distB="0" distL="0" distR="0" simplePos="0" relativeHeight="251668480" behindDoc="1" locked="0" layoutInCell="1" allowOverlap="1">
                  <wp:simplePos x="0" y="0"/>
                  <wp:positionH relativeFrom="column">
                    <wp:posOffset>78740</wp:posOffset>
                  </wp:positionH>
                  <wp:positionV relativeFrom="paragraph">
                    <wp:posOffset>-3291205</wp:posOffset>
                  </wp:positionV>
                  <wp:extent cx="5295900" cy="350520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70"/>
                          <a:stretch>
                            <a:fillRect/>
                          </a:stretch>
                        </pic:blipFill>
                        <pic:spPr>
                          <a:xfrm>
                            <a:off x="0" y="0"/>
                            <a:ext cx="5295961" cy="3505138"/>
                          </a:xfrm>
                          <a:prstGeom prst="rect">
                            <a:avLst/>
                          </a:prstGeom>
                        </pic:spPr>
                      </pic:pic>
                    </a:graphicData>
                  </a:graphic>
                </wp:anchor>
              </w:drawing>
            </w:r>
            <w:r>
              <w:rPr>
                <w:spacing w:val="-1"/>
                <w:sz w:val="20"/>
                <w:szCs w:val="20"/>
              </w:rPr>
              <w:t>2024.08.05</w:t>
            </w:r>
          </w:p>
        </w:tc>
      </w:tr>
      <w:tr w14:paraId="281FA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509" w:type="dxa"/>
            <w:vAlign w:val="top"/>
          </w:tcPr>
          <w:p w14:paraId="376C2AB7">
            <w:pPr>
              <w:pStyle w:val="6"/>
              <w:spacing w:before="56" w:line="219" w:lineRule="auto"/>
              <w:ind w:left="3344"/>
              <w:rPr>
                <w:sz w:val="20"/>
                <w:szCs w:val="20"/>
              </w:rPr>
            </w:pPr>
            <w:r>
              <w:rPr>
                <w:spacing w:val="1"/>
                <w:sz w:val="20"/>
                <w:szCs w:val="20"/>
              </w:rPr>
              <w:t>项目地块1光伏阵列范围</w:t>
            </w:r>
          </w:p>
        </w:tc>
      </w:tr>
    </w:tbl>
    <w:p w14:paraId="6AFB1307">
      <w:pPr>
        <w:pStyle w:val="2"/>
      </w:pPr>
    </w:p>
    <w:p w14:paraId="2BD27E4C">
      <w:pPr>
        <w:sectPr>
          <w:pgSz w:w="11910" w:h="16830"/>
          <w:pgMar w:top="1430" w:right="1715" w:bottom="400" w:left="1675" w:header="0" w:footer="0" w:gutter="0"/>
          <w:cols w:space="720" w:num="1"/>
        </w:sectPr>
      </w:pPr>
    </w:p>
    <w:p w14:paraId="02168203">
      <w:pPr>
        <w:spacing w:line="46" w:lineRule="auto"/>
        <w:rPr>
          <w:rFonts w:ascii="Arial"/>
          <w:sz w:val="2"/>
        </w:rPr>
      </w:pP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
        <w:gridCol w:w="8345"/>
      </w:tblGrid>
      <w:tr w14:paraId="484BA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0" w:hRule="atLeast"/>
        </w:trPr>
        <w:tc>
          <w:tcPr>
            <w:tcW w:w="8519" w:type="dxa"/>
            <w:gridSpan w:val="2"/>
            <w:vAlign w:val="top"/>
          </w:tcPr>
          <w:p w14:paraId="1C6BCFC7">
            <w:pPr>
              <w:spacing w:line="249" w:lineRule="auto"/>
              <w:rPr>
                <w:rFonts w:ascii="Arial"/>
                <w:sz w:val="21"/>
              </w:rPr>
            </w:pPr>
          </w:p>
          <w:p w14:paraId="521321CD">
            <w:pPr>
              <w:spacing w:line="249" w:lineRule="auto"/>
              <w:rPr>
                <w:rFonts w:ascii="Arial"/>
                <w:sz w:val="21"/>
              </w:rPr>
            </w:pPr>
          </w:p>
          <w:p w14:paraId="536E5454">
            <w:pPr>
              <w:spacing w:line="249" w:lineRule="auto"/>
              <w:rPr>
                <w:rFonts w:ascii="Arial"/>
                <w:sz w:val="21"/>
              </w:rPr>
            </w:pPr>
          </w:p>
          <w:p w14:paraId="6F633B62">
            <w:pPr>
              <w:spacing w:line="249" w:lineRule="auto"/>
              <w:rPr>
                <w:rFonts w:ascii="Arial"/>
                <w:sz w:val="21"/>
              </w:rPr>
            </w:pPr>
          </w:p>
          <w:p w14:paraId="14C18310">
            <w:pPr>
              <w:spacing w:line="250" w:lineRule="auto"/>
              <w:rPr>
                <w:rFonts w:ascii="Arial"/>
                <w:sz w:val="21"/>
              </w:rPr>
            </w:pPr>
          </w:p>
          <w:p w14:paraId="5E5B60EB">
            <w:pPr>
              <w:spacing w:line="250" w:lineRule="auto"/>
              <w:rPr>
                <w:rFonts w:ascii="Arial"/>
                <w:sz w:val="21"/>
              </w:rPr>
            </w:pPr>
          </w:p>
          <w:p w14:paraId="5ACCEFB4">
            <w:pPr>
              <w:spacing w:line="250" w:lineRule="auto"/>
              <w:rPr>
                <w:rFonts w:ascii="Arial"/>
                <w:sz w:val="21"/>
              </w:rPr>
            </w:pPr>
          </w:p>
          <w:p w14:paraId="640A40A1">
            <w:pPr>
              <w:spacing w:line="250" w:lineRule="auto"/>
              <w:rPr>
                <w:rFonts w:ascii="Arial"/>
                <w:sz w:val="21"/>
              </w:rPr>
            </w:pPr>
          </w:p>
          <w:p w14:paraId="2E44712A">
            <w:pPr>
              <w:spacing w:line="250" w:lineRule="auto"/>
              <w:rPr>
                <w:rFonts w:ascii="Arial"/>
                <w:sz w:val="21"/>
              </w:rPr>
            </w:pPr>
          </w:p>
          <w:p w14:paraId="26189AD0">
            <w:pPr>
              <w:spacing w:line="250" w:lineRule="auto"/>
              <w:rPr>
                <w:rFonts w:ascii="Arial"/>
                <w:sz w:val="21"/>
              </w:rPr>
            </w:pPr>
          </w:p>
          <w:p w14:paraId="0B7EC2C2">
            <w:pPr>
              <w:spacing w:line="250" w:lineRule="auto"/>
              <w:rPr>
                <w:rFonts w:ascii="Arial"/>
                <w:sz w:val="21"/>
              </w:rPr>
            </w:pPr>
          </w:p>
          <w:p w14:paraId="17ABBEEC">
            <w:pPr>
              <w:spacing w:line="250" w:lineRule="auto"/>
              <w:rPr>
                <w:rFonts w:ascii="Arial"/>
                <w:sz w:val="21"/>
              </w:rPr>
            </w:pPr>
          </w:p>
          <w:p w14:paraId="527EEE2C">
            <w:pPr>
              <w:spacing w:line="250" w:lineRule="auto"/>
              <w:rPr>
                <w:rFonts w:ascii="Arial"/>
                <w:sz w:val="21"/>
              </w:rPr>
            </w:pPr>
          </w:p>
          <w:p w14:paraId="3B08F985">
            <w:pPr>
              <w:spacing w:line="250" w:lineRule="auto"/>
              <w:rPr>
                <w:rFonts w:ascii="Arial"/>
                <w:sz w:val="21"/>
              </w:rPr>
            </w:pPr>
          </w:p>
          <w:p w14:paraId="5D6375E9">
            <w:pPr>
              <w:spacing w:line="250" w:lineRule="auto"/>
              <w:rPr>
                <w:rFonts w:ascii="Arial"/>
                <w:sz w:val="21"/>
              </w:rPr>
            </w:pPr>
          </w:p>
          <w:p w14:paraId="34F023CD">
            <w:pPr>
              <w:spacing w:line="250" w:lineRule="auto"/>
              <w:rPr>
                <w:rFonts w:ascii="Arial"/>
                <w:sz w:val="21"/>
              </w:rPr>
            </w:pPr>
          </w:p>
          <w:p w14:paraId="438F1551">
            <w:pPr>
              <w:spacing w:line="250" w:lineRule="auto"/>
              <w:rPr>
                <w:rFonts w:ascii="Arial"/>
                <w:sz w:val="21"/>
              </w:rPr>
            </w:pPr>
          </w:p>
          <w:p w14:paraId="25C42C3A">
            <w:pPr>
              <w:spacing w:line="250" w:lineRule="auto"/>
              <w:rPr>
                <w:rFonts w:ascii="Arial"/>
                <w:sz w:val="21"/>
              </w:rPr>
            </w:pPr>
          </w:p>
          <w:p w14:paraId="104BC3B6">
            <w:pPr>
              <w:spacing w:line="250" w:lineRule="auto"/>
              <w:rPr>
                <w:rFonts w:ascii="Arial"/>
                <w:sz w:val="21"/>
              </w:rPr>
            </w:pPr>
          </w:p>
          <w:p w14:paraId="73794F31">
            <w:pPr>
              <w:spacing w:line="250" w:lineRule="auto"/>
              <w:rPr>
                <w:rFonts w:ascii="Arial"/>
                <w:sz w:val="21"/>
              </w:rPr>
            </w:pPr>
          </w:p>
          <w:p w14:paraId="2699905B">
            <w:pPr>
              <w:spacing w:line="250" w:lineRule="auto"/>
              <w:rPr>
                <w:rFonts w:ascii="Arial"/>
                <w:sz w:val="21"/>
              </w:rPr>
            </w:pPr>
          </w:p>
          <w:p w14:paraId="2562C5EE">
            <w:pPr>
              <w:spacing w:line="250" w:lineRule="auto"/>
              <w:rPr>
                <w:rFonts w:ascii="Arial"/>
                <w:sz w:val="21"/>
              </w:rPr>
            </w:pPr>
          </w:p>
          <w:p w14:paraId="5EBABA42">
            <w:pPr>
              <w:pStyle w:val="6"/>
              <w:spacing w:before="61" w:line="239" w:lineRule="auto"/>
              <w:ind w:left="7045"/>
              <w:rPr>
                <w:sz w:val="19"/>
                <w:szCs w:val="19"/>
              </w:rPr>
            </w:pPr>
            <w:r>
              <w:drawing>
                <wp:anchor distT="0" distB="0" distL="0" distR="0" simplePos="0" relativeHeight="251669504" behindDoc="1" locked="0" layoutInCell="1" allowOverlap="1">
                  <wp:simplePos x="0" y="0"/>
                  <wp:positionH relativeFrom="column">
                    <wp:posOffset>85090</wp:posOffset>
                  </wp:positionH>
                  <wp:positionV relativeFrom="paragraph">
                    <wp:posOffset>-3444875</wp:posOffset>
                  </wp:positionV>
                  <wp:extent cx="5283200" cy="366395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71"/>
                          <a:stretch>
                            <a:fillRect/>
                          </a:stretch>
                        </pic:blipFill>
                        <pic:spPr>
                          <a:xfrm>
                            <a:off x="0" y="0"/>
                            <a:ext cx="5283255" cy="3663948"/>
                          </a:xfrm>
                          <a:prstGeom prst="rect">
                            <a:avLst/>
                          </a:prstGeom>
                        </pic:spPr>
                      </pic:pic>
                    </a:graphicData>
                  </a:graphic>
                </wp:anchor>
              </w:drawing>
            </w:r>
            <w:r>
              <w:rPr>
                <w:spacing w:val="-1"/>
                <w:sz w:val="19"/>
                <w:szCs w:val="19"/>
              </w:rPr>
              <w:t>2024.08.05</w:t>
            </w:r>
          </w:p>
        </w:tc>
      </w:tr>
      <w:tr w14:paraId="46FC9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2"/>
            <w:vAlign w:val="top"/>
          </w:tcPr>
          <w:p w14:paraId="2F5D42D8">
            <w:pPr>
              <w:pStyle w:val="6"/>
              <w:spacing w:before="61" w:line="219" w:lineRule="auto"/>
              <w:ind w:left="3255"/>
              <w:rPr>
                <w:sz w:val="19"/>
                <w:szCs w:val="19"/>
              </w:rPr>
            </w:pPr>
            <w:r>
              <w:rPr>
                <w:spacing w:val="1"/>
                <w:sz w:val="19"/>
                <w:szCs w:val="19"/>
              </w:rPr>
              <w:t>项目地块3光伏阵列范围</w:t>
            </w:r>
          </w:p>
        </w:tc>
      </w:tr>
      <w:tr w14:paraId="36AF7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5" w:hRule="atLeast"/>
        </w:trPr>
        <w:tc>
          <w:tcPr>
            <w:tcW w:w="174" w:type="dxa"/>
            <w:vAlign w:val="top"/>
          </w:tcPr>
          <w:p w14:paraId="42D4D581">
            <w:pPr>
              <w:rPr>
                <w:rFonts w:ascii="Arial"/>
                <w:sz w:val="21"/>
              </w:rPr>
            </w:pPr>
          </w:p>
        </w:tc>
        <w:tc>
          <w:tcPr>
            <w:tcW w:w="8345" w:type="dxa"/>
            <w:vAlign w:val="top"/>
          </w:tcPr>
          <w:p w14:paraId="42C6B6F2">
            <w:pPr>
              <w:spacing w:line="243" w:lineRule="auto"/>
              <w:rPr>
                <w:rFonts w:ascii="Arial"/>
                <w:sz w:val="21"/>
              </w:rPr>
            </w:pPr>
          </w:p>
          <w:p w14:paraId="4E93689B">
            <w:pPr>
              <w:spacing w:line="243" w:lineRule="auto"/>
              <w:rPr>
                <w:rFonts w:ascii="Arial"/>
                <w:sz w:val="21"/>
              </w:rPr>
            </w:pPr>
          </w:p>
          <w:p w14:paraId="6AE7C2B8">
            <w:pPr>
              <w:spacing w:line="243" w:lineRule="auto"/>
              <w:rPr>
                <w:rFonts w:ascii="Arial"/>
                <w:sz w:val="21"/>
              </w:rPr>
            </w:pPr>
          </w:p>
          <w:p w14:paraId="28F05A69">
            <w:pPr>
              <w:spacing w:line="243" w:lineRule="auto"/>
              <w:rPr>
                <w:rFonts w:ascii="Arial"/>
                <w:sz w:val="21"/>
              </w:rPr>
            </w:pPr>
          </w:p>
          <w:p w14:paraId="7F76233B">
            <w:pPr>
              <w:spacing w:line="243" w:lineRule="auto"/>
              <w:rPr>
                <w:rFonts w:ascii="Arial"/>
                <w:sz w:val="21"/>
              </w:rPr>
            </w:pPr>
          </w:p>
          <w:p w14:paraId="171D05F6">
            <w:pPr>
              <w:spacing w:line="243" w:lineRule="auto"/>
              <w:rPr>
                <w:rFonts w:ascii="Arial"/>
                <w:sz w:val="21"/>
              </w:rPr>
            </w:pPr>
          </w:p>
          <w:p w14:paraId="2DCAEB97">
            <w:pPr>
              <w:spacing w:line="243" w:lineRule="auto"/>
              <w:rPr>
                <w:rFonts w:ascii="Arial"/>
                <w:sz w:val="21"/>
              </w:rPr>
            </w:pPr>
          </w:p>
          <w:p w14:paraId="2DA40355">
            <w:pPr>
              <w:spacing w:line="243" w:lineRule="auto"/>
              <w:rPr>
                <w:rFonts w:ascii="Arial"/>
                <w:sz w:val="21"/>
              </w:rPr>
            </w:pPr>
          </w:p>
          <w:p w14:paraId="0F19A12B">
            <w:pPr>
              <w:spacing w:line="243" w:lineRule="auto"/>
              <w:rPr>
                <w:rFonts w:ascii="Arial"/>
                <w:sz w:val="21"/>
              </w:rPr>
            </w:pPr>
          </w:p>
          <w:p w14:paraId="3FF611BC">
            <w:pPr>
              <w:spacing w:line="243" w:lineRule="auto"/>
              <w:rPr>
                <w:rFonts w:ascii="Arial"/>
                <w:sz w:val="21"/>
              </w:rPr>
            </w:pPr>
          </w:p>
          <w:p w14:paraId="58867471">
            <w:pPr>
              <w:spacing w:line="243" w:lineRule="auto"/>
              <w:rPr>
                <w:rFonts w:ascii="Arial"/>
                <w:sz w:val="21"/>
              </w:rPr>
            </w:pPr>
          </w:p>
          <w:p w14:paraId="47E150BB">
            <w:pPr>
              <w:spacing w:line="243" w:lineRule="auto"/>
              <w:rPr>
                <w:rFonts w:ascii="Arial"/>
                <w:sz w:val="21"/>
              </w:rPr>
            </w:pPr>
          </w:p>
          <w:p w14:paraId="681E53CA">
            <w:pPr>
              <w:spacing w:line="243" w:lineRule="auto"/>
              <w:rPr>
                <w:rFonts w:ascii="Arial"/>
                <w:sz w:val="21"/>
              </w:rPr>
            </w:pPr>
          </w:p>
          <w:p w14:paraId="4DF2EBB0">
            <w:pPr>
              <w:spacing w:line="244" w:lineRule="auto"/>
              <w:rPr>
                <w:rFonts w:ascii="Arial"/>
                <w:sz w:val="21"/>
              </w:rPr>
            </w:pPr>
          </w:p>
          <w:p w14:paraId="6BC4EF78">
            <w:pPr>
              <w:spacing w:line="244" w:lineRule="auto"/>
              <w:rPr>
                <w:rFonts w:ascii="Arial"/>
                <w:sz w:val="21"/>
              </w:rPr>
            </w:pPr>
          </w:p>
          <w:p w14:paraId="49319899">
            <w:pPr>
              <w:spacing w:line="244" w:lineRule="auto"/>
              <w:rPr>
                <w:rFonts w:ascii="Arial"/>
                <w:sz w:val="21"/>
              </w:rPr>
            </w:pPr>
          </w:p>
          <w:p w14:paraId="79B8E8C7">
            <w:pPr>
              <w:spacing w:line="244" w:lineRule="auto"/>
              <w:rPr>
                <w:rFonts w:ascii="Arial"/>
                <w:sz w:val="21"/>
              </w:rPr>
            </w:pPr>
          </w:p>
          <w:p w14:paraId="292790F8">
            <w:pPr>
              <w:spacing w:line="244" w:lineRule="auto"/>
              <w:rPr>
                <w:rFonts w:ascii="Arial"/>
                <w:sz w:val="21"/>
              </w:rPr>
            </w:pPr>
          </w:p>
          <w:p w14:paraId="4502D9A4">
            <w:pPr>
              <w:spacing w:line="244" w:lineRule="auto"/>
              <w:rPr>
                <w:rFonts w:ascii="Arial"/>
                <w:sz w:val="21"/>
              </w:rPr>
            </w:pPr>
          </w:p>
          <w:p w14:paraId="3E84A7EB">
            <w:pPr>
              <w:spacing w:line="244" w:lineRule="auto"/>
              <w:rPr>
                <w:rFonts w:ascii="Arial"/>
                <w:sz w:val="21"/>
              </w:rPr>
            </w:pPr>
          </w:p>
          <w:p w14:paraId="5C7C4A65">
            <w:pPr>
              <w:spacing w:line="244" w:lineRule="auto"/>
              <w:rPr>
                <w:rFonts w:ascii="Arial"/>
                <w:sz w:val="21"/>
              </w:rPr>
            </w:pPr>
          </w:p>
          <w:p w14:paraId="086E0155">
            <w:pPr>
              <w:spacing w:line="244" w:lineRule="auto"/>
              <w:rPr>
                <w:rFonts w:ascii="Arial"/>
                <w:sz w:val="21"/>
              </w:rPr>
            </w:pPr>
          </w:p>
          <w:p w14:paraId="7AEC1DAC">
            <w:pPr>
              <w:spacing w:line="244" w:lineRule="auto"/>
              <w:rPr>
                <w:rFonts w:ascii="Arial"/>
                <w:sz w:val="21"/>
              </w:rPr>
            </w:pPr>
          </w:p>
          <w:p w14:paraId="341D4644">
            <w:pPr>
              <w:spacing w:line="244" w:lineRule="auto"/>
              <w:rPr>
                <w:rFonts w:ascii="Arial"/>
                <w:sz w:val="21"/>
              </w:rPr>
            </w:pPr>
          </w:p>
          <w:p w14:paraId="425DBCCB">
            <w:pPr>
              <w:pStyle w:val="6"/>
              <w:spacing w:before="62" w:line="239" w:lineRule="auto"/>
              <w:ind w:left="6901"/>
              <w:rPr>
                <w:sz w:val="19"/>
                <w:szCs w:val="19"/>
              </w:rPr>
            </w:pPr>
            <w:r>
              <w:drawing>
                <wp:anchor distT="0" distB="0" distL="0" distR="0" simplePos="0" relativeHeight="251670528" behindDoc="1" locked="0" layoutInCell="1" allowOverlap="1">
                  <wp:simplePos x="0" y="0"/>
                  <wp:positionH relativeFrom="column">
                    <wp:posOffset>31750</wp:posOffset>
                  </wp:positionH>
                  <wp:positionV relativeFrom="paragraph">
                    <wp:posOffset>-3704590</wp:posOffset>
                  </wp:positionV>
                  <wp:extent cx="5226050" cy="39116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72"/>
                          <a:stretch>
                            <a:fillRect/>
                          </a:stretch>
                        </pic:blipFill>
                        <pic:spPr>
                          <a:xfrm>
                            <a:off x="0" y="0"/>
                            <a:ext cx="5226080" cy="3911674"/>
                          </a:xfrm>
                          <a:prstGeom prst="rect">
                            <a:avLst/>
                          </a:prstGeom>
                        </pic:spPr>
                      </pic:pic>
                    </a:graphicData>
                  </a:graphic>
                </wp:anchor>
              </w:drawing>
            </w:r>
            <w:r>
              <w:rPr>
                <w:spacing w:val="-1"/>
                <w:sz w:val="19"/>
                <w:szCs w:val="19"/>
              </w:rPr>
              <w:t>2024.08.05</w:t>
            </w:r>
          </w:p>
        </w:tc>
      </w:tr>
      <w:tr w14:paraId="2659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519" w:type="dxa"/>
            <w:gridSpan w:val="2"/>
            <w:vAlign w:val="top"/>
          </w:tcPr>
          <w:p w14:paraId="6A1EC895">
            <w:pPr>
              <w:pStyle w:val="6"/>
              <w:spacing w:before="67" w:line="219" w:lineRule="auto"/>
              <w:ind w:left="3825"/>
              <w:rPr>
                <w:sz w:val="19"/>
                <w:szCs w:val="19"/>
              </w:rPr>
            </w:pPr>
            <w:r>
              <w:rPr>
                <w:spacing w:val="-2"/>
                <w:sz w:val="19"/>
                <w:szCs w:val="19"/>
              </w:rPr>
              <w:t>地块5现状</w:t>
            </w:r>
          </w:p>
        </w:tc>
      </w:tr>
    </w:tbl>
    <w:p w14:paraId="6F5E8A0E">
      <w:pPr>
        <w:pStyle w:val="2"/>
      </w:pPr>
    </w:p>
    <w:p w14:paraId="21A7FD00">
      <w:pPr>
        <w:sectPr>
          <w:pgSz w:w="11910" w:h="16830"/>
          <w:pgMar w:top="1430" w:right="1705" w:bottom="400" w:left="1675" w:header="0" w:footer="0" w:gutter="0"/>
          <w:cols w:space="720" w:num="1"/>
        </w:sectPr>
      </w:pPr>
    </w:p>
    <w:p w14:paraId="074E1393">
      <w:pPr>
        <w:spacing w:line="46" w:lineRule="auto"/>
        <w:rPr>
          <w:rFonts w:ascii="Arial"/>
          <w:sz w:val="2"/>
        </w:rPr>
      </w:pPr>
    </w:p>
    <w:tbl>
      <w:tblPr>
        <w:tblStyle w:val="5"/>
        <w:tblW w:w="84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9"/>
      </w:tblGrid>
      <w:tr w14:paraId="427AE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0" w:hRule="atLeast"/>
        </w:trPr>
        <w:tc>
          <w:tcPr>
            <w:tcW w:w="8479" w:type="dxa"/>
            <w:shd w:val="clear" w:color="auto" w:fill="9E9FA5"/>
            <w:vAlign w:val="top"/>
          </w:tcPr>
          <w:p w14:paraId="1D4B94CD">
            <w:pPr>
              <w:pStyle w:val="6"/>
              <w:spacing w:before="65" w:line="3900" w:lineRule="exact"/>
              <w:ind w:firstLine="104"/>
            </w:pPr>
            <w:r>
              <w:rPr>
                <w:position w:val="-78"/>
              </w:rPr>
              <w:pict>
                <v:group id="_x0000_s1038" o:spid="_x0000_s1038" o:spt="203" style="height:195.05pt;width:416.05pt;" coordsize="8320,3901">
                  <o:lock v:ext="edit"/>
                  <v:shape id="_x0000_s1039" o:spid="_x0000_s1039" o:spt="75" type="#_x0000_t75" style="position:absolute;left:0;top:0;height:3901;width:8320;" filled="f" stroked="f" coordsize="21600,21600">
                    <v:path/>
                    <v:fill on="f" focussize="0,0"/>
                    <v:stroke on="f"/>
                    <v:imagedata r:id="rId173" o:title=""/>
                    <o:lock v:ext="edit" aspectratio="t"/>
                  </v:shape>
                  <v:shape id="_x0000_s1040" o:spid="_x0000_s1040" o:spt="202" type="#_x0000_t202" style="position:absolute;left:-20;top:-20;height:3941;width:8360;" filled="f" stroked="f" coordsize="21600,21600">
                    <v:path/>
                    <v:fill on="f" focussize="0,0"/>
                    <v:stroke on="f"/>
                    <v:imagedata o:title=""/>
                    <o:lock v:ext="edit" aspectratio="f"/>
                    <v:textbox inset="0mm,0mm,0mm,0mm">
                      <w:txbxContent>
                        <w:p w14:paraId="2FC45B24">
                          <w:pPr>
                            <w:spacing w:line="247" w:lineRule="auto"/>
                            <w:rPr>
                              <w:rFonts w:ascii="Arial"/>
                              <w:sz w:val="21"/>
                            </w:rPr>
                          </w:pPr>
                        </w:p>
                        <w:p w14:paraId="685270DE">
                          <w:pPr>
                            <w:spacing w:line="247" w:lineRule="auto"/>
                            <w:rPr>
                              <w:rFonts w:ascii="Arial"/>
                              <w:sz w:val="21"/>
                            </w:rPr>
                          </w:pPr>
                        </w:p>
                        <w:p w14:paraId="43DC16A5">
                          <w:pPr>
                            <w:spacing w:line="247" w:lineRule="auto"/>
                            <w:rPr>
                              <w:rFonts w:ascii="Arial"/>
                              <w:sz w:val="21"/>
                            </w:rPr>
                          </w:pPr>
                        </w:p>
                        <w:p w14:paraId="3AE5E3AC">
                          <w:pPr>
                            <w:spacing w:line="247" w:lineRule="auto"/>
                            <w:rPr>
                              <w:rFonts w:ascii="Arial"/>
                              <w:sz w:val="21"/>
                            </w:rPr>
                          </w:pPr>
                        </w:p>
                        <w:p w14:paraId="2DF2EB97">
                          <w:pPr>
                            <w:spacing w:line="247" w:lineRule="auto"/>
                            <w:rPr>
                              <w:rFonts w:ascii="Arial"/>
                              <w:sz w:val="21"/>
                            </w:rPr>
                          </w:pPr>
                        </w:p>
                        <w:p w14:paraId="65FFC38A">
                          <w:pPr>
                            <w:spacing w:line="247" w:lineRule="auto"/>
                            <w:rPr>
                              <w:rFonts w:ascii="Arial"/>
                              <w:sz w:val="21"/>
                            </w:rPr>
                          </w:pPr>
                        </w:p>
                        <w:p w14:paraId="38D9968F">
                          <w:pPr>
                            <w:spacing w:line="247" w:lineRule="auto"/>
                            <w:rPr>
                              <w:rFonts w:ascii="Arial"/>
                              <w:sz w:val="21"/>
                            </w:rPr>
                          </w:pPr>
                        </w:p>
                        <w:p w14:paraId="1F39483B">
                          <w:pPr>
                            <w:spacing w:line="247" w:lineRule="auto"/>
                            <w:rPr>
                              <w:rFonts w:ascii="Arial"/>
                              <w:sz w:val="21"/>
                            </w:rPr>
                          </w:pPr>
                        </w:p>
                        <w:p w14:paraId="109D1185">
                          <w:pPr>
                            <w:spacing w:line="247" w:lineRule="auto"/>
                            <w:rPr>
                              <w:rFonts w:ascii="Arial"/>
                              <w:sz w:val="21"/>
                            </w:rPr>
                          </w:pPr>
                        </w:p>
                        <w:p w14:paraId="58C8BDC3">
                          <w:pPr>
                            <w:spacing w:line="247" w:lineRule="auto"/>
                            <w:rPr>
                              <w:rFonts w:ascii="Arial"/>
                              <w:sz w:val="21"/>
                            </w:rPr>
                          </w:pPr>
                        </w:p>
                        <w:p w14:paraId="75651C1F">
                          <w:pPr>
                            <w:spacing w:line="247" w:lineRule="auto"/>
                            <w:rPr>
                              <w:rFonts w:ascii="Arial"/>
                              <w:sz w:val="21"/>
                            </w:rPr>
                          </w:pPr>
                        </w:p>
                        <w:p w14:paraId="5F9FC0F6">
                          <w:pPr>
                            <w:spacing w:line="248" w:lineRule="auto"/>
                            <w:rPr>
                              <w:rFonts w:ascii="Arial"/>
                              <w:sz w:val="21"/>
                            </w:rPr>
                          </w:pPr>
                        </w:p>
                        <w:p w14:paraId="20FBE13B">
                          <w:pPr>
                            <w:spacing w:line="248" w:lineRule="auto"/>
                            <w:rPr>
                              <w:rFonts w:ascii="Arial"/>
                              <w:sz w:val="21"/>
                            </w:rPr>
                          </w:pPr>
                        </w:p>
                        <w:p w14:paraId="13E7FAA6">
                          <w:pPr>
                            <w:spacing w:line="248" w:lineRule="auto"/>
                            <w:rPr>
                              <w:rFonts w:ascii="Arial"/>
                              <w:sz w:val="21"/>
                            </w:rPr>
                          </w:pPr>
                        </w:p>
                        <w:p w14:paraId="5DE2116D">
                          <w:pPr>
                            <w:spacing w:before="65" w:line="239" w:lineRule="auto"/>
                            <w:ind w:left="6990"/>
                            <w:rPr>
                              <w:rFonts w:ascii="宋体" w:hAnsi="宋体" w:eastAsia="宋体" w:cs="宋体"/>
                              <w:sz w:val="20"/>
                              <w:szCs w:val="20"/>
                            </w:rPr>
                          </w:pPr>
                          <w:r>
                            <w:rPr>
                              <w:rFonts w:ascii="宋体" w:hAnsi="宋体" w:eastAsia="宋体" w:cs="宋体"/>
                              <w:spacing w:val="-1"/>
                              <w:sz w:val="20"/>
                              <w:szCs w:val="20"/>
                            </w:rPr>
                            <w:t>2024.08.05</w:t>
                          </w:r>
                        </w:p>
                      </w:txbxContent>
                    </v:textbox>
                  </v:shape>
                  <w10:wrap type="none"/>
                  <w10:anchorlock/>
                </v:group>
              </w:pict>
            </w:r>
          </w:p>
        </w:tc>
      </w:tr>
      <w:tr w14:paraId="2AE93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479" w:type="dxa"/>
            <w:vAlign w:val="top"/>
          </w:tcPr>
          <w:p w14:paraId="5CB2B90A">
            <w:pPr>
              <w:pStyle w:val="6"/>
              <w:spacing w:before="62" w:line="219" w:lineRule="auto"/>
              <w:ind w:left="3864"/>
              <w:rPr>
                <w:sz w:val="20"/>
                <w:szCs w:val="20"/>
              </w:rPr>
            </w:pPr>
            <w:r>
              <w:rPr>
                <w:spacing w:val="-2"/>
                <w:sz w:val="20"/>
                <w:szCs w:val="20"/>
              </w:rPr>
              <w:t>地块4现状</w:t>
            </w:r>
          </w:p>
        </w:tc>
      </w:tr>
      <w:tr w14:paraId="50B4A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5" w:hRule="atLeast"/>
        </w:trPr>
        <w:tc>
          <w:tcPr>
            <w:tcW w:w="8479" w:type="dxa"/>
            <w:shd w:val="clear" w:color="auto" w:fill="956543"/>
            <w:vAlign w:val="top"/>
          </w:tcPr>
          <w:p w14:paraId="55A09BD3">
            <w:pPr>
              <w:pStyle w:val="6"/>
              <w:spacing w:before="94" w:line="3880" w:lineRule="exact"/>
              <w:ind w:firstLine="84"/>
            </w:pPr>
            <w:r>
              <w:rPr>
                <w:position w:val="-77"/>
              </w:rPr>
              <w:pict>
                <v:group id="_x0000_s1041" o:spid="_x0000_s1041" o:spt="203" style="height:194pt;width:418.05pt;" coordsize="8360,3880">
                  <o:lock v:ext="edit"/>
                  <v:shape id="_x0000_s1042" o:spid="_x0000_s1042" o:spt="75" type="#_x0000_t75" style="position:absolute;left:0;top:0;height:3880;width:8360;" filled="f" stroked="f" coordsize="21600,21600">
                    <v:path/>
                    <v:fill on="f" focussize="0,0"/>
                    <v:stroke on="f"/>
                    <v:imagedata r:id="rId174" o:title=""/>
                    <o:lock v:ext="edit" aspectratio="t"/>
                  </v:shape>
                  <v:shape id="_x0000_s1043" o:spid="_x0000_s1043" o:spt="202" type="#_x0000_t202" style="position:absolute;left:-20;top:-20;height:3920;width:8400;" filled="f" stroked="f" coordsize="21600,21600">
                    <v:path/>
                    <v:fill on="f" focussize="0,0"/>
                    <v:stroke on="f"/>
                    <v:imagedata o:title=""/>
                    <o:lock v:ext="edit" aspectratio="f"/>
                    <v:textbox inset="0mm,0mm,0mm,0mm">
                      <w:txbxContent>
                        <w:p w14:paraId="5D22D0E1">
                          <w:pPr>
                            <w:spacing w:line="247" w:lineRule="auto"/>
                            <w:rPr>
                              <w:rFonts w:ascii="Arial"/>
                              <w:sz w:val="21"/>
                            </w:rPr>
                          </w:pPr>
                        </w:p>
                        <w:p w14:paraId="2172AD52">
                          <w:pPr>
                            <w:spacing w:line="248" w:lineRule="auto"/>
                            <w:rPr>
                              <w:rFonts w:ascii="Arial"/>
                              <w:sz w:val="21"/>
                            </w:rPr>
                          </w:pPr>
                        </w:p>
                        <w:p w14:paraId="7763FD4A">
                          <w:pPr>
                            <w:spacing w:line="248" w:lineRule="auto"/>
                            <w:rPr>
                              <w:rFonts w:ascii="Arial"/>
                              <w:sz w:val="21"/>
                            </w:rPr>
                          </w:pPr>
                        </w:p>
                        <w:p w14:paraId="25410111">
                          <w:pPr>
                            <w:spacing w:line="248" w:lineRule="auto"/>
                            <w:rPr>
                              <w:rFonts w:ascii="Arial"/>
                              <w:sz w:val="21"/>
                            </w:rPr>
                          </w:pPr>
                        </w:p>
                        <w:p w14:paraId="576B3338">
                          <w:pPr>
                            <w:spacing w:line="248" w:lineRule="auto"/>
                            <w:rPr>
                              <w:rFonts w:ascii="Arial"/>
                              <w:sz w:val="21"/>
                            </w:rPr>
                          </w:pPr>
                        </w:p>
                        <w:p w14:paraId="2E002371">
                          <w:pPr>
                            <w:spacing w:line="248" w:lineRule="auto"/>
                            <w:rPr>
                              <w:rFonts w:ascii="Arial"/>
                              <w:sz w:val="21"/>
                            </w:rPr>
                          </w:pPr>
                        </w:p>
                        <w:p w14:paraId="49E25C59">
                          <w:pPr>
                            <w:spacing w:line="248" w:lineRule="auto"/>
                            <w:rPr>
                              <w:rFonts w:ascii="Arial"/>
                              <w:sz w:val="21"/>
                            </w:rPr>
                          </w:pPr>
                        </w:p>
                        <w:p w14:paraId="43D775C8">
                          <w:pPr>
                            <w:spacing w:line="248" w:lineRule="auto"/>
                            <w:rPr>
                              <w:rFonts w:ascii="Arial"/>
                              <w:sz w:val="21"/>
                            </w:rPr>
                          </w:pPr>
                        </w:p>
                        <w:p w14:paraId="3411350A">
                          <w:pPr>
                            <w:spacing w:line="248" w:lineRule="auto"/>
                            <w:rPr>
                              <w:rFonts w:ascii="Arial"/>
                              <w:sz w:val="21"/>
                            </w:rPr>
                          </w:pPr>
                        </w:p>
                        <w:p w14:paraId="61DB8893">
                          <w:pPr>
                            <w:spacing w:line="248" w:lineRule="auto"/>
                            <w:rPr>
                              <w:rFonts w:ascii="Arial"/>
                              <w:sz w:val="21"/>
                            </w:rPr>
                          </w:pPr>
                        </w:p>
                        <w:p w14:paraId="79E3E26E">
                          <w:pPr>
                            <w:spacing w:line="248" w:lineRule="auto"/>
                            <w:rPr>
                              <w:rFonts w:ascii="Arial"/>
                              <w:sz w:val="21"/>
                            </w:rPr>
                          </w:pPr>
                        </w:p>
                        <w:p w14:paraId="660FB856">
                          <w:pPr>
                            <w:spacing w:line="248" w:lineRule="auto"/>
                            <w:rPr>
                              <w:rFonts w:ascii="Arial"/>
                              <w:sz w:val="21"/>
                            </w:rPr>
                          </w:pPr>
                        </w:p>
                        <w:p w14:paraId="5BA49908">
                          <w:pPr>
                            <w:spacing w:line="248" w:lineRule="auto"/>
                            <w:rPr>
                              <w:rFonts w:ascii="Arial"/>
                              <w:sz w:val="21"/>
                            </w:rPr>
                          </w:pPr>
                        </w:p>
                        <w:p w14:paraId="223BB882">
                          <w:pPr>
                            <w:spacing w:line="248" w:lineRule="auto"/>
                            <w:rPr>
                              <w:rFonts w:ascii="Arial"/>
                              <w:sz w:val="21"/>
                            </w:rPr>
                          </w:pPr>
                        </w:p>
                        <w:p w14:paraId="40587B89">
                          <w:pPr>
                            <w:spacing w:before="65" w:line="239" w:lineRule="auto"/>
                            <w:ind w:left="7010"/>
                            <w:rPr>
                              <w:rFonts w:ascii="宋体" w:hAnsi="宋体" w:eastAsia="宋体" w:cs="宋体"/>
                              <w:sz w:val="20"/>
                              <w:szCs w:val="20"/>
                            </w:rPr>
                          </w:pPr>
                          <w:r>
                            <w:rPr>
                              <w:rFonts w:ascii="宋体" w:hAnsi="宋体" w:eastAsia="宋体" w:cs="宋体"/>
                              <w:spacing w:val="-1"/>
                              <w:sz w:val="20"/>
                              <w:szCs w:val="20"/>
                            </w:rPr>
                            <w:t>2024.08.05</w:t>
                          </w:r>
                        </w:p>
                      </w:txbxContent>
                    </v:textbox>
                  </v:shape>
                  <w10:wrap type="none"/>
                  <w10:anchorlock/>
                </v:group>
              </w:pict>
            </w:r>
          </w:p>
        </w:tc>
      </w:tr>
      <w:tr w14:paraId="71467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479" w:type="dxa"/>
            <w:vAlign w:val="top"/>
          </w:tcPr>
          <w:p w14:paraId="41918483">
            <w:pPr>
              <w:pStyle w:val="6"/>
              <w:spacing w:before="67" w:line="218" w:lineRule="auto"/>
              <w:ind w:left="3854"/>
              <w:rPr>
                <w:sz w:val="20"/>
                <w:szCs w:val="20"/>
              </w:rPr>
            </w:pPr>
            <w:r>
              <w:rPr>
                <w:spacing w:val="-2"/>
                <w:sz w:val="20"/>
                <w:szCs w:val="20"/>
              </w:rPr>
              <w:t>升压站现状</w:t>
            </w:r>
          </w:p>
        </w:tc>
      </w:tr>
    </w:tbl>
    <w:p w14:paraId="560E9E67">
      <w:pPr>
        <w:pStyle w:val="2"/>
      </w:pPr>
    </w:p>
    <w:p w14:paraId="35CD9B4A">
      <w:pPr>
        <w:sectPr>
          <w:pgSz w:w="11910" w:h="16830"/>
          <w:pgMar w:top="1430" w:right="1735" w:bottom="400" w:left="1685" w:header="0" w:footer="0" w:gutter="0"/>
          <w:cols w:space="720" w:num="1"/>
        </w:sectPr>
      </w:pPr>
    </w:p>
    <w:sdt>
      <w:sdtPr>
        <w:rPr>
          <w:rFonts w:ascii="宋体" w:hAnsi="宋体" w:eastAsia="宋体" w:cs="宋体"/>
          <w:sz w:val="33"/>
          <w:szCs w:val="33"/>
        </w:rPr>
        <w:id w:val="147482626"/>
        <w:docPartObj>
          <w:docPartGallery w:val="Table of Contents"/>
          <w:docPartUnique/>
        </w:docPartObj>
      </w:sdtPr>
      <w:sdtEndPr>
        <w:rPr>
          <w:rFonts w:ascii="Arial" w:hAnsi="Arial" w:eastAsia="Arial" w:cs="Arial"/>
          <w:sz w:val="28"/>
          <w:szCs w:val="28"/>
        </w:rPr>
      </w:sdtEndPr>
      <w:sdtContent>
        <w:p w14:paraId="3F84A0DD">
          <w:pPr>
            <w:spacing w:before="102" w:line="221" w:lineRule="auto"/>
            <w:ind w:left="4184"/>
            <w:rPr>
              <w:rFonts w:ascii="宋体" w:hAnsi="宋体" w:eastAsia="宋体" w:cs="宋体"/>
              <w:sz w:val="33"/>
              <w:szCs w:val="33"/>
            </w:rPr>
          </w:pPr>
          <w:r>
            <w:rPr>
              <w:rFonts w:ascii="宋体" w:hAnsi="宋体" w:eastAsia="宋体" w:cs="宋体"/>
              <w:b/>
              <w:bCs/>
              <w:spacing w:val="-23"/>
              <w:sz w:val="33"/>
              <w:szCs w:val="33"/>
            </w:rPr>
            <w:t>目录</w:t>
          </w:r>
        </w:p>
        <w:p w14:paraId="4DC014C9">
          <w:pPr>
            <w:pStyle w:val="2"/>
            <w:tabs>
              <w:tab w:val="right" w:leader="dot" w:pos="8855"/>
            </w:tabs>
            <w:spacing w:before="201" w:line="219" w:lineRule="auto"/>
            <w:rPr>
              <w:sz w:val="28"/>
              <w:szCs w:val="28"/>
            </w:rPr>
          </w:pPr>
          <w:r>
            <w:fldChar w:fldCharType="begin"/>
          </w:r>
          <w:r>
            <w:instrText xml:space="preserve"> HYPERLINK \l "bookmark1" </w:instrText>
          </w:r>
          <w:r>
            <w:fldChar w:fldCharType="separate"/>
          </w:r>
          <w:r>
            <w:rPr>
              <w:rFonts w:ascii="宋体" w:hAnsi="宋体" w:eastAsia="宋体" w:cs="宋体"/>
              <w:spacing w:val="2"/>
              <w:sz w:val="28"/>
              <w:szCs w:val="28"/>
            </w:rPr>
            <w:t>一、建设项目基本情况</w:t>
          </w:r>
          <w:r>
            <w:rPr>
              <w:rFonts w:ascii="宋体" w:hAnsi="宋体" w:eastAsia="宋体" w:cs="宋体"/>
              <w:spacing w:val="-121"/>
              <w:sz w:val="28"/>
              <w:szCs w:val="28"/>
            </w:rPr>
            <w:t xml:space="preserve"> </w:t>
          </w:r>
          <w:r>
            <w:rPr>
              <w:rFonts w:ascii="宋体" w:hAnsi="宋体" w:eastAsia="宋体" w:cs="宋体"/>
              <w:sz w:val="28"/>
              <w:szCs w:val="28"/>
            </w:rPr>
            <w:tab/>
          </w:r>
          <w:r>
            <w:rPr>
              <w:rFonts w:ascii="宋体" w:hAnsi="宋体" w:eastAsia="宋体" w:cs="宋体"/>
              <w:spacing w:val="-97"/>
              <w:sz w:val="28"/>
              <w:szCs w:val="28"/>
            </w:rPr>
            <w:t xml:space="preserve"> </w:t>
          </w:r>
          <w:r>
            <w:rPr>
              <w:sz w:val="28"/>
              <w:szCs w:val="28"/>
            </w:rPr>
            <w:t>1</w:t>
          </w:r>
          <w:r>
            <w:rPr>
              <w:sz w:val="28"/>
              <w:szCs w:val="28"/>
            </w:rPr>
            <w:fldChar w:fldCharType="end"/>
          </w:r>
        </w:p>
        <w:p w14:paraId="7E129195">
          <w:pPr>
            <w:pStyle w:val="2"/>
            <w:tabs>
              <w:tab w:val="right" w:leader="dot" w:pos="8867"/>
            </w:tabs>
            <w:spacing w:before="178" w:line="382" w:lineRule="exact"/>
            <w:rPr>
              <w:sz w:val="28"/>
              <w:szCs w:val="28"/>
            </w:rPr>
          </w:pPr>
          <w:r>
            <w:fldChar w:fldCharType="begin"/>
          </w:r>
          <w:r>
            <w:instrText xml:space="preserve"> HYPERLINK \l "bookmark2" </w:instrText>
          </w:r>
          <w:r>
            <w:fldChar w:fldCharType="separate"/>
          </w:r>
          <w:r>
            <w:rPr>
              <w:rFonts w:ascii="宋体" w:hAnsi="宋体" w:eastAsia="宋体" w:cs="宋体"/>
              <w:spacing w:val="2"/>
              <w:position w:val="1"/>
              <w:sz w:val="28"/>
              <w:szCs w:val="28"/>
            </w:rPr>
            <w:t>二、建设内容</w:t>
          </w:r>
          <w:r>
            <w:rPr>
              <w:rFonts w:ascii="宋体" w:hAnsi="宋体" w:eastAsia="宋体" w:cs="宋体"/>
              <w:spacing w:val="-123"/>
              <w:position w:val="1"/>
              <w:sz w:val="28"/>
              <w:szCs w:val="28"/>
            </w:rPr>
            <w:t xml:space="preserve"> </w:t>
          </w:r>
          <w:r>
            <w:rPr>
              <w:rFonts w:ascii="宋体" w:hAnsi="宋体" w:eastAsia="宋体" w:cs="宋体"/>
              <w:position w:val="1"/>
              <w:sz w:val="28"/>
              <w:szCs w:val="28"/>
            </w:rPr>
            <w:tab/>
          </w:r>
          <w:r>
            <w:rPr>
              <w:spacing w:val="-35"/>
              <w:w w:val="84"/>
              <w:position w:val="1"/>
              <w:sz w:val="28"/>
              <w:szCs w:val="28"/>
            </w:rPr>
            <w:t>31</w:t>
          </w:r>
          <w:r>
            <w:rPr>
              <w:spacing w:val="-35"/>
              <w:w w:val="84"/>
              <w:position w:val="1"/>
              <w:sz w:val="28"/>
              <w:szCs w:val="28"/>
            </w:rPr>
            <w:fldChar w:fldCharType="end"/>
          </w:r>
        </w:p>
        <w:p w14:paraId="1990AF69">
          <w:pPr>
            <w:pStyle w:val="2"/>
            <w:tabs>
              <w:tab w:val="right" w:leader="dot" w:pos="8849"/>
            </w:tabs>
            <w:spacing w:before="146" w:line="382" w:lineRule="exact"/>
            <w:rPr>
              <w:sz w:val="28"/>
              <w:szCs w:val="28"/>
            </w:rPr>
          </w:pPr>
          <w:r>
            <w:fldChar w:fldCharType="begin"/>
          </w:r>
          <w:r>
            <w:instrText xml:space="preserve"> HYPERLINK \l "bookmark3" </w:instrText>
          </w:r>
          <w:r>
            <w:fldChar w:fldCharType="separate"/>
          </w:r>
          <w:r>
            <w:rPr>
              <w:rFonts w:ascii="宋体" w:hAnsi="宋体" w:eastAsia="宋体" w:cs="宋体"/>
              <w:position w:val="1"/>
              <w:sz w:val="28"/>
              <w:szCs w:val="28"/>
            </w:rPr>
            <w:t>三、 生态环境现状、保护目标及评价标准</w:t>
          </w:r>
          <w:r>
            <w:rPr>
              <w:rFonts w:ascii="宋体" w:hAnsi="宋体" w:eastAsia="宋体" w:cs="宋体"/>
              <w:spacing w:val="-111"/>
              <w:position w:val="1"/>
              <w:sz w:val="28"/>
              <w:szCs w:val="28"/>
            </w:rPr>
            <w:t xml:space="preserve"> </w:t>
          </w:r>
          <w:r>
            <w:rPr>
              <w:rFonts w:ascii="宋体" w:hAnsi="宋体" w:eastAsia="宋体" w:cs="宋体"/>
              <w:position w:val="1"/>
              <w:sz w:val="28"/>
              <w:szCs w:val="28"/>
            </w:rPr>
            <w:tab/>
          </w:r>
          <w:r>
            <w:rPr>
              <w:position w:val="1"/>
              <w:sz w:val="28"/>
              <w:szCs w:val="28"/>
            </w:rPr>
            <w:t>55</w:t>
          </w:r>
          <w:r>
            <w:rPr>
              <w:position w:val="1"/>
              <w:sz w:val="28"/>
              <w:szCs w:val="28"/>
            </w:rPr>
            <w:fldChar w:fldCharType="end"/>
          </w:r>
        </w:p>
        <w:p w14:paraId="56F0DE73">
          <w:pPr>
            <w:pStyle w:val="2"/>
            <w:tabs>
              <w:tab w:val="right" w:leader="dot" w:pos="8857"/>
            </w:tabs>
            <w:spacing w:before="181" w:line="382" w:lineRule="exact"/>
            <w:rPr>
              <w:sz w:val="28"/>
              <w:szCs w:val="28"/>
            </w:rPr>
          </w:pPr>
          <w:r>
            <w:fldChar w:fldCharType="begin"/>
          </w:r>
          <w:r>
            <w:instrText xml:space="preserve"> HYPERLINK \l "bookmark4" </w:instrText>
          </w:r>
          <w:r>
            <w:fldChar w:fldCharType="separate"/>
          </w:r>
          <w:r>
            <w:rPr>
              <w:rFonts w:ascii="宋体" w:hAnsi="宋体" w:eastAsia="宋体" w:cs="宋体"/>
              <w:spacing w:val="3"/>
              <w:position w:val="1"/>
              <w:sz w:val="28"/>
              <w:szCs w:val="28"/>
            </w:rPr>
            <w:t>四、</w:t>
          </w:r>
          <w:r>
            <w:rPr>
              <w:rFonts w:ascii="宋体" w:hAnsi="宋体" w:eastAsia="宋体" w:cs="宋体"/>
              <w:spacing w:val="-29"/>
              <w:position w:val="1"/>
              <w:sz w:val="28"/>
              <w:szCs w:val="28"/>
            </w:rPr>
            <w:t xml:space="preserve"> </w:t>
          </w:r>
          <w:r>
            <w:rPr>
              <w:rFonts w:ascii="宋体" w:hAnsi="宋体" w:eastAsia="宋体" w:cs="宋体"/>
              <w:spacing w:val="3"/>
              <w:position w:val="1"/>
              <w:sz w:val="28"/>
              <w:szCs w:val="28"/>
            </w:rPr>
            <w:t>生态环境影响分析</w:t>
          </w:r>
          <w:r>
            <w:rPr>
              <w:rFonts w:ascii="宋体" w:hAnsi="宋体" w:eastAsia="宋体" w:cs="宋体"/>
              <w:spacing w:val="-122"/>
              <w:position w:val="1"/>
              <w:sz w:val="28"/>
              <w:szCs w:val="28"/>
            </w:rPr>
            <w:t xml:space="preserve"> </w:t>
          </w:r>
          <w:r>
            <w:rPr>
              <w:rFonts w:ascii="宋体" w:hAnsi="宋体" w:eastAsia="宋体" w:cs="宋体"/>
              <w:position w:val="1"/>
              <w:sz w:val="28"/>
              <w:szCs w:val="28"/>
            </w:rPr>
            <w:tab/>
          </w:r>
          <w:r>
            <w:rPr>
              <w:spacing w:val="9"/>
              <w:position w:val="1"/>
              <w:sz w:val="28"/>
              <w:szCs w:val="28"/>
            </w:rPr>
            <w:t>75</w:t>
          </w:r>
          <w:r>
            <w:rPr>
              <w:spacing w:val="9"/>
              <w:position w:val="1"/>
              <w:sz w:val="28"/>
              <w:szCs w:val="28"/>
            </w:rPr>
            <w:fldChar w:fldCharType="end"/>
          </w:r>
        </w:p>
        <w:p w14:paraId="78E222A8">
          <w:pPr>
            <w:pStyle w:val="2"/>
            <w:tabs>
              <w:tab w:val="right" w:leader="dot" w:pos="8854"/>
            </w:tabs>
            <w:spacing w:before="198" w:line="220" w:lineRule="auto"/>
            <w:rPr>
              <w:sz w:val="28"/>
              <w:szCs w:val="28"/>
            </w:rPr>
          </w:pPr>
          <w:r>
            <w:fldChar w:fldCharType="begin"/>
          </w:r>
          <w:r>
            <w:instrText xml:space="preserve"> HYPERLINK \l "bookmark5" </w:instrText>
          </w:r>
          <w:r>
            <w:fldChar w:fldCharType="separate"/>
          </w:r>
          <w:r>
            <w:rPr>
              <w:rFonts w:ascii="宋体" w:hAnsi="宋体" w:eastAsia="宋体" w:cs="宋体"/>
              <w:sz w:val="28"/>
              <w:szCs w:val="28"/>
            </w:rPr>
            <w:t>五、主要生态环境保护措施</w:t>
          </w:r>
          <w:r>
            <w:rPr>
              <w:rFonts w:ascii="宋体" w:hAnsi="宋体" w:eastAsia="宋体" w:cs="宋体"/>
              <w:spacing w:val="-121"/>
              <w:sz w:val="28"/>
              <w:szCs w:val="28"/>
            </w:rPr>
            <w:t xml:space="preserve"> </w:t>
          </w:r>
          <w:r>
            <w:rPr>
              <w:rFonts w:ascii="宋体" w:hAnsi="宋体" w:eastAsia="宋体" w:cs="宋体"/>
              <w:sz w:val="28"/>
              <w:szCs w:val="28"/>
            </w:rPr>
            <w:tab/>
          </w:r>
          <w:r>
            <w:rPr>
              <w:rFonts w:ascii="宋体" w:hAnsi="宋体" w:eastAsia="宋体" w:cs="宋体"/>
              <w:spacing w:val="-87"/>
              <w:sz w:val="28"/>
              <w:szCs w:val="28"/>
            </w:rPr>
            <w:t xml:space="preserve"> </w:t>
          </w:r>
          <w:r>
            <w:rPr>
              <w:spacing w:val="-12"/>
              <w:sz w:val="28"/>
              <w:szCs w:val="28"/>
            </w:rPr>
            <w:t>112</w:t>
          </w:r>
          <w:r>
            <w:rPr>
              <w:spacing w:val="-12"/>
              <w:sz w:val="28"/>
              <w:szCs w:val="28"/>
            </w:rPr>
            <w:fldChar w:fldCharType="end"/>
          </w:r>
        </w:p>
        <w:p w14:paraId="1225ED99">
          <w:pPr>
            <w:pStyle w:val="2"/>
            <w:tabs>
              <w:tab w:val="right" w:leader="dot" w:pos="8865"/>
            </w:tabs>
            <w:spacing w:before="175" w:line="382" w:lineRule="exact"/>
            <w:rPr>
              <w:sz w:val="28"/>
              <w:szCs w:val="28"/>
            </w:rPr>
          </w:pPr>
          <w:r>
            <w:fldChar w:fldCharType="begin"/>
          </w:r>
          <w:r>
            <w:instrText xml:space="preserve"> HYPERLINK \l "bookmark6" </w:instrText>
          </w:r>
          <w:r>
            <w:fldChar w:fldCharType="separate"/>
          </w:r>
          <w:r>
            <w:rPr>
              <w:rFonts w:ascii="宋体" w:hAnsi="宋体" w:eastAsia="宋体" w:cs="宋体"/>
              <w:spacing w:val="1"/>
              <w:position w:val="1"/>
              <w:sz w:val="28"/>
              <w:szCs w:val="28"/>
            </w:rPr>
            <w:t>六、生态环境保护措施监督检查清单</w:t>
          </w:r>
          <w:r>
            <w:rPr>
              <w:rFonts w:ascii="宋体" w:hAnsi="宋体" w:eastAsia="宋体" w:cs="宋体"/>
              <w:spacing w:val="-117"/>
              <w:position w:val="1"/>
              <w:sz w:val="28"/>
              <w:szCs w:val="28"/>
            </w:rPr>
            <w:t xml:space="preserve"> </w:t>
          </w:r>
          <w:r>
            <w:rPr>
              <w:rFonts w:ascii="宋体" w:hAnsi="宋体" w:eastAsia="宋体" w:cs="宋体"/>
              <w:position w:val="1"/>
              <w:sz w:val="28"/>
              <w:szCs w:val="28"/>
            </w:rPr>
            <w:tab/>
          </w:r>
          <w:r>
            <w:rPr>
              <w:spacing w:val="-2"/>
              <w:position w:val="1"/>
              <w:sz w:val="28"/>
              <w:szCs w:val="28"/>
            </w:rPr>
            <w:t>128</w:t>
          </w:r>
          <w:r>
            <w:rPr>
              <w:spacing w:val="-2"/>
              <w:position w:val="1"/>
              <w:sz w:val="28"/>
              <w:szCs w:val="28"/>
            </w:rPr>
            <w:fldChar w:fldCharType="end"/>
          </w:r>
        </w:p>
        <w:p w14:paraId="53381C97">
          <w:pPr>
            <w:pStyle w:val="2"/>
            <w:tabs>
              <w:tab w:val="right" w:leader="dot" w:pos="8885"/>
            </w:tabs>
            <w:spacing w:before="160" w:line="382" w:lineRule="exact"/>
            <w:rPr>
              <w:sz w:val="28"/>
              <w:szCs w:val="28"/>
            </w:rPr>
          </w:pPr>
          <w:r>
            <w:fldChar w:fldCharType="begin"/>
          </w:r>
          <w:r>
            <w:instrText xml:space="preserve"> HYPERLINK \l "bookmark7" </w:instrText>
          </w:r>
          <w:r>
            <w:fldChar w:fldCharType="separate"/>
          </w:r>
          <w:r>
            <w:rPr>
              <w:rFonts w:ascii="宋体" w:hAnsi="宋体" w:eastAsia="宋体" w:cs="宋体"/>
              <w:spacing w:val="-17"/>
              <w:position w:val="1"/>
              <w:sz w:val="28"/>
              <w:szCs w:val="28"/>
            </w:rPr>
            <w:t>七、结论</w:t>
          </w:r>
          <w:r>
            <w:rPr>
              <w:rFonts w:ascii="宋体" w:hAnsi="宋体" w:eastAsia="宋体" w:cs="宋体"/>
              <w:spacing w:val="-123"/>
              <w:position w:val="1"/>
              <w:sz w:val="28"/>
              <w:szCs w:val="28"/>
            </w:rPr>
            <w:t xml:space="preserve"> </w:t>
          </w:r>
          <w:r>
            <w:rPr>
              <w:rFonts w:ascii="宋体" w:hAnsi="宋体" w:eastAsia="宋体" w:cs="宋体"/>
              <w:position w:val="1"/>
              <w:sz w:val="28"/>
              <w:szCs w:val="28"/>
            </w:rPr>
            <w:tab/>
          </w:r>
          <w:r>
            <w:rPr>
              <w:rFonts w:ascii="宋体" w:hAnsi="宋体" w:eastAsia="宋体" w:cs="宋体"/>
              <w:spacing w:val="-6"/>
              <w:position w:val="1"/>
              <w:sz w:val="28"/>
              <w:szCs w:val="28"/>
            </w:rPr>
            <w:t xml:space="preserve"> </w:t>
          </w:r>
          <w:r>
            <w:rPr>
              <w:spacing w:val="-11"/>
              <w:position w:val="1"/>
              <w:sz w:val="28"/>
              <w:szCs w:val="28"/>
            </w:rPr>
            <w:t>131</w:t>
          </w:r>
          <w:r>
            <w:rPr>
              <w:spacing w:val="-11"/>
              <w:position w:val="1"/>
              <w:sz w:val="28"/>
              <w:szCs w:val="28"/>
            </w:rPr>
            <w:fldChar w:fldCharType="end"/>
          </w:r>
        </w:p>
      </w:sdtContent>
    </w:sdt>
    <w:p w14:paraId="5A87C488">
      <w:pPr>
        <w:pStyle w:val="2"/>
        <w:spacing w:line="260" w:lineRule="auto"/>
      </w:pPr>
    </w:p>
    <w:p w14:paraId="200A017E">
      <w:pPr>
        <w:pStyle w:val="2"/>
        <w:spacing w:line="260" w:lineRule="auto"/>
      </w:pPr>
    </w:p>
    <w:p w14:paraId="553F1C63">
      <w:pPr>
        <w:pStyle w:val="2"/>
        <w:spacing w:line="261" w:lineRule="auto"/>
      </w:pPr>
    </w:p>
    <w:p w14:paraId="0D1DC1EE">
      <w:pPr>
        <w:spacing w:before="85" w:line="219" w:lineRule="auto"/>
        <w:ind w:left="13"/>
        <w:rPr>
          <w:rFonts w:ascii="宋体" w:hAnsi="宋体" w:eastAsia="宋体" w:cs="宋体"/>
          <w:sz w:val="26"/>
          <w:szCs w:val="26"/>
        </w:rPr>
      </w:pPr>
      <w:r>
        <w:rPr>
          <w:rFonts w:ascii="宋体" w:hAnsi="宋体" w:eastAsia="宋体" w:cs="宋体"/>
          <w:b/>
          <w:bCs/>
          <w:spacing w:val="-23"/>
          <w:sz w:val="26"/>
          <w:szCs w:val="26"/>
        </w:rPr>
        <w:t>附件：</w:t>
      </w:r>
    </w:p>
    <w:p w14:paraId="65357E3A">
      <w:pPr>
        <w:spacing w:before="164" w:line="219" w:lineRule="auto"/>
        <w:ind w:left="500"/>
        <w:rPr>
          <w:rFonts w:ascii="宋体" w:hAnsi="宋体" w:eastAsia="宋体" w:cs="宋体"/>
          <w:sz w:val="24"/>
          <w:szCs w:val="24"/>
        </w:rPr>
      </w:pPr>
      <w:r>
        <w:rPr>
          <w:rFonts w:ascii="宋体" w:hAnsi="宋体" w:eastAsia="宋体" w:cs="宋体"/>
          <w:spacing w:val="7"/>
          <w:sz w:val="24"/>
          <w:szCs w:val="24"/>
        </w:rPr>
        <w:t>附件1</w:t>
      </w:r>
      <w:r>
        <w:rPr>
          <w:rFonts w:ascii="宋体" w:hAnsi="宋体" w:eastAsia="宋体" w:cs="宋体"/>
          <w:spacing w:val="69"/>
          <w:sz w:val="24"/>
          <w:szCs w:val="24"/>
        </w:rPr>
        <w:t xml:space="preserve"> </w:t>
      </w:r>
      <w:r>
        <w:rPr>
          <w:rFonts w:ascii="宋体" w:hAnsi="宋体" w:eastAsia="宋体" w:cs="宋体"/>
          <w:spacing w:val="7"/>
          <w:sz w:val="24"/>
          <w:szCs w:val="24"/>
        </w:rPr>
        <w:t>委托书；</w:t>
      </w:r>
    </w:p>
    <w:p w14:paraId="2F8805C2">
      <w:pPr>
        <w:spacing w:before="196" w:line="219" w:lineRule="auto"/>
        <w:ind w:left="490"/>
        <w:rPr>
          <w:rFonts w:ascii="宋体" w:hAnsi="宋体" w:eastAsia="宋体" w:cs="宋体"/>
          <w:sz w:val="24"/>
          <w:szCs w:val="24"/>
        </w:rPr>
      </w:pPr>
      <w:r>
        <w:rPr>
          <w:rFonts w:ascii="宋体" w:hAnsi="宋体" w:eastAsia="宋体" w:cs="宋体"/>
          <w:spacing w:val="5"/>
          <w:sz w:val="24"/>
          <w:szCs w:val="24"/>
        </w:rPr>
        <w:t>附件2</w:t>
      </w:r>
      <w:r>
        <w:rPr>
          <w:rFonts w:ascii="宋体" w:hAnsi="宋体" w:eastAsia="宋体" w:cs="宋体"/>
          <w:spacing w:val="39"/>
          <w:sz w:val="24"/>
          <w:szCs w:val="24"/>
        </w:rPr>
        <w:t xml:space="preserve"> </w:t>
      </w:r>
      <w:r>
        <w:rPr>
          <w:rFonts w:ascii="宋体" w:hAnsi="宋体" w:eastAsia="宋体" w:cs="宋体"/>
          <w:spacing w:val="5"/>
          <w:sz w:val="24"/>
          <w:szCs w:val="24"/>
        </w:rPr>
        <w:t>云南省固定资产投资项目备案证；</w:t>
      </w:r>
    </w:p>
    <w:p w14:paraId="60F2109E">
      <w:pPr>
        <w:spacing w:before="185" w:line="219" w:lineRule="auto"/>
        <w:ind w:left="480"/>
        <w:rPr>
          <w:rFonts w:ascii="宋体" w:hAnsi="宋体" w:eastAsia="宋体" w:cs="宋体"/>
          <w:sz w:val="24"/>
          <w:szCs w:val="24"/>
        </w:rPr>
      </w:pPr>
      <w:r>
        <w:rPr>
          <w:rFonts w:ascii="宋体" w:hAnsi="宋体" w:eastAsia="宋体" w:cs="宋体"/>
          <w:spacing w:val="4"/>
          <w:sz w:val="24"/>
          <w:szCs w:val="24"/>
        </w:rPr>
        <w:t>附件3</w:t>
      </w:r>
      <w:r>
        <w:rPr>
          <w:rFonts w:ascii="宋体" w:hAnsi="宋体" w:eastAsia="宋体" w:cs="宋体"/>
          <w:spacing w:val="50"/>
          <w:sz w:val="24"/>
          <w:szCs w:val="24"/>
        </w:rPr>
        <w:t xml:space="preserve"> </w:t>
      </w:r>
      <w:r>
        <w:rPr>
          <w:rFonts w:ascii="宋体" w:hAnsi="宋体" w:eastAsia="宋体" w:cs="宋体"/>
          <w:spacing w:val="4"/>
          <w:sz w:val="24"/>
          <w:szCs w:val="24"/>
        </w:rPr>
        <w:t>营业执照</w:t>
      </w:r>
    </w:p>
    <w:p w14:paraId="7EA4CAB3">
      <w:pPr>
        <w:spacing w:before="177" w:line="356" w:lineRule="auto"/>
        <w:ind w:left="20" w:right="32" w:firstLine="470"/>
        <w:rPr>
          <w:rFonts w:ascii="宋体" w:hAnsi="宋体" w:eastAsia="宋体" w:cs="宋体"/>
          <w:sz w:val="24"/>
          <w:szCs w:val="24"/>
        </w:rPr>
      </w:pPr>
      <w:r>
        <w:rPr>
          <w:rFonts w:ascii="宋体" w:hAnsi="宋体" w:eastAsia="宋体" w:cs="宋体"/>
          <w:spacing w:val="9"/>
          <w:sz w:val="24"/>
          <w:szCs w:val="24"/>
        </w:rPr>
        <w:t>附件4 云南省能源局关于印发云南省2023年第一批新能</w:t>
      </w:r>
      <w:r>
        <w:rPr>
          <w:rFonts w:ascii="宋体" w:hAnsi="宋体" w:eastAsia="宋体" w:cs="宋体"/>
          <w:spacing w:val="8"/>
          <w:sz w:val="24"/>
          <w:szCs w:val="24"/>
        </w:rPr>
        <w:t>源建设方案的通知(云</w:t>
      </w:r>
      <w:r>
        <w:rPr>
          <w:rFonts w:ascii="宋体" w:hAnsi="宋体" w:eastAsia="宋体" w:cs="宋体"/>
          <w:sz w:val="24"/>
          <w:szCs w:val="24"/>
        </w:rPr>
        <w:t xml:space="preserve"> </w:t>
      </w:r>
      <w:r>
        <w:rPr>
          <w:rFonts w:ascii="宋体" w:hAnsi="宋体" w:eastAsia="宋体" w:cs="宋体"/>
          <w:spacing w:val="10"/>
          <w:sz w:val="24"/>
          <w:szCs w:val="24"/>
        </w:rPr>
        <w:t>能源水电【2023】170号);</w:t>
      </w:r>
    </w:p>
    <w:p w14:paraId="4CB3E085">
      <w:pPr>
        <w:spacing w:before="3" w:line="219" w:lineRule="auto"/>
        <w:ind w:left="500"/>
        <w:rPr>
          <w:rFonts w:ascii="宋体" w:hAnsi="宋体" w:eastAsia="宋体" w:cs="宋体"/>
          <w:sz w:val="24"/>
          <w:szCs w:val="24"/>
        </w:rPr>
      </w:pPr>
      <w:r>
        <w:rPr>
          <w:rFonts w:ascii="宋体" w:hAnsi="宋体" w:eastAsia="宋体" w:cs="宋体"/>
          <w:spacing w:val="7"/>
          <w:sz w:val="24"/>
          <w:szCs w:val="24"/>
        </w:rPr>
        <w:t>附件5曲靖市马龙区自然资源局选址意见；</w:t>
      </w:r>
    </w:p>
    <w:p w14:paraId="1827D039">
      <w:pPr>
        <w:spacing w:before="195" w:line="349" w:lineRule="auto"/>
        <w:ind w:left="20" w:right="40" w:firstLine="470"/>
        <w:rPr>
          <w:rFonts w:ascii="宋体" w:hAnsi="宋体" w:eastAsia="宋体" w:cs="宋体"/>
          <w:sz w:val="24"/>
          <w:szCs w:val="24"/>
        </w:rPr>
      </w:pPr>
      <w:r>
        <w:rPr>
          <w:rFonts w:ascii="宋体" w:hAnsi="宋体" w:eastAsia="宋体" w:cs="宋体"/>
          <w:spacing w:val="4"/>
          <w:sz w:val="24"/>
          <w:szCs w:val="24"/>
        </w:rPr>
        <w:t>附件6</w:t>
      </w:r>
      <w:r>
        <w:rPr>
          <w:rFonts w:ascii="宋体" w:hAnsi="宋体" w:eastAsia="宋体" w:cs="宋体"/>
          <w:spacing w:val="58"/>
          <w:sz w:val="24"/>
          <w:szCs w:val="24"/>
        </w:rPr>
        <w:t xml:space="preserve"> </w:t>
      </w:r>
      <w:r>
        <w:rPr>
          <w:rFonts w:ascii="宋体" w:hAnsi="宋体" w:eastAsia="宋体" w:cs="宋体"/>
          <w:spacing w:val="4"/>
          <w:sz w:val="24"/>
          <w:szCs w:val="24"/>
        </w:rPr>
        <w:t>曲靖市马龙区林业和草原局关于几沃梁子农光互补光伏发电项目选址意</w:t>
      </w:r>
      <w:r>
        <w:rPr>
          <w:rFonts w:ascii="宋体" w:hAnsi="宋体" w:eastAsia="宋体" w:cs="宋体"/>
          <w:sz w:val="24"/>
          <w:szCs w:val="24"/>
        </w:rPr>
        <w:t xml:space="preserve"> </w:t>
      </w:r>
      <w:r>
        <w:rPr>
          <w:rFonts w:ascii="宋体" w:hAnsi="宋体" w:eastAsia="宋体" w:cs="宋体"/>
          <w:spacing w:val="-12"/>
          <w:sz w:val="24"/>
          <w:szCs w:val="24"/>
        </w:rPr>
        <w:t>见的复函；</w:t>
      </w:r>
    </w:p>
    <w:p w14:paraId="76825BF2">
      <w:pPr>
        <w:spacing w:before="12" w:line="358" w:lineRule="auto"/>
        <w:ind w:left="20" w:right="20" w:firstLine="480"/>
        <w:rPr>
          <w:rFonts w:ascii="宋体" w:hAnsi="宋体" w:eastAsia="宋体" w:cs="宋体"/>
          <w:sz w:val="24"/>
          <w:szCs w:val="24"/>
        </w:rPr>
      </w:pPr>
      <w:r>
        <w:rPr>
          <w:rFonts w:ascii="宋体" w:hAnsi="宋体" w:eastAsia="宋体" w:cs="宋体"/>
          <w:spacing w:val="4"/>
          <w:sz w:val="24"/>
          <w:szCs w:val="24"/>
        </w:rPr>
        <w:t>附件7</w:t>
      </w:r>
      <w:r>
        <w:rPr>
          <w:rFonts w:ascii="宋体" w:hAnsi="宋体" w:eastAsia="宋体" w:cs="宋体"/>
          <w:spacing w:val="68"/>
          <w:sz w:val="24"/>
          <w:szCs w:val="24"/>
        </w:rPr>
        <w:t xml:space="preserve"> </w:t>
      </w:r>
      <w:r>
        <w:rPr>
          <w:rFonts w:ascii="宋体" w:hAnsi="宋体" w:eastAsia="宋体" w:cs="宋体"/>
          <w:spacing w:val="4"/>
          <w:sz w:val="24"/>
          <w:szCs w:val="24"/>
        </w:rPr>
        <w:t>曲靖市马龙区水务局关于征求下几沃梁子农光互补光伏发电项目选址意</w:t>
      </w:r>
      <w:r>
        <w:rPr>
          <w:rFonts w:ascii="宋体" w:hAnsi="宋体" w:eastAsia="宋体" w:cs="宋体"/>
          <w:sz w:val="24"/>
          <w:szCs w:val="24"/>
        </w:rPr>
        <w:t xml:space="preserve"> </w:t>
      </w:r>
      <w:r>
        <w:rPr>
          <w:rFonts w:ascii="宋体" w:hAnsi="宋体" w:eastAsia="宋体" w:cs="宋体"/>
          <w:spacing w:val="-10"/>
          <w:sz w:val="24"/>
          <w:szCs w:val="24"/>
        </w:rPr>
        <w:t>见函的回复；</w:t>
      </w:r>
    </w:p>
    <w:p w14:paraId="4F5313EC">
      <w:pPr>
        <w:spacing w:before="1" w:line="361" w:lineRule="auto"/>
        <w:ind w:right="34" w:firstLine="500"/>
        <w:rPr>
          <w:rFonts w:ascii="宋体" w:hAnsi="宋体" w:eastAsia="宋体" w:cs="宋体"/>
          <w:sz w:val="24"/>
          <w:szCs w:val="24"/>
        </w:rPr>
      </w:pPr>
      <w:r>
        <w:rPr>
          <w:rFonts w:ascii="宋体" w:hAnsi="宋体" w:eastAsia="宋体" w:cs="宋体"/>
          <w:spacing w:val="4"/>
          <w:sz w:val="24"/>
          <w:szCs w:val="24"/>
        </w:rPr>
        <w:t>附件8</w:t>
      </w:r>
      <w:r>
        <w:rPr>
          <w:rFonts w:ascii="宋体" w:hAnsi="宋体" w:eastAsia="宋体" w:cs="宋体"/>
          <w:spacing w:val="54"/>
          <w:sz w:val="24"/>
          <w:szCs w:val="24"/>
        </w:rPr>
        <w:t xml:space="preserve"> </w:t>
      </w:r>
      <w:r>
        <w:rPr>
          <w:rFonts w:ascii="宋体" w:hAnsi="宋体" w:eastAsia="宋体" w:cs="宋体"/>
          <w:spacing w:val="4"/>
          <w:sz w:val="24"/>
          <w:szCs w:val="24"/>
        </w:rPr>
        <w:t>曲靖市生态环境局马龙分局关于几沃梁子农光互补光伏发电项目初选址</w:t>
      </w:r>
      <w:r>
        <w:rPr>
          <w:rFonts w:ascii="宋体" w:hAnsi="宋体" w:eastAsia="宋体" w:cs="宋体"/>
          <w:sz w:val="24"/>
          <w:szCs w:val="24"/>
        </w:rPr>
        <w:t xml:space="preserve"> </w:t>
      </w:r>
      <w:r>
        <w:rPr>
          <w:rFonts w:ascii="宋体" w:hAnsi="宋体" w:eastAsia="宋体" w:cs="宋体"/>
          <w:spacing w:val="-12"/>
          <w:sz w:val="24"/>
          <w:szCs w:val="24"/>
        </w:rPr>
        <w:t>意见；</w:t>
      </w:r>
    </w:p>
    <w:p w14:paraId="5D7455A7">
      <w:pPr>
        <w:spacing w:before="1" w:line="217" w:lineRule="auto"/>
        <w:ind w:left="500"/>
        <w:rPr>
          <w:rFonts w:ascii="宋体" w:hAnsi="宋体" w:eastAsia="宋体" w:cs="宋体"/>
          <w:sz w:val="24"/>
          <w:szCs w:val="24"/>
        </w:rPr>
      </w:pPr>
      <w:r>
        <w:rPr>
          <w:rFonts w:ascii="宋体" w:hAnsi="宋体" w:eastAsia="宋体" w:cs="宋体"/>
          <w:spacing w:val="11"/>
          <w:sz w:val="24"/>
          <w:szCs w:val="24"/>
        </w:rPr>
        <w:t>附件9现状监测报告；</w:t>
      </w:r>
    </w:p>
    <w:p w14:paraId="18DB86E2">
      <w:pPr>
        <w:spacing w:before="176" w:line="218" w:lineRule="auto"/>
        <w:ind w:left="500"/>
        <w:rPr>
          <w:rFonts w:ascii="宋体" w:hAnsi="宋体" w:eastAsia="宋体" w:cs="宋体"/>
          <w:sz w:val="24"/>
          <w:szCs w:val="24"/>
        </w:rPr>
      </w:pPr>
      <w:r>
        <w:rPr>
          <w:rFonts w:ascii="宋体" w:hAnsi="宋体" w:eastAsia="宋体" w:cs="宋体"/>
          <w:spacing w:val="8"/>
          <w:sz w:val="24"/>
          <w:szCs w:val="24"/>
        </w:rPr>
        <w:t>附件10类比辐射的监测报告；</w:t>
      </w:r>
    </w:p>
    <w:p w14:paraId="4418EB78">
      <w:pPr>
        <w:spacing w:before="197" w:line="219" w:lineRule="auto"/>
        <w:ind w:left="490"/>
        <w:rPr>
          <w:rFonts w:ascii="宋体" w:hAnsi="宋体" w:eastAsia="宋体" w:cs="宋体"/>
          <w:sz w:val="24"/>
          <w:szCs w:val="24"/>
        </w:rPr>
      </w:pPr>
      <w:r>
        <w:rPr>
          <w:rFonts w:ascii="宋体" w:hAnsi="宋体" w:eastAsia="宋体" w:cs="宋体"/>
          <w:spacing w:val="5"/>
          <w:sz w:val="24"/>
          <w:szCs w:val="24"/>
        </w:rPr>
        <w:t>附件11</w:t>
      </w:r>
      <w:r>
        <w:rPr>
          <w:rFonts w:ascii="宋体" w:hAnsi="宋体" w:eastAsia="宋体" w:cs="宋体"/>
          <w:spacing w:val="48"/>
          <w:sz w:val="24"/>
          <w:szCs w:val="24"/>
        </w:rPr>
        <w:t xml:space="preserve"> </w:t>
      </w:r>
      <w:r>
        <w:rPr>
          <w:rFonts w:ascii="宋体" w:hAnsi="宋体" w:eastAsia="宋体" w:cs="宋体"/>
          <w:spacing w:val="5"/>
          <w:sz w:val="24"/>
          <w:szCs w:val="24"/>
        </w:rPr>
        <w:t>审核记录表及进度跟踪表；</w:t>
      </w:r>
    </w:p>
    <w:p w14:paraId="3411E6F7">
      <w:pPr>
        <w:spacing w:line="219" w:lineRule="auto"/>
        <w:rPr>
          <w:rFonts w:ascii="宋体" w:hAnsi="宋体" w:eastAsia="宋体" w:cs="宋体"/>
          <w:sz w:val="24"/>
          <w:szCs w:val="24"/>
        </w:rPr>
        <w:sectPr>
          <w:pgSz w:w="11910" w:h="16830"/>
          <w:pgMar w:top="1430" w:right="1523" w:bottom="400" w:left="1499" w:header="0" w:footer="0" w:gutter="0"/>
          <w:cols w:space="720" w:num="1"/>
        </w:sectPr>
      </w:pPr>
    </w:p>
    <w:p w14:paraId="6FFEB371">
      <w:pPr>
        <w:spacing w:before="104" w:line="219" w:lineRule="auto"/>
        <w:rPr>
          <w:rFonts w:ascii="宋体" w:hAnsi="宋体" w:eastAsia="宋体" w:cs="宋体"/>
          <w:sz w:val="26"/>
          <w:szCs w:val="26"/>
        </w:rPr>
      </w:pPr>
      <w:r>
        <w:rPr>
          <w:rFonts w:ascii="宋体" w:hAnsi="宋体" w:eastAsia="宋体" w:cs="宋体"/>
          <w:b/>
          <w:bCs/>
          <w:spacing w:val="-23"/>
          <w:sz w:val="26"/>
          <w:szCs w:val="26"/>
        </w:rPr>
        <w:t>附图：</w:t>
      </w:r>
    </w:p>
    <w:p w14:paraId="44F0D0EC">
      <w:pPr>
        <w:spacing w:before="174" w:line="219" w:lineRule="auto"/>
        <w:ind w:left="476"/>
        <w:rPr>
          <w:rFonts w:ascii="宋体" w:hAnsi="宋体" w:eastAsia="宋体" w:cs="宋体"/>
          <w:sz w:val="24"/>
          <w:szCs w:val="24"/>
        </w:rPr>
      </w:pPr>
      <w:r>
        <w:rPr>
          <w:rFonts w:ascii="宋体" w:hAnsi="宋体" w:eastAsia="宋体" w:cs="宋体"/>
          <w:spacing w:val="1"/>
          <w:sz w:val="24"/>
          <w:szCs w:val="24"/>
        </w:rPr>
        <w:t>附图1</w:t>
      </w:r>
      <w:r>
        <w:rPr>
          <w:rFonts w:ascii="宋体" w:hAnsi="宋体" w:eastAsia="宋体" w:cs="宋体"/>
          <w:spacing w:val="112"/>
          <w:sz w:val="24"/>
          <w:szCs w:val="24"/>
        </w:rPr>
        <w:t xml:space="preserve"> </w:t>
      </w:r>
      <w:r>
        <w:rPr>
          <w:rFonts w:ascii="宋体" w:hAnsi="宋体" w:eastAsia="宋体" w:cs="宋体"/>
          <w:spacing w:val="1"/>
          <w:sz w:val="24"/>
          <w:szCs w:val="24"/>
        </w:rPr>
        <w:t>项目地理位置图；</w:t>
      </w:r>
    </w:p>
    <w:p w14:paraId="08E9BBAC">
      <w:pPr>
        <w:spacing w:before="175" w:line="219" w:lineRule="auto"/>
        <w:ind w:left="476"/>
        <w:rPr>
          <w:rFonts w:ascii="宋体" w:hAnsi="宋体" w:eastAsia="宋体" w:cs="宋体"/>
          <w:sz w:val="24"/>
          <w:szCs w:val="24"/>
        </w:rPr>
      </w:pPr>
      <w:r>
        <w:rPr>
          <w:rFonts w:ascii="宋体" w:hAnsi="宋体" w:eastAsia="宋体" w:cs="宋体"/>
          <w:sz w:val="24"/>
          <w:szCs w:val="24"/>
        </w:rPr>
        <w:t>附图2</w:t>
      </w:r>
      <w:r>
        <w:rPr>
          <w:rFonts w:ascii="宋体" w:hAnsi="宋体" w:eastAsia="宋体" w:cs="宋体"/>
          <w:spacing w:val="123"/>
          <w:sz w:val="24"/>
          <w:szCs w:val="24"/>
        </w:rPr>
        <w:t xml:space="preserve"> </w:t>
      </w:r>
      <w:r>
        <w:rPr>
          <w:rFonts w:ascii="宋体" w:hAnsi="宋体" w:eastAsia="宋体" w:cs="宋体"/>
          <w:sz w:val="24"/>
          <w:szCs w:val="24"/>
        </w:rPr>
        <w:t>项目区域水系图；</w:t>
      </w:r>
    </w:p>
    <w:p w14:paraId="448E65AB">
      <w:pPr>
        <w:spacing w:before="175" w:line="219" w:lineRule="auto"/>
        <w:ind w:left="476"/>
        <w:rPr>
          <w:rFonts w:ascii="宋体" w:hAnsi="宋体" w:eastAsia="宋体" w:cs="宋体"/>
          <w:sz w:val="24"/>
          <w:szCs w:val="24"/>
        </w:rPr>
      </w:pPr>
      <w:r>
        <w:rPr>
          <w:rFonts w:ascii="宋体" w:hAnsi="宋体" w:eastAsia="宋体" w:cs="宋体"/>
          <w:spacing w:val="5"/>
          <w:sz w:val="24"/>
          <w:szCs w:val="24"/>
        </w:rPr>
        <w:t>附图3</w:t>
      </w:r>
      <w:r>
        <w:rPr>
          <w:rFonts w:ascii="宋体" w:hAnsi="宋体" w:eastAsia="宋体" w:cs="宋体"/>
          <w:spacing w:val="117"/>
          <w:sz w:val="24"/>
          <w:szCs w:val="24"/>
        </w:rPr>
        <w:t xml:space="preserve"> </w:t>
      </w:r>
      <w:r>
        <w:rPr>
          <w:rFonts w:ascii="宋体" w:hAnsi="宋体" w:eastAsia="宋体" w:cs="宋体"/>
          <w:spacing w:val="5"/>
          <w:sz w:val="24"/>
          <w:szCs w:val="24"/>
        </w:rPr>
        <w:t>项目总平面布置</w:t>
      </w:r>
    </w:p>
    <w:p w14:paraId="40A8595E">
      <w:pPr>
        <w:spacing w:before="175" w:line="219" w:lineRule="auto"/>
        <w:ind w:left="476"/>
        <w:rPr>
          <w:rFonts w:ascii="宋体" w:hAnsi="宋体" w:eastAsia="宋体" w:cs="宋体"/>
          <w:sz w:val="24"/>
          <w:szCs w:val="24"/>
        </w:rPr>
      </w:pPr>
      <w:r>
        <w:rPr>
          <w:rFonts w:ascii="宋体" w:hAnsi="宋体" w:eastAsia="宋体" w:cs="宋体"/>
          <w:spacing w:val="-3"/>
          <w:sz w:val="24"/>
          <w:szCs w:val="24"/>
        </w:rPr>
        <w:t>附图3-1 升压站平面布置图；</w:t>
      </w:r>
    </w:p>
    <w:p w14:paraId="4C1032CC">
      <w:pPr>
        <w:spacing w:before="175" w:line="219" w:lineRule="auto"/>
        <w:ind w:left="476"/>
        <w:rPr>
          <w:rFonts w:ascii="宋体" w:hAnsi="宋体" w:eastAsia="宋体" w:cs="宋体"/>
          <w:sz w:val="24"/>
          <w:szCs w:val="24"/>
        </w:rPr>
      </w:pPr>
      <w:r>
        <w:rPr>
          <w:rFonts w:ascii="宋体" w:hAnsi="宋体" w:eastAsia="宋体" w:cs="宋体"/>
          <w:spacing w:val="11"/>
          <w:sz w:val="24"/>
          <w:szCs w:val="24"/>
        </w:rPr>
        <w:t>附件4项目区及周边土地利用现状图</w:t>
      </w:r>
    </w:p>
    <w:p w14:paraId="57225DE2">
      <w:pPr>
        <w:spacing w:before="175" w:line="219" w:lineRule="auto"/>
        <w:ind w:left="476"/>
        <w:rPr>
          <w:rFonts w:ascii="宋体" w:hAnsi="宋体" w:eastAsia="宋体" w:cs="宋体"/>
          <w:sz w:val="24"/>
          <w:szCs w:val="24"/>
        </w:rPr>
      </w:pPr>
      <w:r>
        <w:rPr>
          <w:rFonts w:ascii="宋体" w:hAnsi="宋体" w:eastAsia="宋体" w:cs="宋体"/>
          <w:spacing w:val="11"/>
          <w:sz w:val="24"/>
          <w:szCs w:val="24"/>
        </w:rPr>
        <w:t>附图5实施范围及周边植被类型图</w:t>
      </w:r>
    </w:p>
    <w:p w14:paraId="0893C8B0">
      <w:pPr>
        <w:spacing w:before="226" w:line="219" w:lineRule="auto"/>
        <w:ind w:left="476"/>
        <w:rPr>
          <w:rFonts w:ascii="宋体" w:hAnsi="宋体" w:eastAsia="宋体" w:cs="宋体"/>
          <w:sz w:val="24"/>
          <w:szCs w:val="24"/>
        </w:rPr>
      </w:pPr>
      <w:r>
        <w:rPr>
          <w:rFonts w:ascii="宋体" w:hAnsi="宋体" w:eastAsia="宋体" w:cs="宋体"/>
          <w:spacing w:val="5"/>
          <w:sz w:val="24"/>
          <w:szCs w:val="24"/>
        </w:rPr>
        <w:t>附图6实施范围与周家箐水源保护区位置关系图；</w:t>
      </w:r>
    </w:p>
    <w:p w14:paraId="1F2E9C8C">
      <w:pPr>
        <w:spacing w:before="165" w:line="219" w:lineRule="auto"/>
        <w:ind w:left="476"/>
        <w:rPr>
          <w:rFonts w:ascii="宋体" w:hAnsi="宋体" w:eastAsia="宋体" w:cs="宋体"/>
          <w:sz w:val="24"/>
          <w:szCs w:val="24"/>
        </w:rPr>
      </w:pPr>
      <w:r>
        <w:rPr>
          <w:rFonts w:ascii="宋体" w:hAnsi="宋体" w:eastAsia="宋体" w:cs="宋体"/>
          <w:spacing w:val="7"/>
          <w:sz w:val="24"/>
          <w:szCs w:val="24"/>
        </w:rPr>
        <w:t>附图7备选方案与三区三线关系图；</w:t>
      </w:r>
    </w:p>
    <w:p w14:paraId="6D996014">
      <w:pPr>
        <w:spacing w:before="175" w:line="219" w:lineRule="auto"/>
        <w:ind w:left="476"/>
        <w:rPr>
          <w:rFonts w:ascii="宋体" w:hAnsi="宋体" w:eastAsia="宋体" w:cs="宋体"/>
          <w:sz w:val="24"/>
          <w:szCs w:val="24"/>
        </w:rPr>
      </w:pPr>
      <w:r>
        <w:rPr>
          <w:rFonts w:ascii="宋体" w:hAnsi="宋体" w:eastAsia="宋体" w:cs="宋体"/>
          <w:spacing w:val="12"/>
          <w:sz w:val="24"/>
          <w:szCs w:val="24"/>
        </w:rPr>
        <w:t>附图8植被覆盖度；</w:t>
      </w:r>
    </w:p>
    <w:p w14:paraId="46346713">
      <w:pPr>
        <w:spacing w:before="206" w:line="219" w:lineRule="auto"/>
        <w:ind w:left="476"/>
        <w:rPr>
          <w:rFonts w:ascii="宋体" w:hAnsi="宋体" w:eastAsia="宋体" w:cs="宋体"/>
          <w:sz w:val="24"/>
          <w:szCs w:val="24"/>
        </w:rPr>
      </w:pPr>
      <w:r>
        <w:rPr>
          <w:rFonts w:ascii="宋体" w:hAnsi="宋体" w:eastAsia="宋体" w:cs="宋体"/>
          <w:spacing w:val="8"/>
          <w:sz w:val="24"/>
          <w:szCs w:val="24"/>
        </w:rPr>
        <w:t>附图9云南省主体功能区划；</w:t>
      </w:r>
    </w:p>
    <w:p w14:paraId="0392A9B6">
      <w:pPr>
        <w:spacing w:before="175" w:line="219" w:lineRule="auto"/>
        <w:ind w:left="476"/>
        <w:rPr>
          <w:rFonts w:ascii="宋体" w:hAnsi="宋体" w:eastAsia="宋体" w:cs="宋体"/>
          <w:sz w:val="24"/>
          <w:szCs w:val="24"/>
        </w:rPr>
      </w:pPr>
      <w:r>
        <w:rPr>
          <w:rFonts w:ascii="宋体" w:hAnsi="宋体" w:eastAsia="宋体" w:cs="宋体"/>
          <w:spacing w:val="9"/>
          <w:sz w:val="24"/>
          <w:szCs w:val="24"/>
        </w:rPr>
        <w:t>附图10生态功能区划；</w:t>
      </w:r>
    </w:p>
    <w:p w14:paraId="18DF2950">
      <w:pPr>
        <w:spacing w:before="175" w:line="219" w:lineRule="auto"/>
        <w:ind w:left="476"/>
        <w:rPr>
          <w:rFonts w:ascii="宋体" w:hAnsi="宋体" w:eastAsia="宋体" w:cs="宋体"/>
          <w:sz w:val="24"/>
          <w:szCs w:val="24"/>
        </w:rPr>
      </w:pPr>
      <w:r>
        <w:rPr>
          <w:rFonts w:ascii="宋体" w:hAnsi="宋体" w:eastAsia="宋体" w:cs="宋体"/>
          <w:spacing w:val="-2"/>
          <w:sz w:val="24"/>
          <w:szCs w:val="24"/>
        </w:rPr>
        <w:t>附图11 牛栏江保护规划图；</w:t>
      </w:r>
    </w:p>
    <w:p w14:paraId="4647FDDD">
      <w:pPr>
        <w:spacing w:before="165" w:line="351" w:lineRule="auto"/>
        <w:ind w:left="476" w:right="1528"/>
        <w:rPr>
          <w:rFonts w:ascii="宋体" w:hAnsi="宋体" w:eastAsia="宋体" w:cs="宋体"/>
          <w:sz w:val="25"/>
          <w:szCs w:val="25"/>
        </w:rPr>
      </w:pPr>
      <w:r>
        <w:rPr>
          <w:rFonts w:ascii="宋体" w:hAnsi="宋体" w:eastAsia="宋体" w:cs="宋体"/>
          <w:spacing w:val="-5"/>
          <w:sz w:val="25"/>
          <w:szCs w:val="25"/>
        </w:rPr>
        <w:t>附图12项目与云南省生物多样性保护优先区域</w:t>
      </w:r>
      <w:r>
        <w:rPr>
          <w:rFonts w:ascii="宋体" w:hAnsi="宋体" w:eastAsia="宋体" w:cs="宋体"/>
          <w:spacing w:val="-6"/>
          <w:sz w:val="25"/>
          <w:szCs w:val="25"/>
        </w:rPr>
        <w:t>的位置关系图；</w:t>
      </w:r>
      <w:r>
        <w:rPr>
          <w:rFonts w:ascii="宋体" w:hAnsi="宋体" w:eastAsia="宋体" w:cs="宋体"/>
          <w:sz w:val="25"/>
          <w:szCs w:val="25"/>
        </w:rPr>
        <w:t xml:space="preserve"> </w:t>
      </w:r>
      <w:r>
        <w:rPr>
          <w:rFonts w:ascii="宋体" w:hAnsi="宋体" w:eastAsia="宋体" w:cs="宋体"/>
          <w:spacing w:val="-8"/>
          <w:sz w:val="25"/>
          <w:szCs w:val="25"/>
        </w:rPr>
        <w:t>附图13 监测点位图；</w:t>
      </w:r>
    </w:p>
    <w:p w14:paraId="2B6F9617">
      <w:pPr>
        <w:spacing w:before="1" w:line="218" w:lineRule="auto"/>
        <w:ind w:left="476"/>
        <w:rPr>
          <w:rFonts w:ascii="宋体" w:hAnsi="宋体" w:eastAsia="宋体" w:cs="宋体"/>
          <w:sz w:val="24"/>
          <w:szCs w:val="24"/>
        </w:rPr>
      </w:pPr>
      <w:r>
        <w:rPr>
          <w:rFonts w:ascii="宋体" w:hAnsi="宋体" w:eastAsia="宋体" w:cs="宋体"/>
          <w:spacing w:val="6"/>
          <w:sz w:val="24"/>
          <w:szCs w:val="24"/>
        </w:rPr>
        <w:t>附图14占地范围与公益林范围叠图；</w:t>
      </w:r>
    </w:p>
    <w:p w14:paraId="797397F7">
      <w:pPr>
        <w:spacing w:before="175" w:line="219" w:lineRule="auto"/>
        <w:ind w:left="476"/>
        <w:rPr>
          <w:rFonts w:ascii="宋体" w:hAnsi="宋体" w:eastAsia="宋体" w:cs="宋体"/>
          <w:sz w:val="24"/>
          <w:szCs w:val="24"/>
        </w:rPr>
      </w:pPr>
      <w:r>
        <w:rPr>
          <w:rFonts w:ascii="宋体" w:hAnsi="宋体" w:eastAsia="宋体" w:cs="宋体"/>
          <w:spacing w:val="6"/>
          <w:sz w:val="24"/>
          <w:szCs w:val="24"/>
        </w:rPr>
        <w:t>附图15</w:t>
      </w:r>
      <w:r>
        <w:rPr>
          <w:rFonts w:ascii="宋体" w:hAnsi="宋体" w:eastAsia="宋体" w:cs="宋体"/>
          <w:spacing w:val="-15"/>
          <w:sz w:val="24"/>
          <w:szCs w:val="24"/>
        </w:rPr>
        <w:t xml:space="preserve"> </w:t>
      </w:r>
      <w:r>
        <w:rPr>
          <w:rFonts w:ascii="宋体" w:hAnsi="宋体" w:eastAsia="宋体" w:cs="宋体"/>
          <w:spacing w:val="6"/>
          <w:sz w:val="24"/>
          <w:szCs w:val="24"/>
        </w:rPr>
        <w:t>周边关系图</w:t>
      </w:r>
    </w:p>
    <w:p w14:paraId="0F0C526C">
      <w:pPr>
        <w:spacing w:line="219" w:lineRule="auto"/>
        <w:rPr>
          <w:rFonts w:ascii="宋体" w:hAnsi="宋体" w:eastAsia="宋体" w:cs="宋体"/>
          <w:sz w:val="24"/>
          <w:szCs w:val="24"/>
        </w:rPr>
        <w:sectPr>
          <w:pgSz w:w="11910" w:h="16830"/>
          <w:pgMar w:top="1430" w:right="1786" w:bottom="400" w:left="1513" w:header="0" w:footer="0" w:gutter="0"/>
          <w:cols w:space="720" w:num="1"/>
        </w:sectPr>
      </w:pPr>
    </w:p>
    <w:p w14:paraId="3F55AC24">
      <w:pPr>
        <w:pStyle w:val="2"/>
        <w:spacing w:line="281" w:lineRule="auto"/>
      </w:pPr>
    </w:p>
    <w:p w14:paraId="549A8352">
      <w:pPr>
        <w:spacing w:before="107" w:line="219" w:lineRule="auto"/>
        <w:ind w:left="2935"/>
        <w:outlineLvl w:val="0"/>
        <w:rPr>
          <w:rFonts w:ascii="宋体" w:hAnsi="宋体" w:eastAsia="宋体" w:cs="宋体"/>
          <w:sz w:val="33"/>
          <w:szCs w:val="33"/>
        </w:rPr>
      </w:pPr>
      <w:bookmarkStart w:id="0" w:name="bookmark1"/>
      <w:bookmarkEnd w:id="0"/>
      <w:r>
        <w:rPr>
          <w:rFonts w:ascii="宋体" w:hAnsi="宋体" w:eastAsia="宋体" w:cs="宋体"/>
          <w:spacing w:val="-26"/>
          <w:sz w:val="33"/>
          <w:szCs w:val="33"/>
        </w:rPr>
        <w:t>一、建设项目基本情况</w:t>
      </w:r>
    </w:p>
    <w:p w14:paraId="48BB03CF">
      <w:pPr>
        <w:spacing w:before="30"/>
      </w:pPr>
    </w:p>
    <w:tbl>
      <w:tblPr>
        <w:tblStyle w:val="5"/>
        <w:tblW w:w="87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899"/>
        <w:gridCol w:w="1538"/>
        <w:gridCol w:w="1398"/>
        <w:gridCol w:w="759"/>
        <w:gridCol w:w="1758"/>
        <w:gridCol w:w="804"/>
      </w:tblGrid>
      <w:tr w14:paraId="57837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563" w:type="dxa"/>
            <w:vAlign w:val="top"/>
          </w:tcPr>
          <w:p w14:paraId="5F2E1EC8">
            <w:pPr>
              <w:pStyle w:val="6"/>
              <w:spacing w:before="65" w:line="220" w:lineRule="auto"/>
              <w:ind w:left="55"/>
            </w:pPr>
            <w:r>
              <w:rPr>
                <w:spacing w:val="2"/>
              </w:rPr>
              <w:t>建设项目名称</w:t>
            </w:r>
          </w:p>
        </w:tc>
        <w:tc>
          <w:tcPr>
            <w:tcW w:w="7156" w:type="dxa"/>
            <w:gridSpan w:val="6"/>
            <w:vAlign w:val="top"/>
          </w:tcPr>
          <w:p w14:paraId="18E8EC4C">
            <w:pPr>
              <w:pStyle w:val="6"/>
              <w:spacing w:before="63" w:line="219" w:lineRule="auto"/>
              <w:ind w:left="1882"/>
            </w:pPr>
            <w:r>
              <w:rPr>
                <w:spacing w:val="3"/>
              </w:rPr>
              <w:t>几沃梁子农光互补光伏发电项目</w:t>
            </w:r>
          </w:p>
        </w:tc>
      </w:tr>
      <w:tr w14:paraId="7CFDF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563" w:type="dxa"/>
            <w:vAlign w:val="top"/>
          </w:tcPr>
          <w:p w14:paraId="58962DC3">
            <w:pPr>
              <w:pStyle w:val="6"/>
              <w:spacing w:before="70" w:line="219" w:lineRule="auto"/>
              <w:ind w:left="295"/>
            </w:pPr>
            <w:r>
              <w:rPr>
                <w:spacing w:val="3"/>
              </w:rPr>
              <w:t>项目代码</w:t>
            </w:r>
          </w:p>
        </w:tc>
        <w:tc>
          <w:tcPr>
            <w:tcW w:w="7156" w:type="dxa"/>
            <w:gridSpan w:val="6"/>
            <w:vAlign w:val="top"/>
          </w:tcPr>
          <w:p w14:paraId="77FAAFAD">
            <w:pPr>
              <w:pStyle w:val="6"/>
              <w:spacing w:before="93" w:line="205" w:lineRule="auto"/>
              <w:ind w:left="2212"/>
            </w:pPr>
            <w:r>
              <w:rPr>
                <w:spacing w:val="-1"/>
              </w:rPr>
              <w:t>2312-530303-04-01-586268</w:t>
            </w:r>
          </w:p>
        </w:tc>
      </w:tr>
      <w:tr w14:paraId="11A74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563" w:type="dxa"/>
            <w:vAlign w:val="top"/>
          </w:tcPr>
          <w:p w14:paraId="4A83645E">
            <w:pPr>
              <w:pStyle w:val="6"/>
              <w:spacing w:before="51" w:line="222" w:lineRule="auto"/>
              <w:ind w:left="655" w:right="35" w:hanging="600"/>
            </w:pPr>
            <w:r>
              <w:rPr>
                <w:spacing w:val="3"/>
              </w:rPr>
              <w:t xml:space="preserve">建设单位联系 </w:t>
            </w:r>
            <w:r>
              <w:t>人</w:t>
            </w:r>
          </w:p>
        </w:tc>
        <w:tc>
          <w:tcPr>
            <w:tcW w:w="2437" w:type="dxa"/>
            <w:gridSpan w:val="2"/>
            <w:vAlign w:val="top"/>
          </w:tcPr>
          <w:p w14:paraId="6F49B982">
            <w:pPr>
              <w:pStyle w:val="6"/>
              <w:spacing w:before="204" w:line="223" w:lineRule="auto"/>
              <w:ind w:left="862"/>
            </w:pPr>
            <w:r>
              <w:rPr>
                <w:spacing w:val="3"/>
              </w:rPr>
              <w:t>罗**</w:t>
            </w:r>
          </w:p>
        </w:tc>
        <w:tc>
          <w:tcPr>
            <w:tcW w:w="2157" w:type="dxa"/>
            <w:gridSpan w:val="2"/>
            <w:vAlign w:val="top"/>
          </w:tcPr>
          <w:p w14:paraId="052D6184">
            <w:pPr>
              <w:pStyle w:val="6"/>
              <w:spacing w:before="201" w:line="221" w:lineRule="auto"/>
              <w:ind w:left="595"/>
            </w:pPr>
            <w:r>
              <w:rPr>
                <w:spacing w:val="-2"/>
              </w:rPr>
              <w:t>联系方式</w:t>
            </w:r>
          </w:p>
        </w:tc>
        <w:tc>
          <w:tcPr>
            <w:tcW w:w="2562" w:type="dxa"/>
            <w:gridSpan w:val="2"/>
            <w:vAlign w:val="top"/>
          </w:tcPr>
          <w:p w14:paraId="06619D4A">
            <w:pPr>
              <w:pStyle w:val="6"/>
              <w:spacing w:before="223"/>
              <w:ind w:left="598"/>
            </w:pPr>
            <w:r>
              <w:rPr>
                <w:spacing w:val="-3"/>
              </w:rPr>
              <w:t>1818393****</w:t>
            </w:r>
          </w:p>
        </w:tc>
      </w:tr>
      <w:tr w14:paraId="62043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563" w:type="dxa"/>
            <w:vAlign w:val="top"/>
          </w:tcPr>
          <w:p w14:paraId="6A209FA0">
            <w:pPr>
              <w:pStyle w:val="6"/>
              <w:spacing w:before="72" w:line="221" w:lineRule="auto"/>
              <w:ind w:left="295"/>
            </w:pPr>
            <w:r>
              <w:rPr>
                <w:spacing w:val="5"/>
              </w:rPr>
              <w:t>建设地点</w:t>
            </w:r>
          </w:p>
        </w:tc>
        <w:tc>
          <w:tcPr>
            <w:tcW w:w="7156" w:type="dxa"/>
            <w:gridSpan w:val="6"/>
            <w:vAlign w:val="top"/>
          </w:tcPr>
          <w:p w14:paraId="5E6FED29">
            <w:pPr>
              <w:pStyle w:val="6"/>
              <w:spacing w:before="69" w:line="219" w:lineRule="auto"/>
              <w:ind w:left="1672"/>
            </w:pPr>
            <w:r>
              <w:t>云南省曲靖市马龙区几沃村周边</w:t>
            </w:r>
          </w:p>
        </w:tc>
      </w:tr>
      <w:tr w14:paraId="21608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1563" w:type="dxa"/>
            <w:vAlign w:val="top"/>
          </w:tcPr>
          <w:p w14:paraId="4396927B">
            <w:pPr>
              <w:spacing w:line="440" w:lineRule="auto"/>
              <w:rPr>
                <w:rFonts w:ascii="Arial"/>
                <w:sz w:val="21"/>
              </w:rPr>
            </w:pPr>
          </w:p>
          <w:p w14:paraId="62F2E5DF">
            <w:pPr>
              <w:pStyle w:val="6"/>
              <w:spacing w:before="78" w:line="220" w:lineRule="auto"/>
              <w:ind w:left="295"/>
            </w:pPr>
            <w:r>
              <w:rPr>
                <w:spacing w:val="-2"/>
              </w:rPr>
              <w:t>地理坐标</w:t>
            </w:r>
          </w:p>
        </w:tc>
        <w:tc>
          <w:tcPr>
            <w:tcW w:w="7156" w:type="dxa"/>
            <w:gridSpan w:val="6"/>
            <w:vAlign w:val="top"/>
          </w:tcPr>
          <w:p w14:paraId="20C3A969">
            <w:pPr>
              <w:pStyle w:val="6"/>
              <w:spacing w:before="68" w:line="238" w:lineRule="auto"/>
              <w:ind w:left="2" w:right="284"/>
            </w:pPr>
            <w:r>
              <w:t>场址地理坐标为东经103°22'37.8105"～103°23'28.0823",北纬</w:t>
            </w:r>
            <w:r>
              <w:rPr>
                <w:spacing w:val="18"/>
              </w:rPr>
              <w:t xml:space="preserve"> </w:t>
            </w:r>
            <w:r>
              <w:t>25°21'48.4440"～25°19'55.9628"之间。</w:t>
            </w:r>
          </w:p>
          <w:p w14:paraId="5AD855A3">
            <w:pPr>
              <w:pStyle w:val="6"/>
              <w:spacing w:line="216" w:lineRule="auto"/>
              <w:ind w:left="2"/>
            </w:pPr>
            <w:r>
              <w:rPr>
                <w:spacing w:val="6"/>
              </w:rPr>
              <w:t>光伏阵列区各地块中心位置：103°22'55.339",2</w:t>
            </w:r>
            <w:r>
              <w:rPr>
                <w:spacing w:val="5"/>
              </w:rPr>
              <w:t>5°20'34.295”</w:t>
            </w:r>
          </w:p>
          <w:p w14:paraId="39DF2341">
            <w:pPr>
              <w:pStyle w:val="6"/>
              <w:spacing w:before="18" w:line="209" w:lineRule="auto"/>
              <w:ind w:left="2"/>
            </w:pPr>
            <w:r>
              <w:rPr>
                <w:spacing w:val="7"/>
              </w:rPr>
              <w:t>升压站中心坐标：103°22'55.3</w:t>
            </w:r>
            <w:r>
              <w:rPr>
                <w:spacing w:val="6"/>
              </w:rPr>
              <w:t>39”,25°20'34.295”</w:t>
            </w:r>
          </w:p>
        </w:tc>
      </w:tr>
      <w:tr w14:paraId="0589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8" w:hRule="atLeast"/>
        </w:trPr>
        <w:tc>
          <w:tcPr>
            <w:tcW w:w="1563" w:type="dxa"/>
            <w:vAlign w:val="top"/>
          </w:tcPr>
          <w:p w14:paraId="3F912533">
            <w:pPr>
              <w:spacing w:line="252" w:lineRule="auto"/>
              <w:rPr>
                <w:rFonts w:ascii="Arial"/>
                <w:sz w:val="21"/>
              </w:rPr>
            </w:pPr>
          </w:p>
          <w:p w14:paraId="6ACFA13D">
            <w:pPr>
              <w:spacing w:line="252" w:lineRule="auto"/>
              <w:rPr>
                <w:rFonts w:ascii="Arial"/>
                <w:sz w:val="21"/>
              </w:rPr>
            </w:pPr>
          </w:p>
          <w:p w14:paraId="29C55926">
            <w:pPr>
              <w:spacing w:line="252" w:lineRule="auto"/>
              <w:rPr>
                <w:rFonts w:ascii="Arial"/>
                <w:sz w:val="21"/>
              </w:rPr>
            </w:pPr>
          </w:p>
          <w:p w14:paraId="6EAC73CE">
            <w:pPr>
              <w:spacing w:line="253" w:lineRule="auto"/>
              <w:rPr>
                <w:rFonts w:ascii="Arial"/>
                <w:sz w:val="21"/>
              </w:rPr>
            </w:pPr>
          </w:p>
          <w:p w14:paraId="4F1EBFE0">
            <w:pPr>
              <w:pStyle w:val="6"/>
              <w:spacing w:before="78" w:line="247" w:lineRule="auto"/>
              <w:ind w:left="295" w:right="252"/>
            </w:pPr>
            <w:r>
              <w:rPr>
                <w:spacing w:val="11"/>
              </w:rPr>
              <w:t>建设项目</w:t>
            </w:r>
            <w:r>
              <w:t xml:space="preserve"> </w:t>
            </w:r>
            <w:r>
              <w:rPr>
                <w:spacing w:val="4"/>
              </w:rPr>
              <w:t>行业类别</w:t>
            </w:r>
          </w:p>
        </w:tc>
        <w:tc>
          <w:tcPr>
            <w:tcW w:w="2437" w:type="dxa"/>
            <w:gridSpan w:val="2"/>
            <w:vAlign w:val="top"/>
          </w:tcPr>
          <w:p w14:paraId="0FE1E3B5">
            <w:pPr>
              <w:pStyle w:val="6"/>
              <w:spacing w:before="111" w:line="221" w:lineRule="auto"/>
              <w:ind w:left="182"/>
              <w:jc w:val="both"/>
            </w:pPr>
            <w:r>
              <w:rPr>
                <w:spacing w:val="-19"/>
              </w:rPr>
              <w:t>四十一、“电力、热力</w:t>
            </w:r>
            <w:r>
              <w:rPr>
                <w:spacing w:val="7"/>
              </w:rPr>
              <w:t xml:space="preserve"> </w:t>
            </w:r>
            <w:r>
              <w:t>生产和供应业”类别</w:t>
            </w:r>
            <w:r>
              <w:rPr>
                <w:spacing w:val="7"/>
              </w:rPr>
              <w:t xml:space="preserve"> </w:t>
            </w:r>
            <w:r>
              <w:t xml:space="preserve">中“太阳能发电4416 </w:t>
            </w:r>
            <w:r>
              <w:rPr>
                <w:spacing w:val="11"/>
              </w:rPr>
              <w:t>(不含居民家用光伏</w:t>
            </w:r>
            <w:r>
              <w:t xml:space="preserve">  </w:t>
            </w:r>
            <w:r>
              <w:rPr>
                <w:spacing w:val="-4"/>
              </w:rPr>
              <w:t>发电)--地面集中光伏</w:t>
            </w:r>
            <w:r>
              <w:rPr>
                <w:spacing w:val="7"/>
              </w:rPr>
              <w:t xml:space="preserve"> </w:t>
            </w:r>
            <w:r>
              <w:rPr>
                <w:spacing w:val="2"/>
              </w:rPr>
              <w:t>电站(总容量</w:t>
            </w:r>
          </w:p>
          <w:p w14:paraId="049FA9A8">
            <w:pPr>
              <w:pStyle w:val="6"/>
              <w:spacing w:before="44" w:line="215" w:lineRule="auto"/>
              <w:ind w:left="132" w:right="13" w:hanging="10"/>
              <w:jc w:val="both"/>
            </w:pPr>
            <w:r>
              <w:rPr>
                <w:spacing w:val="33"/>
              </w:rPr>
              <w:t>大于6000千瓦),且</w:t>
            </w:r>
            <w:r>
              <w:rPr>
                <w:spacing w:val="7"/>
              </w:rPr>
              <w:t xml:space="preserve"> </w:t>
            </w:r>
            <w:r>
              <w:rPr>
                <w:spacing w:val="1"/>
              </w:rPr>
              <w:t>接入电压等级不小于</w:t>
            </w:r>
            <w:r>
              <w:rPr>
                <w:spacing w:val="2"/>
              </w:rPr>
              <w:t xml:space="preserve">  </w:t>
            </w:r>
            <w:r>
              <w:rPr>
                <w:spacing w:val="39"/>
              </w:rPr>
              <w:t>10千伏)”</w:t>
            </w:r>
          </w:p>
        </w:tc>
        <w:tc>
          <w:tcPr>
            <w:tcW w:w="2157" w:type="dxa"/>
            <w:gridSpan w:val="2"/>
            <w:vAlign w:val="top"/>
          </w:tcPr>
          <w:p w14:paraId="35BA4CED">
            <w:pPr>
              <w:spacing w:line="254" w:lineRule="auto"/>
              <w:rPr>
                <w:rFonts w:ascii="Arial"/>
                <w:sz w:val="21"/>
              </w:rPr>
            </w:pPr>
          </w:p>
          <w:p w14:paraId="612903D3">
            <w:pPr>
              <w:spacing w:line="254" w:lineRule="auto"/>
              <w:rPr>
                <w:rFonts w:ascii="Arial"/>
                <w:sz w:val="21"/>
              </w:rPr>
            </w:pPr>
          </w:p>
          <w:p w14:paraId="6BC86CA2">
            <w:pPr>
              <w:spacing w:line="255" w:lineRule="auto"/>
              <w:rPr>
                <w:rFonts w:ascii="Arial"/>
                <w:sz w:val="21"/>
              </w:rPr>
            </w:pPr>
          </w:p>
          <w:p w14:paraId="6A85DBD5">
            <w:pPr>
              <w:spacing w:line="255" w:lineRule="auto"/>
              <w:rPr>
                <w:rFonts w:ascii="Arial"/>
                <w:sz w:val="21"/>
              </w:rPr>
            </w:pPr>
          </w:p>
          <w:p w14:paraId="7F7B70D9">
            <w:pPr>
              <w:pStyle w:val="6"/>
              <w:spacing w:before="78" w:line="220" w:lineRule="auto"/>
              <w:ind w:left="235"/>
            </w:pPr>
            <w:r>
              <w:rPr>
                <w:spacing w:val="1"/>
              </w:rPr>
              <w:t>用地(用海)面积</w:t>
            </w:r>
          </w:p>
          <w:p w14:paraId="2010AD49">
            <w:pPr>
              <w:pStyle w:val="6"/>
              <w:spacing w:before="14" w:line="220" w:lineRule="auto"/>
              <w:ind w:left="235"/>
            </w:pPr>
            <w:r>
              <w:rPr>
                <w:spacing w:val="19"/>
              </w:rPr>
              <w:t>(m²)/长度(</w:t>
            </w:r>
            <w:r>
              <w:t>km</w:t>
            </w:r>
            <w:r>
              <w:rPr>
                <w:spacing w:val="19"/>
              </w:rPr>
              <w:t>)</w:t>
            </w:r>
          </w:p>
        </w:tc>
        <w:tc>
          <w:tcPr>
            <w:tcW w:w="2562" w:type="dxa"/>
            <w:gridSpan w:val="2"/>
            <w:vAlign w:val="top"/>
          </w:tcPr>
          <w:p w14:paraId="76DB5A75">
            <w:pPr>
              <w:spacing w:line="297" w:lineRule="auto"/>
              <w:rPr>
                <w:rFonts w:ascii="Arial"/>
                <w:sz w:val="21"/>
              </w:rPr>
            </w:pPr>
          </w:p>
          <w:p w14:paraId="3CB31BE9">
            <w:pPr>
              <w:spacing w:line="297" w:lineRule="auto"/>
              <w:rPr>
                <w:rFonts w:ascii="Arial"/>
                <w:sz w:val="21"/>
              </w:rPr>
            </w:pPr>
          </w:p>
          <w:p w14:paraId="3B826D7B">
            <w:pPr>
              <w:spacing w:line="297" w:lineRule="auto"/>
              <w:rPr>
                <w:rFonts w:ascii="Arial"/>
                <w:sz w:val="21"/>
              </w:rPr>
            </w:pPr>
          </w:p>
          <w:p w14:paraId="5752DF30">
            <w:pPr>
              <w:spacing w:line="298" w:lineRule="auto"/>
              <w:rPr>
                <w:rFonts w:ascii="Arial"/>
                <w:sz w:val="21"/>
              </w:rPr>
            </w:pPr>
          </w:p>
          <w:p w14:paraId="4FACA132">
            <w:pPr>
              <w:pStyle w:val="6"/>
              <w:spacing w:before="78"/>
              <w:ind w:left="838"/>
            </w:pPr>
            <w:r>
              <w:rPr>
                <w:spacing w:val="-2"/>
              </w:rPr>
              <w:t>2102256</w:t>
            </w:r>
          </w:p>
        </w:tc>
      </w:tr>
      <w:tr w14:paraId="08775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563" w:type="dxa"/>
            <w:vAlign w:val="top"/>
          </w:tcPr>
          <w:p w14:paraId="5B88DFA5">
            <w:pPr>
              <w:spacing w:line="291" w:lineRule="auto"/>
              <w:rPr>
                <w:rFonts w:ascii="Arial"/>
                <w:sz w:val="21"/>
              </w:rPr>
            </w:pPr>
          </w:p>
          <w:p w14:paraId="738AF323">
            <w:pPr>
              <w:spacing w:line="292" w:lineRule="auto"/>
              <w:rPr>
                <w:rFonts w:ascii="Arial"/>
                <w:sz w:val="21"/>
              </w:rPr>
            </w:pPr>
          </w:p>
          <w:p w14:paraId="7D3CB644">
            <w:pPr>
              <w:pStyle w:val="6"/>
              <w:spacing w:before="78" w:line="220" w:lineRule="auto"/>
              <w:ind w:left="295"/>
            </w:pPr>
            <w:r>
              <w:rPr>
                <w:spacing w:val="6"/>
              </w:rPr>
              <w:t>建设性质</w:t>
            </w:r>
          </w:p>
        </w:tc>
        <w:tc>
          <w:tcPr>
            <w:tcW w:w="2437" w:type="dxa"/>
            <w:gridSpan w:val="2"/>
            <w:vAlign w:val="top"/>
          </w:tcPr>
          <w:p w14:paraId="6E9DF6E1">
            <w:pPr>
              <w:pStyle w:val="6"/>
              <w:spacing w:before="204"/>
              <w:ind w:left="12" w:right="934"/>
            </w:pPr>
            <w:r>
              <w:rPr>
                <w:rFonts w:ascii="MS Gothic" w:hAnsi="MS Gothic" w:eastAsia="MS Gothic" w:cs="MS Gothic"/>
                <w:spacing w:val="5"/>
              </w:rPr>
              <w:t>☑</w:t>
            </w:r>
            <w:r>
              <w:rPr>
                <w:spacing w:val="5"/>
              </w:rPr>
              <w:t>新建(迁建)</w:t>
            </w:r>
            <w:r>
              <w:rPr>
                <w:spacing w:val="4"/>
              </w:rPr>
              <w:t xml:space="preserve"> </w:t>
            </w:r>
            <w:r>
              <w:rPr>
                <w:spacing w:val="3"/>
              </w:rPr>
              <w:t>□改建</w:t>
            </w:r>
          </w:p>
          <w:p w14:paraId="0FF72204">
            <w:pPr>
              <w:pStyle w:val="6"/>
              <w:spacing w:before="6" w:line="220" w:lineRule="auto"/>
              <w:ind w:left="12"/>
            </w:pPr>
            <w:r>
              <w:rPr>
                <w:spacing w:val="3"/>
              </w:rPr>
              <w:t>□扩建</w:t>
            </w:r>
          </w:p>
          <w:p w14:paraId="15362896">
            <w:pPr>
              <w:pStyle w:val="6"/>
              <w:spacing w:before="13" w:line="219" w:lineRule="auto"/>
              <w:ind w:left="12"/>
            </w:pPr>
            <w:r>
              <w:rPr>
                <w:spacing w:val="1"/>
              </w:rPr>
              <w:t>□技术改造</w:t>
            </w:r>
          </w:p>
        </w:tc>
        <w:tc>
          <w:tcPr>
            <w:tcW w:w="2157" w:type="dxa"/>
            <w:gridSpan w:val="2"/>
            <w:vAlign w:val="top"/>
          </w:tcPr>
          <w:p w14:paraId="2A12EC9D">
            <w:pPr>
              <w:spacing w:line="434" w:lineRule="auto"/>
              <w:rPr>
                <w:rFonts w:ascii="Arial"/>
                <w:sz w:val="21"/>
              </w:rPr>
            </w:pPr>
          </w:p>
          <w:p w14:paraId="31339EDB">
            <w:pPr>
              <w:pStyle w:val="6"/>
              <w:spacing w:before="78" w:line="255" w:lineRule="auto"/>
              <w:ind w:left="595" w:right="546"/>
            </w:pPr>
            <w:r>
              <w:rPr>
                <w:spacing w:val="11"/>
              </w:rPr>
              <w:t>建设项目</w:t>
            </w:r>
            <w:r>
              <w:t xml:space="preserve"> </w:t>
            </w:r>
            <w:r>
              <w:rPr>
                <w:spacing w:val="2"/>
              </w:rPr>
              <w:t>申报情形</w:t>
            </w:r>
          </w:p>
        </w:tc>
        <w:tc>
          <w:tcPr>
            <w:tcW w:w="2562" w:type="dxa"/>
            <w:gridSpan w:val="2"/>
            <w:vAlign w:val="top"/>
          </w:tcPr>
          <w:p w14:paraId="3903B6DF">
            <w:pPr>
              <w:pStyle w:val="6"/>
              <w:spacing w:before="54" w:line="219" w:lineRule="auto"/>
              <w:ind w:left="18"/>
            </w:pPr>
            <w:r>
              <w:rPr>
                <w:rFonts w:ascii="MS Gothic" w:hAnsi="MS Gothic" w:eastAsia="MS Gothic" w:cs="MS Gothic"/>
                <w:spacing w:val="4"/>
              </w:rPr>
              <w:t>☑</w:t>
            </w:r>
            <w:r>
              <w:rPr>
                <w:spacing w:val="4"/>
              </w:rPr>
              <w:t>首次申报项目</w:t>
            </w:r>
          </w:p>
          <w:p w14:paraId="213D5334">
            <w:pPr>
              <w:pStyle w:val="6"/>
              <w:spacing w:before="34" w:line="232" w:lineRule="auto"/>
              <w:ind w:left="18" w:right="19"/>
            </w:pPr>
            <w:r>
              <w:rPr>
                <w:spacing w:val="-12"/>
              </w:rPr>
              <w:t>□不予批准后再次申报项</w:t>
            </w:r>
            <w:r>
              <w:rPr>
                <w:spacing w:val="5"/>
              </w:rPr>
              <w:t xml:space="preserve"> </w:t>
            </w:r>
            <w:r>
              <w:t>目</w:t>
            </w:r>
          </w:p>
          <w:p w14:paraId="55817576">
            <w:pPr>
              <w:pStyle w:val="6"/>
              <w:spacing w:before="7" w:line="219" w:lineRule="auto"/>
              <w:ind w:left="58"/>
            </w:pPr>
            <w:r>
              <w:rPr>
                <w:spacing w:val="4"/>
              </w:rPr>
              <w:t>□超五年重新审核项目</w:t>
            </w:r>
          </w:p>
          <w:p w14:paraId="19C79848">
            <w:pPr>
              <w:pStyle w:val="6"/>
              <w:spacing w:before="14" w:line="204" w:lineRule="auto"/>
              <w:jc w:val="right"/>
            </w:pPr>
            <w:r>
              <w:rPr>
                <w:spacing w:val="-10"/>
              </w:rPr>
              <w:t>□重大变动重新报批项目</w:t>
            </w:r>
          </w:p>
        </w:tc>
      </w:tr>
      <w:tr w14:paraId="1CBF5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1563" w:type="dxa"/>
            <w:vAlign w:val="top"/>
          </w:tcPr>
          <w:p w14:paraId="099D53A2">
            <w:pPr>
              <w:pStyle w:val="6"/>
              <w:spacing w:before="65" w:line="220" w:lineRule="auto"/>
              <w:ind w:left="115"/>
            </w:pPr>
            <w:r>
              <w:rPr>
                <w:spacing w:val="2"/>
              </w:rPr>
              <w:t>项目审批(核</w:t>
            </w:r>
          </w:p>
          <w:p w14:paraId="6559200A">
            <w:pPr>
              <w:pStyle w:val="6"/>
              <w:spacing w:before="23" w:line="219" w:lineRule="auto"/>
              <w:ind w:left="55"/>
            </w:pPr>
            <w:r>
              <w:rPr>
                <w:spacing w:val="3"/>
              </w:rPr>
              <w:t>准/备案)部门</w:t>
            </w:r>
          </w:p>
          <w:p w14:paraId="6632912A">
            <w:pPr>
              <w:pStyle w:val="6"/>
              <w:spacing w:before="5" w:line="203" w:lineRule="auto"/>
              <w:ind w:left="415"/>
            </w:pPr>
            <w:r>
              <w:rPr>
                <w:spacing w:val="13"/>
              </w:rPr>
              <w:t>(选填)</w:t>
            </w:r>
          </w:p>
        </w:tc>
        <w:tc>
          <w:tcPr>
            <w:tcW w:w="2437" w:type="dxa"/>
            <w:gridSpan w:val="2"/>
            <w:vAlign w:val="top"/>
          </w:tcPr>
          <w:p w14:paraId="523F67A5">
            <w:pPr>
              <w:pStyle w:val="6"/>
              <w:spacing w:before="213" w:line="249" w:lineRule="auto"/>
              <w:ind w:left="961" w:right="4" w:hanging="949"/>
            </w:pPr>
            <w:r>
              <w:rPr>
                <w:spacing w:val="1"/>
              </w:rPr>
              <w:t>曲靖市马龙区发展和改</w:t>
            </w:r>
            <w:r>
              <w:t xml:space="preserve"> </w:t>
            </w:r>
            <w:r>
              <w:rPr>
                <w:spacing w:val="10"/>
              </w:rPr>
              <w:t>革局</w:t>
            </w:r>
          </w:p>
        </w:tc>
        <w:tc>
          <w:tcPr>
            <w:tcW w:w="2157" w:type="dxa"/>
            <w:gridSpan w:val="2"/>
            <w:vAlign w:val="top"/>
          </w:tcPr>
          <w:p w14:paraId="4607AEB2">
            <w:pPr>
              <w:pStyle w:val="6"/>
              <w:spacing w:before="225" w:line="241" w:lineRule="auto"/>
              <w:ind w:left="175" w:right="119" w:firstLine="60"/>
            </w:pPr>
            <w:r>
              <w:rPr>
                <w:spacing w:val="1"/>
              </w:rPr>
              <w:t>项目审批(核准/</w:t>
            </w:r>
            <w:r>
              <w:t xml:space="preserve">  </w:t>
            </w:r>
            <w:r>
              <w:rPr>
                <w:spacing w:val="5"/>
              </w:rPr>
              <w:t>备案)文号(选填)</w:t>
            </w:r>
          </w:p>
        </w:tc>
        <w:tc>
          <w:tcPr>
            <w:tcW w:w="2562" w:type="dxa"/>
            <w:gridSpan w:val="2"/>
            <w:vAlign w:val="top"/>
          </w:tcPr>
          <w:p w14:paraId="16871D8F">
            <w:pPr>
              <w:spacing w:line="282" w:lineRule="auto"/>
              <w:rPr>
                <w:rFonts w:ascii="Arial"/>
                <w:sz w:val="21"/>
              </w:rPr>
            </w:pPr>
          </w:p>
          <w:p w14:paraId="7B5B51BD">
            <w:pPr>
              <w:pStyle w:val="6"/>
              <w:spacing w:before="78" w:line="224" w:lineRule="auto"/>
              <w:ind w:left="1198"/>
            </w:pPr>
            <w:r>
              <w:t>/</w:t>
            </w:r>
          </w:p>
        </w:tc>
      </w:tr>
      <w:tr w14:paraId="40CC5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563" w:type="dxa"/>
            <w:vAlign w:val="top"/>
          </w:tcPr>
          <w:p w14:paraId="6B71EA7C">
            <w:pPr>
              <w:pStyle w:val="6"/>
              <w:spacing w:before="86" w:line="220" w:lineRule="auto"/>
              <w:ind w:right="5"/>
              <w:jc w:val="right"/>
            </w:pPr>
            <w:r>
              <w:rPr>
                <w:spacing w:val="7"/>
              </w:rPr>
              <w:t>总投资(万元)</w:t>
            </w:r>
          </w:p>
        </w:tc>
        <w:tc>
          <w:tcPr>
            <w:tcW w:w="2437" w:type="dxa"/>
            <w:gridSpan w:val="2"/>
            <w:vAlign w:val="top"/>
          </w:tcPr>
          <w:p w14:paraId="6DA3652D">
            <w:pPr>
              <w:pStyle w:val="6"/>
              <w:spacing w:before="110" w:line="215" w:lineRule="auto"/>
              <w:ind w:left="912"/>
            </w:pPr>
            <w:r>
              <w:rPr>
                <w:spacing w:val="-3"/>
              </w:rPr>
              <w:t>70000</w:t>
            </w:r>
          </w:p>
        </w:tc>
        <w:tc>
          <w:tcPr>
            <w:tcW w:w="2157" w:type="dxa"/>
            <w:gridSpan w:val="2"/>
            <w:vAlign w:val="top"/>
          </w:tcPr>
          <w:p w14:paraId="67D85FC1">
            <w:pPr>
              <w:pStyle w:val="6"/>
              <w:spacing w:before="86" w:line="220" w:lineRule="auto"/>
              <w:ind w:left="235"/>
            </w:pPr>
            <w:r>
              <w:rPr>
                <w:spacing w:val="6"/>
              </w:rPr>
              <w:t>环保投资(万元)</w:t>
            </w:r>
          </w:p>
        </w:tc>
        <w:tc>
          <w:tcPr>
            <w:tcW w:w="2562" w:type="dxa"/>
            <w:gridSpan w:val="2"/>
            <w:vAlign w:val="top"/>
          </w:tcPr>
          <w:p w14:paraId="5A8B0FB6">
            <w:pPr>
              <w:pStyle w:val="6"/>
              <w:spacing w:before="110" w:line="215" w:lineRule="auto"/>
              <w:ind w:left="898"/>
            </w:pPr>
            <w:r>
              <w:rPr>
                <w:spacing w:val="-2"/>
              </w:rPr>
              <w:t>669.95</w:t>
            </w:r>
          </w:p>
        </w:tc>
      </w:tr>
      <w:tr w14:paraId="18D8F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563" w:type="dxa"/>
            <w:vAlign w:val="top"/>
          </w:tcPr>
          <w:p w14:paraId="6EB06821">
            <w:pPr>
              <w:pStyle w:val="6"/>
              <w:spacing w:before="56" w:line="220" w:lineRule="auto"/>
              <w:ind w:left="55"/>
            </w:pPr>
            <w:r>
              <w:rPr>
                <w:spacing w:val="2"/>
              </w:rPr>
              <w:t>环保投资占比</w:t>
            </w:r>
          </w:p>
          <w:p w14:paraId="4AC26C98">
            <w:pPr>
              <w:pStyle w:val="6"/>
              <w:spacing w:before="17" w:line="207" w:lineRule="auto"/>
              <w:ind w:left="595"/>
            </w:pPr>
            <w:r>
              <w:rPr>
                <w:spacing w:val="-12"/>
              </w:rPr>
              <w:t>(%)</w:t>
            </w:r>
          </w:p>
        </w:tc>
        <w:tc>
          <w:tcPr>
            <w:tcW w:w="2437" w:type="dxa"/>
            <w:gridSpan w:val="2"/>
            <w:vAlign w:val="top"/>
          </w:tcPr>
          <w:p w14:paraId="65C757C5">
            <w:pPr>
              <w:pStyle w:val="6"/>
              <w:spacing w:before="229" w:line="239" w:lineRule="auto"/>
              <w:ind w:left="982"/>
            </w:pPr>
            <w:r>
              <w:rPr>
                <w:spacing w:val="-3"/>
              </w:rPr>
              <w:t>0.96</w:t>
            </w:r>
          </w:p>
        </w:tc>
        <w:tc>
          <w:tcPr>
            <w:tcW w:w="2157" w:type="dxa"/>
            <w:gridSpan w:val="2"/>
            <w:vAlign w:val="top"/>
          </w:tcPr>
          <w:p w14:paraId="0ED74D03">
            <w:pPr>
              <w:pStyle w:val="6"/>
              <w:spacing w:before="206" w:line="220" w:lineRule="auto"/>
              <w:ind w:left="595"/>
            </w:pPr>
            <w:r>
              <w:rPr>
                <w:spacing w:val="3"/>
              </w:rPr>
              <w:t>施工工期</w:t>
            </w:r>
          </w:p>
        </w:tc>
        <w:tc>
          <w:tcPr>
            <w:tcW w:w="2562" w:type="dxa"/>
            <w:gridSpan w:val="2"/>
            <w:vAlign w:val="top"/>
          </w:tcPr>
          <w:p w14:paraId="7EA08C08">
            <w:pPr>
              <w:pStyle w:val="6"/>
              <w:spacing w:before="206" w:line="219" w:lineRule="auto"/>
              <w:ind w:left="958"/>
            </w:pPr>
            <w:r>
              <w:rPr>
                <w:spacing w:val="16"/>
              </w:rPr>
              <w:t>9个月</w:t>
            </w:r>
          </w:p>
        </w:tc>
      </w:tr>
      <w:tr w14:paraId="26C79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563" w:type="dxa"/>
            <w:vAlign w:val="top"/>
          </w:tcPr>
          <w:p w14:paraId="7B8F594E">
            <w:pPr>
              <w:spacing w:line="267" w:lineRule="auto"/>
              <w:rPr>
                <w:rFonts w:ascii="Arial"/>
                <w:sz w:val="21"/>
              </w:rPr>
            </w:pPr>
          </w:p>
          <w:p w14:paraId="06E3648B">
            <w:pPr>
              <w:pStyle w:val="6"/>
              <w:spacing w:before="79" w:line="220" w:lineRule="auto"/>
              <w:ind w:left="55"/>
            </w:pPr>
            <w:r>
              <w:rPr>
                <w:spacing w:val="1"/>
              </w:rPr>
              <w:t>是否开工建设</w:t>
            </w:r>
          </w:p>
        </w:tc>
        <w:tc>
          <w:tcPr>
            <w:tcW w:w="7156" w:type="dxa"/>
            <w:gridSpan w:val="6"/>
            <w:vAlign w:val="top"/>
          </w:tcPr>
          <w:p w14:paraId="4FE889B4">
            <w:pPr>
              <w:pStyle w:val="6"/>
              <w:spacing w:before="187" w:line="253" w:lineRule="auto"/>
              <w:ind w:left="2" w:right="6423"/>
            </w:pPr>
            <w:r>
              <w:rPr>
                <w:rFonts w:ascii="MS Gothic" w:hAnsi="MS Gothic" w:eastAsia="MS Gothic" w:cs="MS Gothic"/>
                <w:spacing w:val="-10"/>
              </w:rPr>
              <w:t>☑</w:t>
            </w:r>
            <w:r>
              <w:rPr>
                <w:spacing w:val="-10"/>
              </w:rPr>
              <w:t>否</w:t>
            </w:r>
            <w:r>
              <w:t xml:space="preserve">   </w:t>
            </w:r>
            <w:r>
              <w:rPr>
                <w:spacing w:val="-1"/>
              </w:rPr>
              <w:t>□是：</w:t>
            </w:r>
          </w:p>
        </w:tc>
      </w:tr>
      <w:tr w14:paraId="699DB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563" w:type="dxa"/>
            <w:vMerge w:val="restart"/>
            <w:tcBorders>
              <w:bottom w:val="nil"/>
            </w:tcBorders>
            <w:vAlign w:val="top"/>
          </w:tcPr>
          <w:p w14:paraId="77FDD3F5">
            <w:pPr>
              <w:spacing w:line="254" w:lineRule="auto"/>
              <w:rPr>
                <w:rFonts w:ascii="Arial"/>
                <w:sz w:val="21"/>
              </w:rPr>
            </w:pPr>
          </w:p>
          <w:p w14:paraId="3317A5AF">
            <w:pPr>
              <w:spacing w:line="254" w:lineRule="auto"/>
              <w:rPr>
                <w:rFonts w:ascii="Arial"/>
                <w:sz w:val="21"/>
              </w:rPr>
            </w:pPr>
          </w:p>
          <w:p w14:paraId="2AA17906">
            <w:pPr>
              <w:spacing w:line="255" w:lineRule="auto"/>
              <w:rPr>
                <w:rFonts w:ascii="Arial"/>
                <w:sz w:val="21"/>
              </w:rPr>
            </w:pPr>
          </w:p>
          <w:p w14:paraId="6C446A16">
            <w:pPr>
              <w:pStyle w:val="6"/>
              <w:spacing w:before="78" w:line="235" w:lineRule="auto"/>
              <w:ind w:left="535" w:right="68" w:hanging="480"/>
            </w:pPr>
            <w:r>
              <w:rPr>
                <w:spacing w:val="-2"/>
              </w:rPr>
              <w:t>专项评价设置</w:t>
            </w:r>
            <w:r>
              <w:t xml:space="preserve"> </w:t>
            </w:r>
            <w:r>
              <w:rPr>
                <w:spacing w:val="5"/>
              </w:rPr>
              <w:t>情况</w:t>
            </w:r>
          </w:p>
        </w:tc>
        <w:tc>
          <w:tcPr>
            <w:tcW w:w="7156" w:type="dxa"/>
            <w:gridSpan w:val="6"/>
            <w:vAlign w:val="top"/>
          </w:tcPr>
          <w:p w14:paraId="19B6BE05">
            <w:pPr>
              <w:pStyle w:val="6"/>
              <w:spacing w:before="86" w:line="278" w:lineRule="auto"/>
              <w:ind w:left="2185" w:right="373" w:hanging="1653"/>
            </w:pPr>
            <w:r>
              <w:t>经对照，本项目设置电磁辐射专题评价，对照情况见下</w:t>
            </w:r>
            <w:r>
              <w:rPr>
                <w:spacing w:val="-1"/>
              </w:rPr>
              <w:t>表。</w:t>
            </w:r>
            <w:r>
              <w:t xml:space="preserve"> </w:t>
            </w:r>
            <w:r>
              <w:rPr>
                <w:b/>
                <w:bCs/>
                <w:spacing w:val="-4"/>
              </w:rPr>
              <w:t>表1-1专项设置对照判别表</w:t>
            </w:r>
          </w:p>
        </w:tc>
      </w:tr>
      <w:tr w14:paraId="409A3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563" w:type="dxa"/>
            <w:vMerge w:val="continue"/>
            <w:tcBorders>
              <w:top w:val="nil"/>
              <w:bottom w:val="nil"/>
            </w:tcBorders>
            <w:vAlign w:val="top"/>
          </w:tcPr>
          <w:p w14:paraId="4333AEDA">
            <w:pPr>
              <w:rPr>
                <w:rFonts w:ascii="Arial"/>
                <w:sz w:val="21"/>
              </w:rPr>
            </w:pPr>
          </w:p>
        </w:tc>
        <w:tc>
          <w:tcPr>
            <w:tcW w:w="899" w:type="dxa"/>
            <w:vAlign w:val="top"/>
          </w:tcPr>
          <w:p w14:paraId="1C2CA61A">
            <w:pPr>
              <w:pStyle w:val="6"/>
              <w:spacing w:before="39" w:line="206" w:lineRule="auto"/>
              <w:ind w:left="82"/>
            </w:pPr>
            <w:r>
              <w:rPr>
                <w:spacing w:val="-3"/>
              </w:rPr>
              <w:t>专项评</w:t>
            </w:r>
          </w:p>
          <w:p w14:paraId="64EED0E4">
            <w:pPr>
              <w:pStyle w:val="6"/>
              <w:spacing w:line="194" w:lineRule="auto"/>
              <w:ind w:left="82"/>
            </w:pPr>
            <w:r>
              <w:rPr>
                <w:spacing w:val="3"/>
              </w:rPr>
              <w:t>价的类</w:t>
            </w:r>
          </w:p>
          <w:p w14:paraId="1AC2C090">
            <w:pPr>
              <w:pStyle w:val="6"/>
              <w:spacing w:before="1" w:line="191" w:lineRule="auto"/>
              <w:ind w:left="322"/>
            </w:pPr>
            <w:r>
              <w:t>别</w:t>
            </w:r>
          </w:p>
        </w:tc>
        <w:tc>
          <w:tcPr>
            <w:tcW w:w="2936" w:type="dxa"/>
            <w:gridSpan w:val="2"/>
            <w:vAlign w:val="top"/>
          </w:tcPr>
          <w:p w14:paraId="5CCBC620">
            <w:pPr>
              <w:pStyle w:val="6"/>
              <w:spacing w:before="299" w:line="219" w:lineRule="auto"/>
              <w:ind w:left="623"/>
            </w:pPr>
            <w:r>
              <w:rPr>
                <w:spacing w:val="2"/>
              </w:rPr>
              <w:t>涉及项目的类别</w:t>
            </w:r>
          </w:p>
        </w:tc>
        <w:tc>
          <w:tcPr>
            <w:tcW w:w="2517" w:type="dxa"/>
            <w:gridSpan w:val="2"/>
            <w:vAlign w:val="top"/>
          </w:tcPr>
          <w:p w14:paraId="48909002">
            <w:pPr>
              <w:pStyle w:val="6"/>
              <w:spacing w:before="297" w:line="219" w:lineRule="auto"/>
              <w:ind w:left="657"/>
            </w:pPr>
            <w:r>
              <w:rPr>
                <w:spacing w:val="2"/>
              </w:rPr>
              <w:t>本项目情况</w:t>
            </w:r>
          </w:p>
        </w:tc>
        <w:tc>
          <w:tcPr>
            <w:tcW w:w="804" w:type="dxa"/>
            <w:vAlign w:val="top"/>
          </w:tcPr>
          <w:p w14:paraId="4C8508F2">
            <w:pPr>
              <w:pStyle w:val="6"/>
              <w:spacing w:before="40" w:line="197" w:lineRule="auto"/>
              <w:ind w:left="140" w:right="96"/>
              <w:jc w:val="both"/>
            </w:pPr>
            <w:r>
              <w:rPr>
                <w:spacing w:val="8"/>
              </w:rPr>
              <w:t>是否</w:t>
            </w:r>
            <w:r>
              <w:t xml:space="preserve"> </w:t>
            </w:r>
            <w:r>
              <w:rPr>
                <w:spacing w:val="4"/>
              </w:rPr>
              <w:t>设置</w:t>
            </w:r>
            <w:r>
              <w:t xml:space="preserve"> </w:t>
            </w:r>
            <w:r>
              <w:rPr>
                <w:spacing w:val="38"/>
              </w:rPr>
              <w:t>专章</w:t>
            </w:r>
          </w:p>
        </w:tc>
      </w:tr>
      <w:tr w14:paraId="1538C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63" w:type="dxa"/>
            <w:vMerge w:val="continue"/>
            <w:tcBorders>
              <w:top w:val="nil"/>
            </w:tcBorders>
            <w:vAlign w:val="top"/>
          </w:tcPr>
          <w:p w14:paraId="7515B6E8">
            <w:pPr>
              <w:rPr>
                <w:rFonts w:ascii="Arial"/>
                <w:sz w:val="21"/>
              </w:rPr>
            </w:pPr>
          </w:p>
        </w:tc>
        <w:tc>
          <w:tcPr>
            <w:tcW w:w="899" w:type="dxa"/>
            <w:vAlign w:val="top"/>
          </w:tcPr>
          <w:p w14:paraId="4CFEFD05">
            <w:pPr>
              <w:pStyle w:val="6"/>
              <w:spacing w:before="160" w:line="219" w:lineRule="auto"/>
              <w:ind w:left="82"/>
            </w:pPr>
            <w:r>
              <w:rPr>
                <w:spacing w:val="3"/>
              </w:rPr>
              <w:t>地表水</w:t>
            </w:r>
          </w:p>
        </w:tc>
        <w:tc>
          <w:tcPr>
            <w:tcW w:w="2936" w:type="dxa"/>
            <w:gridSpan w:val="2"/>
            <w:vAlign w:val="top"/>
          </w:tcPr>
          <w:p w14:paraId="4A366A4F">
            <w:pPr>
              <w:pStyle w:val="6"/>
              <w:spacing w:before="39" w:line="192" w:lineRule="auto"/>
              <w:ind w:left="13"/>
            </w:pPr>
            <w:r>
              <w:rPr>
                <w:spacing w:val="-17"/>
              </w:rPr>
              <w:t>水力</w:t>
            </w:r>
            <w:r>
              <w:rPr>
                <w:spacing w:val="-16"/>
              </w:rPr>
              <w:t>发电：引水式发电、涉</w:t>
            </w:r>
            <w:r>
              <w:rPr>
                <w:spacing w:val="-14"/>
              </w:rPr>
              <w:t>及</w:t>
            </w:r>
            <w:r>
              <w:t xml:space="preserve"> </w:t>
            </w:r>
            <w:r>
              <w:rPr>
                <w:spacing w:val="-18"/>
              </w:rPr>
              <w:t>调峰发</w:t>
            </w:r>
            <w:r>
              <w:rPr>
                <w:spacing w:val="-17"/>
              </w:rPr>
              <w:t>电的项目；人工湖、</w:t>
            </w:r>
            <w:r>
              <w:rPr>
                <w:spacing w:val="-14"/>
              </w:rPr>
              <w:t>人</w:t>
            </w:r>
          </w:p>
        </w:tc>
        <w:tc>
          <w:tcPr>
            <w:tcW w:w="2517" w:type="dxa"/>
            <w:gridSpan w:val="2"/>
            <w:vAlign w:val="top"/>
          </w:tcPr>
          <w:p w14:paraId="170494A0">
            <w:pPr>
              <w:pStyle w:val="6"/>
              <w:spacing w:before="50" w:line="188" w:lineRule="auto"/>
              <w:ind w:left="17"/>
            </w:pPr>
            <w:r>
              <w:rPr>
                <w:spacing w:val="-36"/>
              </w:rPr>
              <w:t>本项目</w:t>
            </w:r>
            <w:r>
              <w:rPr>
                <w:spacing w:val="-35"/>
              </w:rPr>
              <w:t>为光伏建设项目，</w:t>
            </w:r>
            <w:r>
              <w:rPr>
                <w:spacing w:val="-20"/>
              </w:rPr>
              <w:t>不</w:t>
            </w:r>
            <w:r>
              <w:rPr>
                <w:spacing w:val="10"/>
              </w:rPr>
              <w:t xml:space="preserve"> </w:t>
            </w:r>
            <w:r>
              <w:rPr>
                <w:spacing w:val="-14"/>
              </w:rPr>
              <w:t>属于需设置地表水专项的</w:t>
            </w:r>
          </w:p>
        </w:tc>
        <w:tc>
          <w:tcPr>
            <w:tcW w:w="804" w:type="dxa"/>
            <w:vAlign w:val="top"/>
          </w:tcPr>
          <w:p w14:paraId="08CCB376">
            <w:pPr>
              <w:pStyle w:val="6"/>
              <w:spacing w:before="160" w:line="220" w:lineRule="auto"/>
              <w:ind w:left="260"/>
            </w:pPr>
            <w:r>
              <w:t>否</w:t>
            </w:r>
          </w:p>
        </w:tc>
      </w:tr>
    </w:tbl>
    <w:p w14:paraId="3348F769">
      <w:pPr>
        <w:pStyle w:val="2"/>
      </w:pPr>
    </w:p>
    <w:p w14:paraId="1998E1CE">
      <w:pPr>
        <w:sectPr>
          <w:footerReference r:id="rId6" w:type="default"/>
          <w:pgSz w:w="11910" w:h="16840"/>
          <w:pgMar w:top="1431" w:right="1695" w:bottom="1219" w:left="1484" w:header="0" w:footer="1101" w:gutter="0"/>
          <w:cols w:space="720" w:num="1"/>
        </w:sectPr>
      </w:pPr>
    </w:p>
    <w:p w14:paraId="6CFEF746">
      <w:pPr>
        <w:spacing w:line="93" w:lineRule="exact"/>
      </w:pPr>
    </w:p>
    <w:tbl>
      <w:tblPr>
        <w:tblStyle w:val="5"/>
        <w:tblW w:w="88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3"/>
        <w:gridCol w:w="899"/>
        <w:gridCol w:w="2937"/>
        <w:gridCol w:w="2527"/>
        <w:gridCol w:w="729"/>
        <w:gridCol w:w="115"/>
      </w:tblGrid>
      <w:tr w14:paraId="10114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3" w:hRule="atLeast"/>
        </w:trPr>
        <w:tc>
          <w:tcPr>
            <w:tcW w:w="1613" w:type="dxa"/>
            <w:vMerge w:val="restart"/>
            <w:tcBorders>
              <w:bottom w:val="nil"/>
            </w:tcBorders>
            <w:vAlign w:val="top"/>
          </w:tcPr>
          <w:p w14:paraId="7F86328E">
            <w:pPr>
              <w:rPr>
                <w:rFonts w:ascii="Arial"/>
                <w:sz w:val="21"/>
              </w:rPr>
            </w:pPr>
          </w:p>
        </w:tc>
        <w:tc>
          <w:tcPr>
            <w:tcW w:w="899" w:type="dxa"/>
            <w:vAlign w:val="top"/>
          </w:tcPr>
          <w:p w14:paraId="3CC91415">
            <w:pPr>
              <w:rPr>
                <w:rFonts w:ascii="Arial"/>
                <w:sz w:val="21"/>
              </w:rPr>
            </w:pPr>
          </w:p>
        </w:tc>
        <w:tc>
          <w:tcPr>
            <w:tcW w:w="2937" w:type="dxa"/>
            <w:vAlign w:val="top"/>
          </w:tcPr>
          <w:p w14:paraId="0BC02B88">
            <w:pPr>
              <w:pStyle w:val="6"/>
              <w:spacing w:before="43" w:line="219" w:lineRule="auto"/>
              <w:ind w:left="123"/>
              <w:rPr>
                <w:sz w:val="21"/>
                <w:szCs w:val="21"/>
              </w:rPr>
            </w:pPr>
            <w:r>
              <w:rPr>
                <w:spacing w:val="14"/>
                <w:sz w:val="21"/>
                <w:szCs w:val="21"/>
              </w:rPr>
              <w:t>工湿地：全部；</w:t>
            </w:r>
          </w:p>
          <w:p w14:paraId="38C258F2">
            <w:pPr>
              <w:pStyle w:val="6"/>
              <w:spacing w:before="20" w:line="219" w:lineRule="auto"/>
              <w:ind w:left="133"/>
              <w:rPr>
                <w:sz w:val="21"/>
                <w:szCs w:val="21"/>
              </w:rPr>
            </w:pPr>
            <w:r>
              <w:rPr>
                <w:spacing w:val="17"/>
                <w:sz w:val="21"/>
                <w:szCs w:val="21"/>
              </w:rPr>
              <w:t>水库：全部；</w:t>
            </w:r>
          </w:p>
          <w:p w14:paraId="68D645C3">
            <w:pPr>
              <w:pStyle w:val="6"/>
              <w:spacing w:before="20" w:line="242" w:lineRule="auto"/>
              <w:ind w:left="133" w:right="149" w:firstLine="10"/>
              <w:rPr>
                <w:sz w:val="21"/>
                <w:szCs w:val="21"/>
              </w:rPr>
            </w:pPr>
            <w:r>
              <w:rPr>
                <w:sz w:val="21"/>
                <w:szCs w:val="21"/>
              </w:rPr>
              <w:t>引水工程：全部(配套的管线</w:t>
            </w:r>
            <w:r>
              <w:rPr>
                <w:spacing w:val="8"/>
                <w:sz w:val="21"/>
                <w:szCs w:val="21"/>
              </w:rPr>
              <w:t xml:space="preserve"> </w:t>
            </w:r>
            <w:r>
              <w:rPr>
                <w:spacing w:val="6"/>
                <w:sz w:val="21"/>
                <w:szCs w:val="21"/>
              </w:rPr>
              <w:t>工程等除外);</w:t>
            </w:r>
          </w:p>
          <w:p w14:paraId="6E4D3B79">
            <w:pPr>
              <w:pStyle w:val="6"/>
              <w:spacing w:before="1" w:line="242" w:lineRule="auto"/>
              <w:ind w:left="143" w:right="40"/>
              <w:rPr>
                <w:sz w:val="21"/>
                <w:szCs w:val="21"/>
              </w:rPr>
            </w:pPr>
            <w:r>
              <w:rPr>
                <w:spacing w:val="1"/>
                <w:sz w:val="21"/>
                <w:szCs w:val="21"/>
              </w:rPr>
              <w:t>防洪除涝工程：包含水库的项</w:t>
            </w:r>
            <w:r>
              <w:rPr>
                <w:sz w:val="21"/>
                <w:szCs w:val="21"/>
              </w:rPr>
              <w:t xml:space="preserve"> </w:t>
            </w:r>
            <w:r>
              <w:rPr>
                <w:spacing w:val="-25"/>
                <w:sz w:val="21"/>
                <w:szCs w:val="21"/>
              </w:rPr>
              <w:t>目</w:t>
            </w:r>
            <w:r>
              <w:rPr>
                <w:spacing w:val="98"/>
                <w:sz w:val="21"/>
                <w:szCs w:val="21"/>
              </w:rPr>
              <w:t xml:space="preserve"> </w:t>
            </w:r>
            <w:r>
              <w:rPr>
                <w:spacing w:val="-25"/>
                <w:sz w:val="21"/>
                <w:szCs w:val="21"/>
              </w:rPr>
              <w:t>；</w:t>
            </w:r>
          </w:p>
          <w:p w14:paraId="305DF4C2">
            <w:pPr>
              <w:pStyle w:val="6"/>
              <w:spacing w:before="7" w:line="211" w:lineRule="auto"/>
              <w:ind w:left="133" w:right="71"/>
              <w:rPr>
                <w:sz w:val="21"/>
                <w:szCs w:val="21"/>
              </w:rPr>
            </w:pPr>
            <w:r>
              <w:rPr>
                <w:spacing w:val="-1"/>
                <w:sz w:val="21"/>
                <w:szCs w:val="21"/>
              </w:rPr>
              <w:t>河湖整治：涉及清淤且底泥存</w:t>
            </w:r>
            <w:r>
              <w:rPr>
                <w:spacing w:val="4"/>
                <w:sz w:val="21"/>
                <w:szCs w:val="21"/>
              </w:rPr>
              <w:t xml:space="preserve"> 在重金属污染的项目</w:t>
            </w:r>
          </w:p>
        </w:tc>
        <w:tc>
          <w:tcPr>
            <w:tcW w:w="2527" w:type="dxa"/>
            <w:vAlign w:val="top"/>
          </w:tcPr>
          <w:p w14:paraId="1510266D">
            <w:pPr>
              <w:pStyle w:val="6"/>
              <w:spacing w:before="43" w:line="219" w:lineRule="auto"/>
              <w:ind w:left="836"/>
              <w:rPr>
                <w:sz w:val="21"/>
                <w:szCs w:val="21"/>
              </w:rPr>
            </w:pPr>
            <w:r>
              <w:rPr>
                <w:spacing w:val="4"/>
                <w:sz w:val="21"/>
                <w:szCs w:val="21"/>
              </w:rPr>
              <w:t>项目类别</w:t>
            </w:r>
          </w:p>
        </w:tc>
        <w:tc>
          <w:tcPr>
            <w:tcW w:w="729" w:type="dxa"/>
            <w:vAlign w:val="top"/>
          </w:tcPr>
          <w:p w14:paraId="59E4538B">
            <w:pPr>
              <w:rPr>
                <w:rFonts w:ascii="Arial"/>
                <w:sz w:val="21"/>
              </w:rPr>
            </w:pPr>
          </w:p>
        </w:tc>
        <w:tc>
          <w:tcPr>
            <w:tcW w:w="115" w:type="dxa"/>
            <w:vMerge w:val="restart"/>
            <w:tcBorders>
              <w:bottom w:val="nil"/>
            </w:tcBorders>
            <w:vAlign w:val="top"/>
          </w:tcPr>
          <w:p w14:paraId="13763E36">
            <w:pPr>
              <w:rPr>
                <w:rFonts w:ascii="Arial"/>
                <w:sz w:val="21"/>
              </w:rPr>
            </w:pPr>
          </w:p>
        </w:tc>
      </w:tr>
      <w:tr w14:paraId="2F99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1613" w:type="dxa"/>
            <w:vMerge w:val="continue"/>
            <w:tcBorders>
              <w:top w:val="nil"/>
              <w:bottom w:val="nil"/>
            </w:tcBorders>
            <w:vAlign w:val="top"/>
          </w:tcPr>
          <w:p w14:paraId="4C28DCB8">
            <w:pPr>
              <w:rPr>
                <w:rFonts w:ascii="Arial"/>
                <w:sz w:val="21"/>
              </w:rPr>
            </w:pPr>
          </w:p>
        </w:tc>
        <w:tc>
          <w:tcPr>
            <w:tcW w:w="899" w:type="dxa"/>
            <w:vAlign w:val="top"/>
          </w:tcPr>
          <w:p w14:paraId="0E69F7FD">
            <w:pPr>
              <w:spacing w:line="324" w:lineRule="auto"/>
              <w:rPr>
                <w:rFonts w:ascii="Arial"/>
                <w:sz w:val="21"/>
              </w:rPr>
            </w:pPr>
          </w:p>
          <w:p w14:paraId="4D4C1A10">
            <w:pPr>
              <w:spacing w:line="324" w:lineRule="auto"/>
              <w:rPr>
                <w:rFonts w:ascii="Arial"/>
                <w:sz w:val="21"/>
              </w:rPr>
            </w:pPr>
          </w:p>
          <w:p w14:paraId="12754FC9">
            <w:pPr>
              <w:pStyle w:val="6"/>
              <w:spacing w:before="68" w:line="219" w:lineRule="auto"/>
              <w:ind w:left="122"/>
              <w:rPr>
                <w:sz w:val="21"/>
                <w:szCs w:val="21"/>
              </w:rPr>
            </w:pPr>
            <w:r>
              <w:rPr>
                <w:spacing w:val="-2"/>
                <w:sz w:val="21"/>
                <w:szCs w:val="21"/>
              </w:rPr>
              <w:t>地下水</w:t>
            </w:r>
          </w:p>
        </w:tc>
        <w:tc>
          <w:tcPr>
            <w:tcW w:w="2937" w:type="dxa"/>
            <w:vAlign w:val="top"/>
          </w:tcPr>
          <w:p w14:paraId="2EE03479">
            <w:pPr>
              <w:pStyle w:val="6"/>
              <w:spacing w:before="39"/>
              <w:ind w:left="133" w:right="264"/>
              <w:rPr>
                <w:sz w:val="21"/>
                <w:szCs w:val="21"/>
              </w:rPr>
            </w:pPr>
            <w:r>
              <w:rPr>
                <w:sz w:val="21"/>
                <w:szCs w:val="21"/>
              </w:rPr>
              <w:t>陆地石油和天然气开采：全</w:t>
            </w:r>
            <w:r>
              <w:rPr>
                <w:spacing w:val="8"/>
                <w:sz w:val="21"/>
                <w:szCs w:val="21"/>
              </w:rPr>
              <w:t xml:space="preserve"> </w:t>
            </w:r>
            <w:r>
              <w:rPr>
                <w:spacing w:val="-6"/>
                <w:sz w:val="21"/>
                <w:szCs w:val="21"/>
              </w:rPr>
              <w:t>部</w:t>
            </w:r>
            <w:r>
              <w:rPr>
                <w:spacing w:val="60"/>
                <w:sz w:val="21"/>
                <w:szCs w:val="21"/>
              </w:rPr>
              <w:t xml:space="preserve"> </w:t>
            </w:r>
            <w:r>
              <w:rPr>
                <w:spacing w:val="-6"/>
                <w:sz w:val="21"/>
                <w:szCs w:val="21"/>
              </w:rPr>
              <w:t>；</w:t>
            </w:r>
          </w:p>
          <w:p w14:paraId="51F604CC">
            <w:pPr>
              <w:pStyle w:val="6"/>
              <w:spacing w:before="3" w:line="219" w:lineRule="auto"/>
              <w:ind w:left="133"/>
              <w:rPr>
                <w:sz w:val="21"/>
                <w:szCs w:val="21"/>
              </w:rPr>
            </w:pPr>
            <w:r>
              <w:rPr>
                <w:spacing w:val="-1"/>
                <w:sz w:val="21"/>
                <w:szCs w:val="21"/>
              </w:rPr>
              <w:t>地下水(含矿泉水)开采：全</w:t>
            </w:r>
          </w:p>
          <w:p w14:paraId="2C083755">
            <w:pPr>
              <w:pStyle w:val="6"/>
              <w:spacing w:before="32" w:line="219" w:lineRule="auto"/>
              <w:ind w:left="133"/>
              <w:rPr>
                <w:sz w:val="21"/>
                <w:szCs w:val="21"/>
              </w:rPr>
            </w:pPr>
            <w:r>
              <w:rPr>
                <w:spacing w:val="-6"/>
                <w:sz w:val="21"/>
                <w:szCs w:val="21"/>
              </w:rPr>
              <w:t>部</w:t>
            </w:r>
            <w:r>
              <w:rPr>
                <w:spacing w:val="60"/>
                <w:sz w:val="21"/>
                <w:szCs w:val="21"/>
              </w:rPr>
              <w:t xml:space="preserve"> </w:t>
            </w:r>
            <w:r>
              <w:rPr>
                <w:spacing w:val="-6"/>
                <w:sz w:val="21"/>
                <w:szCs w:val="21"/>
              </w:rPr>
              <w:t>；</w:t>
            </w:r>
          </w:p>
          <w:p w14:paraId="3C71CDFA">
            <w:pPr>
              <w:pStyle w:val="6"/>
              <w:spacing w:before="19" w:line="215" w:lineRule="auto"/>
              <w:ind w:left="133" w:right="64" w:firstLine="10"/>
              <w:rPr>
                <w:sz w:val="21"/>
                <w:szCs w:val="21"/>
              </w:rPr>
            </w:pPr>
            <w:r>
              <w:rPr>
                <w:spacing w:val="-1"/>
                <w:sz w:val="21"/>
                <w:szCs w:val="21"/>
              </w:rPr>
              <w:t>水利、水电、交通等：含穿越</w:t>
            </w:r>
            <w:r>
              <w:rPr>
                <w:spacing w:val="1"/>
                <w:sz w:val="21"/>
                <w:szCs w:val="21"/>
              </w:rPr>
              <w:t xml:space="preserve"> </w:t>
            </w:r>
            <w:r>
              <w:rPr>
                <w:spacing w:val="4"/>
                <w:sz w:val="21"/>
                <w:szCs w:val="21"/>
              </w:rPr>
              <w:t>可溶岩地层隧道的项目</w:t>
            </w:r>
          </w:p>
        </w:tc>
        <w:tc>
          <w:tcPr>
            <w:tcW w:w="2527" w:type="dxa"/>
            <w:vAlign w:val="top"/>
          </w:tcPr>
          <w:p w14:paraId="67B2B315">
            <w:pPr>
              <w:spacing w:line="378" w:lineRule="auto"/>
              <w:rPr>
                <w:rFonts w:ascii="Arial"/>
                <w:sz w:val="21"/>
              </w:rPr>
            </w:pPr>
          </w:p>
          <w:p w14:paraId="5595C941">
            <w:pPr>
              <w:pStyle w:val="6"/>
              <w:spacing w:before="69" w:line="219" w:lineRule="auto"/>
              <w:jc w:val="right"/>
              <w:rPr>
                <w:sz w:val="21"/>
                <w:szCs w:val="21"/>
              </w:rPr>
            </w:pPr>
            <w:r>
              <w:rPr>
                <w:spacing w:val="-2"/>
                <w:sz w:val="21"/>
                <w:szCs w:val="21"/>
              </w:rPr>
              <w:t>本项目为光伏建设项目，不</w:t>
            </w:r>
          </w:p>
          <w:p w14:paraId="5C2FB02C">
            <w:pPr>
              <w:pStyle w:val="6"/>
              <w:spacing w:before="32" w:line="219" w:lineRule="auto"/>
              <w:ind w:left="106"/>
              <w:rPr>
                <w:sz w:val="21"/>
                <w:szCs w:val="21"/>
              </w:rPr>
            </w:pPr>
            <w:r>
              <w:rPr>
                <w:spacing w:val="1"/>
                <w:sz w:val="21"/>
                <w:szCs w:val="21"/>
              </w:rPr>
              <w:t>属于需设置地下水专项的</w:t>
            </w:r>
          </w:p>
          <w:p w14:paraId="379B3EE5">
            <w:pPr>
              <w:pStyle w:val="6"/>
              <w:spacing w:before="30" w:line="219" w:lineRule="auto"/>
              <w:ind w:left="836"/>
              <w:rPr>
                <w:sz w:val="21"/>
                <w:szCs w:val="21"/>
              </w:rPr>
            </w:pPr>
            <w:r>
              <w:rPr>
                <w:spacing w:val="4"/>
                <w:sz w:val="21"/>
                <w:szCs w:val="21"/>
              </w:rPr>
              <w:t>项目类别</w:t>
            </w:r>
          </w:p>
        </w:tc>
        <w:tc>
          <w:tcPr>
            <w:tcW w:w="729" w:type="dxa"/>
            <w:vAlign w:val="top"/>
          </w:tcPr>
          <w:p w14:paraId="33B2B035">
            <w:pPr>
              <w:spacing w:line="324" w:lineRule="auto"/>
              <w:rPr>
                <w:rFonts w:ascii="Arial"/>
                <w:sz w:val="21"/>
              </w:rPr>
            </w:pPr>
          </w:p>
          <w:p w14:paraId="5278D882">
            <w:pPr>
              <w:spacing w:line="324" w:lineRule="auto"/>
              <w:rPr>
                <w:rFonts w:ascii="Arial"/>
                <w:sz w:val="21"/>
              </w:rPr>
            </w:pPr>
          </w:p>
          <w:p w14:paraId="2DC7199E">
            <w:pPr>
              <w:pStyle w:val="6"/>
              <w:spacing w:before="69" w:line="220" w:lineRule="auto"/>
              <w:ind w:left="259"/>
              <w:rPr>
                <w:sz w:val="21"/>
                <w:szCs w:val="21"/>
              </w:rPr>
            </w:pPr>
            <w:r>
              <w:rPr>
                <w:sz w:val="21"/>
                <w:szCs w:val="21"/>
              </w:rPr>
              <w:t>否</w:t>
            </w:r>
          </w:p>
        </w:tc>
        <w:tc>
          <w:tcPr>
            <w:tcW w:w="115" w:type="dxa"/>
            <w:vMerge w:val="continue"/>
            <w:tcBorders>
              <w:top w:val="nil"/>
              <w:bottom w:val="nil"/>
            </w:tcBorders>
            <w:vAlign w:val="top"/>
          </w:tcPr>
          <w:p w14:paraId="72B5D0A6">
            <w:pPr>
              <w:rPr>
                <w:rFonts w:ascii="Arial"/>
                <w:sz w:val="21"/>
              </w:rPr>
            </w:pPr>
          </w:p>
        </w:tc>
      </w:tr>
      <w:tr w14:paraId="19024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5" w:hRule="atLeast"/>
        </w:trPr>
        <w:tc>
          <w:tcPr>
            <w:tcW w:w="1613" w:type="dxa"/>
            <w:vMerge w:val="continue"/>
            <w:tcBorders>
              <w:top w:val="nil"/>
              <w:bottom w:val="nil"/>
            </w:tcBorders>
            <w:vAlign w:val="top"/>
          </w:tcPr>
          <w:p w14:paraId="26CC8B1E">
            <w:pPr>
              <w:rPr>
                <w:rFonts w:ascii="Arial"/>
                <w:sz w:val="21"/>
              </w:rPr>
            </w:pPr>
          </w:p>
        </w:tc>
        <w:tc>
          <w:tcPr>
            <w:tcW w:w="899" w:type="dxa"/>
            <w:vAlign w:val="top"/>
          </w:tcPr>
          <w:p w14:paraId="2ECAFDA1">
            <w:pPr>
              <w:spacing w:line="245" w:lineRule="auto"/>
              <w:rPr>
                <w:rFonts w:ascii="Arial"/>
                <w:sz w:val="21"/>
              </w:rPr>
            </w:pPr>
          </w:p>
          <w:p w14:paraId="5C1CDE75">
            <w:pPr>
              <w:spacing w:line="246" w:lineRule="auto"/>
              <w:rPr>
                <w:rFonts w:ascii="Arial"/>
                <w:sz w:val="21"/>
              </w:rPr>
            </w:pPr>
          </w:p>
          <w:p w14:paraId="1A4E11AC">
            <w:pPr>
              <w:spacing w:line="246" w:lineRule="auto"/>
              <w:rPr>
                <w:rFonts w:ascii="Arial"/>
                <w:sz w:val="21"/>
              </w:rPr>
            </w:pPr>
          </w:p>
          <w:p w14:paraId="2A63B717">
            <w:pPr>
              <w:spacing w:line="246" w:lineRule="auto"/>
              <w:rPr>
                <w:rFonts w:ascii="Arial"/>
                <w:sz w:val="21"/>
              </w:rPr>
            </w:pPr>
          </w:p>
          <w:p w14:paraId="56E3976C">
            <w:pPr>
              <w:spacing w:line="246" w:lineRule="auto"/>
              <w:rPr>
                <w:rFonts w:ascii="Arial"/>
                <w:sz w:val="21"/>
              </w:rPr>
            </w:pPr>
          </w:p>
          <w:p w14:paraId="477DE662">
            <w:pPr>
              <w:spacing w:line="246" w:lineRule="auto"/>
              <w:rPr>
                <w:rFonts w:ascii="Arial"/>
                <w:sz w:val="21"/>
              </w:rPr>
            </w:pPr>
          </w:p>
          <w:p w14:paraId="47802FBD">
            <w:pPr>
              <w:spacing w:line="246" w:lineRule="auto"/>
              <w:rPr>
                <w:rFonts w:ascii="Arial"/>
                <w:sz w:val="21"/>
              </w:rPr>
            </w:pPr>
          </w:p>
          <w:p w14:paraId="5A833500">
            <w:pPr>
              <w:spacing w:line="246" w:lineRule="auto"/>
              <w:rPr>
                <w:rFonts w:ascii="Arial"/>
                <w:sz w:val="21"/>
              </w:rPr>
            </w:pPr>
          </w:p>
          <w:p w14:paraId="2AA4F495">
            <w:pPr>
              <w:spacing w:line="246" w:lineRule="auto"/>
              <w:rPr>
                <w:rFonts w:ascii="Arial"/>
                <w:sz w:val="21"/>
              </w:rPr>
            </w:pPr>
          </w:p>
          <w:p w14:paraId="79E94415">
            <w:pPr>
              <w:spacing w:line="246" w:lineRule="auto"/>
              <w:rPr>
                <w:rFonts w:ascii="Arial"/>
                <w:sz w:val="21"/>
              </w:rPr>
            </w:pPr>
          </w:p>
          <w:p w14:paraId="53BF9646">
            <w:pPr>
              <w:spacing w:line="246" w:lineRule="auto"/>
              <w:rPr>
                <w:rFonts w:ascii="Arial"/>
                <w:sz w:val="21"/>
              </w:rPr>
            </w:pPr>
          </w:p>
          <w:p w14:paraId="0FF703DE">
            <w:pPr>
              <w:spacing w:line="246" w:lineRule="auto"/>
              <w:rPr>
                <w:rFonts w:ascii="Arial"/>
                <w:sz w:val="21"/>
              </w:rPr>
            </w:pPr>
          </w:p>
          <w:p w14:paraId="68CFA27B">
            <w:pPr>
              <w:pStyle w:val="6"/>
              <w:spacing w:before="68" w:line="224" w:lineRule="auto"/>
              <w:ind w:left="232"/>
              <w:rPr>
                <w:sz w:val="21"/>
                <w:szCs w:val="21"/>
              </w:rPr>
            </w:pPr>
            <w:r>
              <w:rPr>
                <w:spacing w:val="5"/>
                <w:sz w:val="21"/>
                <w:szCs w:val="21"/>
              </w:rPr>
              <w:t>生态</w:t>
            </w:r>
          </w:p>
        </w:tc>
        <w:tc>
          <w:tcPr>
            <w:tcW w:w="2937" w:type="dxa"/>
            <w:vAlign w:val="top"/>
          </w:tcPr>
          <w:p w14:paraId="319A1B73">
            <w:pPr>
              <w:spacing w:line="241" w:lineRule="auto"/>
              <w:rPr>
                <w:rFonts w:ascii="Arial"/>
                <w:sz w:val="21"/>
              </w:rPr>
            </w:pPr>
          </w:p>
          <w:p w14:paraId="1DDF89BC">
            <w:pPr>
              <w:spacing w:line="241" w:lineRule="auto"/>
              <w:rPr>
                <w:rFonts w:ascii="Arial"/>
                <w:sz w:val="21"/>
              </w:rPr>
            </w:pPr>
          </w:p>
          <w:p w14:paraId="36F2F444">
            <w:pPr>
              <w:spacing w:line="241" w:lineRule="auto"/>
              <w:rPr>
                <w:rFonts w:ascii="Arial"/>
                <w:sz w:val="21"/>
              </w:rPr>
            </w:pPr>
          </w:p>
          <w:p w14:paraId="31596FAC">
            <w:pPr>
              <w:spacing w:line="241" w:lineRule="auto"/>
              <w:rPr>
                <w:rFonts w:ascii="Arial"/>
                <w:sz w:val="21"/>
              </w:rPr>
            </w:pPr>
          </w:p>
          <w:p w14:paraId="7E30BC51">
            <w:pPr>
              <w:spacing w:line="242" w:lineRule="auto"/>
              <w:rPr>
                <w:rFonts w:ascii="Arial"/>
                <w:sz w:val="21"/>
              </w:rPr>
            </w:pPr>
          </w:p>
          <w:p w14:paraId="6764808F">
            <w:pPr>
              <w:spacing w:line="242" w:lineRule="auto"/>
              <w:rPr>
                <w:rFonts w:ascii="Arial"/>
                <w:sz w:val="21"/>
              </w:rPr>
            </w:pPr>
          </w:p>
          <w:p w14:paraId="07D9A1FE">
            <w:pPr>
              <w:spacing w:line="242" w:lineRule="auto"/>
              <w:rPr>
                <w:rFonts w:ascii="Arial"/>
                <w:sz w:val="21"/>
              </w:rPr>
            </w:pPr>
          </w:p>
          <w:p w14:paraId="76B8D376">
            <w:pPr>
              <w:spacing w:line="242" w:lineRule="auto"/>
              <w:rPr>
                <w:rFonts w:ascii="Arial"/>
                <w:sz w:val="21"/>
              </w:rPr>
            </w:pPr>
          </w:p>
          <w:p w14:paraId="005DC560">
            <w:pPr>
              <w:spacing w:line="242" w:lineRule="auto"/>
              <w:rPr>
                <w:rFonts w:ascii="Arial"/>
                <w:sz w:val="21"/>
              </w:rPr>
            </w:pPr>
          </w:p>
          <w:p w14:paraId="20BB6590">
            <w:pPr>
              <w:spacing w:line="242" w:lineRule="auto"/>
              <w:rPr>
                <w:rFonts w:ascii="Arial"/>
                <w:sz w:val="21"/>
              </w:rPr>
            </w:pPr>
          </w:p>
          <w:p w14:paraId="551CF2A9">
            <w:pPr>
              <w:pStyle w:val="6"/>
              <w:spacing w:before="68" w:line="241" w:lineRule="auto"/>
              <w:ind w:left="133" w:right="52"/>
              <w:jc w:val="both"/>
              <w:rPr>
                <w:sz w:val="21"/>
                <w:szCs w:val="21"/>
              </w:rPr>
            </w:pPr>
            <w:r>
              <w:rPr>
                <w:spacing w:val="1"/>
                <w:sz w:val="21"/>
                <w:szCs w:val="21"/>
              </w:rPr>
              <w:t>涉及环境敏感区(不包括饮用</w:t>
            </w:r>
            <w:r>
              <w:rPr>
                <w:spacing w:val="3"/>
                <w:sz w:val="21"/>
                <w:szCs w:val="21"/>
              </w:rPr>
              <w:t xml:space="preserve">  </w:t>
            </w:r>
            <w:r>
              <w:rPr>
                <w:spacing w:val="-1"/>
                <w:sz w:val="21"/>
                <w:szCs w:val="21"/>
              </w:rPr>
              <w:t>水水源保护区，以居住、医疗</w:t>
            </w:r>
            <w:r>
              <w:rPr>
                <w:spacing w:val="11"/>
                <w:sz w:val="21"/>
                <w:szCs w:val="21"/>
              </w:rPr>
              <w:t xml:space="preserve"> </w:t>
            </w:r>
            <w:r>
              <w:rPr>
                <w:sz w:val="21"/>
                <w:szCs w:val="21"/>
              </w:rPr>
              <w:t>卫生、文化教育、科研、行政 办公为主要功能的区域，以及</w:t>
            </w:r>
            <w:r>
              <w:rPr>
                <w:spacing w:val="10"/>
                <w:sz w:val="21"/>
                <w:szCs w:val="21"/>
              </w:rPr>
              <w:t xml:space="preserve"> </w:t>
            </w:r>
            <w:r>
              <w:rPr>
                <w:spacing w:val="4"/>
                <w:sz w:val="21"/>
                <w:szCs w:val="21"/>
              </w:rPr>
              <w:t>文物保护单位)的项目</w:t>
            </w:r>
          </w:p>
        </w:tc>
        <w:tc>
          <w:tcPr>
            <w:tcW w:w="2527" w:type="dxa"/>
            <w:vAlign w:val="top"/>
          </w:tcPr>
          <w:p w14:paraId="36BC025E">
            <w:pPr>
              <w:pStyle w:val="6"/>
              <w:spacing w:before="64" w:line="238" w:lineRule="auto"/>
              <w:ind w:left="106" w:firstLine="28"/>
              <w:rPr>
                <w:sz w:val="21"/>
                <w:szCs w:val="21"/>
              </w:rPr>
            </w:pPr>
            <w:r>
              <w:rPr>
                <w:spacing w:val="-18"/>
                <w:sz w:val="21"/>
                <w:szCs w:val="21"/>
              </w:rPr>
              <w:t>根据《建设项目环境影响分</w:t>
            </w:r>
            <w:r>
              <w:rPr>
                <w:spacing w:val="2"/>
                <w:sz w:val="21"/>
                <w:szCs w:val="21"/>
              </w:rPr>
              <w:t xml:space="preserve"> </w:t>
            </w:r>
            <w:r>
              <w:rPr>
                <w:sz w:val="21"/>
                <w:szCs w:val="21"/>
              </w:rPr>
              <w:t xml:space="preserve">类管理名录(2021年版)》  </w:t>
            </w:r>
            <w:r>
              <w:rPr>
                <w:spacing w:val="-7"/>
                <w:sz w:val="21"/>
                <w:szCs w:val="21"/>
              </w:rPr>
              <w:t>中针对本类项目所列的敏</w:t>
            </w:r>
            <w:r>
              <w:rPr>
                <w:spacing w:val="2"/>
                <w:sz w:val="21"/>
                <w:szCs w:val="21"/>
              </w:rPr>
              <w:t xml:space="preserve">  </w:t>
            </w:r>
            <w:r>
              <w:rPr>
                <w:spacing w:val="-8"/>
                <w:sz w:val="21"/>
                <w:szCs w:val="21"/>
              </w:rPr>
              <w:t>感区：①国家公园、自然</w:t>
            </w:r>
            <w:r>
              <w:rPr>
                <w:sz w:val="21"/>
                <w:szCs w:val="21"/>
              </w:rPr>
              <w:t xml:space="preserve">  </w:t>
            </w:r>
            <w:r>
              <w:rPr>
                <w:spacing w:val="-16"/>
                <w:sz w:val="21"/>
                <w:szCs w:val="21"/>
              </w:rPr>
              <w:t>保护区、风景名胜区、世界</w:t>
            </w:r>
            <w:r>
              <w:rPr>
                <w:spacing w:val="7"/>
                <w:sz w:val="21"/>
                <w:szCs w:val="21"/>
              </w:rPr>
              <w:t xml:space="preserve"> </w:t>
            </w:r>
            <w:r>
              <w:rPr>
                <w:spacing w:val="-16"/>
                <w:sz w:val="21"/>
                <w:szCs w:val="21"/>
              </w:rPr>
              <w:t>文化和自然遗产地、海洋特</w:t>
            </w:r>
            <w:r>
              <w:rPr>
                <w:spacing w:val="5"/>
                <w:sz w:val="21"/>
                <w:szCs w:val="21"/>
              </w:rPr>
              <w:t xml:space="preserve"> </w:t>
            </w:r>
            <w:r>
              <w:rPr>
                <w:spacing w:val="-15"/>
                <w:sz w:val="21"/>
                <w:szCs w:val="21"/>
              </w:rPr>
              <w:t>种保护区、饮用水水源保护</w:t>
            </w:r>
            <w:r>
              <w:rPr>
                <w:spacing w:val="1"/>
                <w:sz w:val="21"/>
                <w:szCs w:val="21"/>
              </w:rPr>
              <w:t xml:space="preserve"> </w:t>
            </w:r>
            <w:r>
              <w:rPr>
                <w:spacing w:val="-10"/>
                <w:sz w:val="21"/>
                <w:szCs w:val="21"/>
              </w:rPr>
              <w:t>区；②以居住、医疗卫生、</w:t>
            </w:r>
            <w:r>
              <w:rPr>
                <w:spacing w:val="9"/>
                <w:sz w:val="21"/>
                <w:szCs w:val="21"/>
              </w:rPr>
              <w:t xml:space="preserve"> </w:t>
            </w:r>
            <w:r>
              <w:rPr>
                <w:spacing w:val="-16"/>
                <w:sz w:val="21"/>
                <w:szCs w:val="21"/>
              </w:rPr>
              <w:t>文化教育、科研、行政办公</w:t>
            </w:r>
            <w:r>
              <w:rPr>
                <w:spacing w:val="10"/>
                <w:sz w:val="21"/>
                <w:szCs w:val="21"/>
              </w:rPr>
              <w:t xml:space="preserve"> </w:t>
            </w:r>
            <w:r>
              <w:rPr>
                <w:spacing w:val="-16"/>
                <w:sz w:val="21"/>
                <w:szCs w:val="21"/>
              </w:rPr>
              <w:t>为主要功能的区域，以及文</w:t>
            </w:r>
            <w:r>
              <w:rPr>
                <w:spacing w:val="9"/>
                <w:sz w:val="21"/>
                <w:szCs w:val="21"/>
              </w:rPr>
              <w:t xml:space="preserve"> </w:t>
            </w:r>
            <w:r>
              <w:rPr>
                <w:spacing w:val="-4"/>
                <w:sz w:val="21"/>
                <w:szCs w:val="21"/>
              </w:rPr>
              <w:t>物保护单位。</w:t>
            </w:r>
          </w:p>
          <w:p w14:paraId="265A4B95">
            <w:pPr>
              <w:pStyle w:val="6"/>
              <w:spacing w:before="5" w:line="235" w:lineRule="auto"/>
              <w:ind w:left="106" w:firstLine="19"/>
              <w:rPr>
                <w:sz w:val="21"/>
                <w:szCs w:val="21"/>
              </w:rPr>
            </w:pPr>
            <w:r>
              <w:rPr>
                <w:spacing w:val="-11"/>
                <w:sz w:val="21"/>
                <w:szCs w:val="21"/>
              </w:rPr>
              <w:t>结合生态专项设置原则，项</w:t>
            </w:r>
            <w:r>
              <w:rPr>
                <w:spacing w:val="2"/>
                <w:sz w:val="21"/>
                <w:szCs w:val="21"/>
              </w:rPr>
              <w:t xml:space="preserve"> </w:t>
            </w:r>
            <w:r>
              <w:rPr>
                <w:sz w:val="21"/>
                <w:szCs w:val="21"/>
              </w:rPr>
              <w:t xml:space="preserve">目区或评价范围内若涉及  </w:t>
            </w:r>
            <w:r>
              <w:rPr>
                <w:spacing w:val="-10"/>
                <w:sz w:val="21"/>
                <w:szCs w:val="21"/>
              </w:rPr>
              <w:t>国家公园、自然保护区、风</w:t>
            </w:r>
            <w:r>
              <w:rPr>
                <w:spacing w:val="6"/>
                <w:sz w:val="21"/>
                <w:szCs w:val="21"/>
              </w:rPr>
              <w:t xml:space="preserve"> </w:t>
            </w:r>
            <w:r>
              <w:rPr>
                <w:spacing w:val="-10"/>
                <w:sz w:val="21"/>
                <w:szCs w:val="21"/>
              </w:rPr>
              <w:t>景名胜区、世界文化和自然</w:t>
            </w:r>
            <w:r>
              <w:rPr>
                <w:spacing w:val="7"/>
                <w:sz w:val="21"/>
                <w:szCs w:val="21"/>
              </w:rPr>
              <w:t xml:space="preserve"> </w:t>
            </w:r>
            <w:r>
              <w:rPr>
                <w:sz w:val="21"/>
                <w:szCs w:val="21"/>
              </w:rPr>
              <w:t>遗产地、海洋特种保护区</w:t>
            </w:r>
            <w:r>
              <w:rPr>
                <w:spacing w:val="2"/>
                <w:sz w:val="21"/>
                <w:szCs w:val="21"/>
              </w:rPr>
              <w:t xml:space="preserve">  </w:t>
            </w:r>
            <w:r>
              <w:rPr>
                <w:spacing w:val="-10"/>
                <w:sz w:val="21"/>
                <w:szCs w:val="21"/>
              </w:rPr>
              <w:t>的，需设置生态环境影响专</w:t>
            </w:r>
            <w:r>
              <w:rPr>
                <w:spacing w:val="8"/>
                <w:sz w:val="21"/>
                <w:szCs w:val="21"/>
              </w:rPr>
              <w:t xml:space="preserve"> </w:t>
            </w:r>
            <w:r>
              <w:rPr>
                <w:spacing w:val="-10"/>
                <w:sz w:val="21"/>
                <w:szCs w:val="21"/>
              </w:rPr>
              <w:t>项评价。项目区评价范围不</w:t>
            </w:r>
            <w:r>
              <w:rPr>
                <w:spacing w:val="8"/>
                <w:sz w:val="21"/>
                <w:szCs w:val="21"/>
              </w:rPr>
              <w:t xml:space="preserve"> </w:t>
            </w:r>
            <w:r>
              <w:rPr>
                <w:spacing w:val="-10"/>
                <w:sz w:val="21"/>
                <w:szCs w:val="21"/>
              </w:rPr>
              <w:t>涉及《陆生野生动物重要栖</w:t>
            </w:r>
            <w:r>
              <w:rPr>
                <w:spacing w:val="6"/>
                <w:sz w:val="21"/>
                <w:szCs w:val="21"/>
              </w:rPr>
              <w:t xml:space="preserve"> </w:t>
            </w:r>
            <w:r>
              <w:rPr>
                <w:sz w:val="21"/>
                <w:szCs w:val="21"/>
              </w:rPr>
              <w:t>息地名录(第一批)》中的</w:t>
            </w:r>
            <w:r>
              <w:rPr>
                <w:spacing w:val="2"/>
                <w:sz w:val="21"/>
                <w:szCs w:val="21"/>
              </w:rPr>
              <w:t xml:space="preserve">  </w:t>
            </w:r>
            <w:r>
              <w:rPr>
                <w:spacing w:val="-2"/>
                <w:sz w:val="21"/>
                <w:szCs w:val="21"/>
              </w:rPr>
              <w:t>野生动物重要生境。经分</w:t>
            </w:r>
            <w:r>
              <w:rPr>
                <w:sz w:val="21"/>
                <w:szCs w:val="21"/>
              </w:rPr>
              <w:t xml:space="preserve">  </w:t>
            </w:r>
            <w:r>
              <w:rPr>
                <w:spacing w:val="-10"/>
                <w:sz w:val="21"/>
                <w:szCs w:val="21"/>
              </w:rPr>
              <w:t>析，项目区或评价范围不涉</w:t>
            </w:r>
            <w:r>
              <w:rPr>
                <w:spacing w:val="6"/>
                <w:sz w:val="21"/>
                <w:szCs w:val="21"/>
              </w:rPr>
              <w:t xml:space="preserve"> </w:t>
            </w:r>
            <w:r>
              <w:rPr>
                <w:spacing w:val="1"/>
                <w:sz w:val="21"/>
                <w:szCs w:val="21"/>
              </w:rPr>
              <w:t>及上述生态敏感区。</w:t>
            </w:r>
          </w:p>
        </w:tc>
        <w:tc>
          <w:tcPr>
            <w:tcW w:w="729" w:type="dxa"/>
            <w:vAlign w:val="top"/>
          </w:tcPr>
          <w:p w14:paraId="59D6CA01">
            <w:pPr>
              <w:spacing w:line="245" w:lineRule="auto"/>
              <w:rPr>
                <w:rFonts w:ascii="Arial"/>
                <w:sz w:val="21"/>
              </w:rPr>
            </w:pPr>
          </w:p>
          <w:p w14:paraId="31E6FCA2">
            <w:pPr>
              <w:spacing w:line="245" w:lineRule="auto"/>
              <w:rPr>
                <w:rFonts w:ascii="Arial"/>
                <w:sz w:val="21"/>
              </w:rPr>
            </w:pPr>
          </w:p>
          <w:p w14:paraId="5882C4FC">
            <w:pPr>
              <w:spacing w:line="245" w:lineRule="auto"/>
              <w:rPr>
                <w:rFonts w:ascii="Arial"/>
                <w:sz w:val="21"/>
              </w:rPr>
            </w:pPr>
          </w:p>
          <w:p w14:paraId="76ED2CE8">
            <w:pPr>
              <w:spacing w:line="245" w:lineRule="auto"/>
              <w:rPr>
                <w:rFonts w:ascii="Arial"/>
                <w:sz w:val="21"/>
              </w:rPr>
            </w:pPr>
          </w:p>
          <w:p w14:paraId="225FC1F2">
            <w:pPr>
              <w:spacing w:line="245" w:lineRule="auto"/>
              <w:rPr>
                <w:rFonts w:ascii="Arial"/>
                <w:sz w:val="21"/>
              </w:rPr>
            </w:pPr>
          </w:p>
          <w:p w14:paraId="65CB8E26">
            <w:pPr>
              <w:spacing w:line="245" w:lineRule="auto"/>
              <w:rPr>
                <w:rFonts w:ascii="Arial"/>
                <w:sz w:val="21"/>
              </w:rPr>
            </w:pPr>
          </w:p>
          <w:p w14:paraId="2ED1441B">
            <w:pPr>
              <w:spacing w:line="245" w:lineRule="auto"/>
              <w:rPr>
                <w:rFonts w:ascii="Arial"/>
                <w:sz w:val="21"/>
              </w:rPr>
            </w:pPr>
          </w:p>
          <w:p w14:paraId="4F7C49D7">
            <w:pPr>
              <w:spacing w:line="246" w:lineRule="auto"/>
              <w:rPr>
                <w:rFonts w:ascii="Arial"/>
                <w:sz w:val="21"/>
              </w:rPr>
            </w:pPr>
          </w:p>
          <w:p w14:paraId="7480EC83">
            <w:pPr>
              <w:spacing w:line="246" w:lineRule="auto"/>
              <w:rPr>
                <w:rFonts w:ascii="Arial"/>
                <w:sz w:val="21"/>
              </w:rPr>
            </w:pPr>
          </w:p>
          <w:p w14:paraId="10D8B1C6">
            <w:pPr>
              <w:spacing w:line="246" w:lineRule="auto"/>
              <w:rPr>
                <w:rFonts w:ascii="Arial"/>
                <w:sz w:val="21"/>
              </w:rPr>
            </w:pPr>
          </w:p>
          <w:p w14:paraId="3DD3B2E8">
            <w:pPr>
              <w:spacing w:line="246" w:lineRule="auto"/>
              <w:rPr>
                <w:rFonts w:ascii="Arial"/>
                <w:sz w:val="21"/>
              </w:rPr>
            </w:pPr>
          </w:p>
          <w:p w14:paraId="1019EAE9">
            <w:pPr>
              <w:spacing w:line="246" w:lineRule="auto"/>
              <w:rPr>
                <w:rFonts w:ascii="Arial"/>
                <w:sz w:val="21"/>
              </w:rPr>
            </w:pPr>
          </w:p>
          <w:p w14:paraId="3F940181">
            <w:pPr>
              <w:pStyle w:val="6"/>
              <w:spacing w:before="69" w:line="220" w:lineRule="auto"/>
              <w:ind w:left="259"/>
              <w:rPr>
                <w:sz w:val="21"/>
                <w:szCs w:val="21"/>
              </w:rPr>
            </w:pPr>
            <w:r>
              <w:rPr>
                <w:sz w:val="21"/>
                <w:szCs w:val="21"/>
              </w:rPr>
              <w:t>否</w:t>
            </w:r>
          </w:p>
        </w:tc>
        <w:tc>
          <w:tcPr>
            <w:tcW w:w="115" w:type="dxa"/>
            <w:vMerge w:val="continue"/>
            <w:tcBorders>
              <w:top w:val="nil"/>
              <w:bottom w:val="nil"/>
            </w:tcBorders>
            <w:vAlign w:val="top"/>
          </w:tcPr>
          <w:p w14:paraId="18D03472">
            <w:pPr>
              <w:rPr>
                <w:rFonts w:ascii="Arial"/>
                <w:sz w:val="21"/>
              </w:rPr>
            </w:pPr>
          </w:p>
        </w:tc>
      </w:tr>
      <w:tr w14:paraId="45F0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613" w:type="dxa"/>
            <w:vMerge w:val="continue"/>
            <w:tcBorders>
              <w:top w:val="nil"/>
              <w:bottom w:val="nil"/>
            </w:tcBorders>
            <w:vAlign w:val="top"/>
          </w:tcPr>
          <w:p w14:paraId="46F86925">
            <w:pPr>
              <w:rPr>
                <w:rFonts w:ascii="Arial"/>
                <w:sz w:val="21"/>
              </w:rPr>
            </w:pPr>
          </w:p>
        </w:tc>
        <w:tc>
          <w:tcPr>
            <w:tcW w:w="899" w:type="dxa"/>
            <w:vAlign w:val="top"/>
          </w:tcPr>
          <w:p w14:paraId="3C20DD46">
            <w:pPr>
              <w:spacing w:line="257" w:lineRule="auto"/>
              <w:rPr>
                <w:rFonts w:ascii="Arial"/>
                <w:sz w:val="21"/>
              </w:rPr>
            </w:pPr>
          </w:p>
          <w:p w14:paraId="4E1DD31F">
            <w:pPr>
              <w:spacing w:line="258" w:lineRule="auto"/>
              <w:rPr>
                <w:rFonts w:ascii="Arial"/>
                <w:sz w:val="21"/>
              </w:rPr>
            </w:pPr>
          </w:p>
          <w:p w14:paraId="0F3518A1">
            <w:pPr>
              <w:pStyle w:val="6"/>
              <w:spacing w:before="69" w:line="220" w:lineRule="auto"/>
              <w:ind w:left="232"/>
              <w:rPr>
                <w:sz w:val="21"/>
                <w:szCs w:val="21"/>
              </w:rPr>
            </w:pPr>
            <w:r>
              <w:rPr>
                <w:spacing w:val="6"/>
                <w:sz w:val="21"/>
                <w:szCs w:val="21"/>
              </w:rPr>
              <w:t>大气</w:t>
            </w:r>
          </w:p>
        </w:tc>
        <w:tc>
          <w:tcPr>
            <w:tcW w:w="2937" w:type="dxa"/>
            <w:vAlign w:val="top"/>
          </w:tcPr>
          <w:p w14:paraId="0B5D3A07">
            <w:pPr>
              <w:pStyle w:val="6"/>
              <w:spacing w:before="45" w:line="242" w:lineRule="auto"/>
              <w:ind w:left="133" w:firstLine="9"/>
              <w:rPr>
                <w:sz w:val="21"/>
                <w:szCs w:val="21"/>
              </w:rPr>
            </w:pPr>
            <w:r>
              <w:rPr>
                <w:spacing w:val="4"/>
                <w:sz w:val="21"/>
                <w:szCs w:val="21"/>
              </w:rPr>
              <w:t>油气、液体化工码头：全部；</w:t>
            </w:r>
            <w:r>
              <w:rPr>
                <w:spacing w:val="1"/>
                <w:sz w:val="21"/>
                <w:szCs w:val="21"/>
              </w:rPr>
              <w:t xml:space="preserve"> </w:t>
            </w:r>
            <w:r>
              <w:rPr>
                <w:spacing w:val="-4"/>
                <w:sz w:val="21"/>
                <w:szCs w:val="21"/>
              </w:rPr>
              <w:t>干散货(含煤炭、矿石)、件</w:t>
            </w:r>
          </w:p>
          <w:p w14:paraId="2F2065DD">
            <w:pPr>
              <w:pStyle w:val="6"/>
              <w:spacing w:before="1" w:line="220" w:lineRule="auto"/>
              <w:ind w:left="133" w:right="50"/>
              <w:rPr>
                <w:sz w:val="21"/>
                <w:szCs w:val="21"/>
              </w:rPr>
            </w:pPr>
            <w:r>
              <w:rPr>
                <w:sz w:val="21"/>
                <w:szCs w:val="21"/>
              </w:rPr>
              <w:t>杂、多用途、通用码头：涉及</w:t>
            </w:r>
            <w:r>
              <w:rPr>
                <w:spacing w:val="10"/>
                <w:sz w:val="21"/>
                <w:szCs w:val="21"/>
              </w:rPr>
              <w:t xml:space="preserve"> </w:t>
            </w:r>
            <w:r>
              <w:rPr>
                <w:spacing w:val="1"/>
                <w:sz w:val="21"/>
                <w:szCs w:val="21"/>
              </w:rPr>
              <w:t>粉尘、挥发性有机物排放的项</w:t>
            </w:r>
            <w:r>
              <w:rPr>
                <w:sz w:val="21"/>
                <w:szCs w:val="21"/>
              </w:rPr>
              <w:t xml:space="preserve"> 目</w:t>
            </w:r>
          </w:p>
        </w:tc>
        <w:tc>
          <w:tcPr>
            <w:tcW w:w="2527" w:type="dxa"/>
            <w:vAlign w:val="top"/>
          </w:tcPr>
          <w:p w14:paraId="7F96D19B">
            <w:pPr>
              <w:spacing w:line="255" w:lineRule="auto"/>
              <w:rPr>
                <w:rFonts w:ascii="Arial"/>
                <w:sz w:val="21"/>
              </w:rPr>
            </w:pPr>
          </w:p>
          <w:p w14:paraId="2E3DA7D5">
            <w:pPr>
              <w:pStyle w:val="6"/>
              <w:spacing w:before="68" w:line="219" w:lineRule="auto"/>
              <w:jc w:val="right"/>
              <w:rPr>
                <w:sz w:val="21"/>
                <w:szCs w:val="21"/>
              </w:rPr>
            </w:pPr>
            <w:r>
              <w:rPr>
                <w:spacing w:val="-2"/>
                <w:sz w:val="21"/>
                <w:szCs w:val="21"/>
              </w:rPr>
              <w:t>本项目为光伏建设项目，不</w:t>
            </w:r>
          </w:p>
          <w:p w14:paraId="02F4F7A5">
            <w:pPr>
              <w:pStyle w:val="6"/>
              <w:spacing w:before="22" w:line="220" w:lineRule="auto"/>
              <w:ind w:left="106"/>
              <w:rPr>
                <w:sz w:val="21"/>
                <w:szCs w:val="21"/>
              </w:rPr>
            </w:pPr>
            <w:r>
              <w:rPr>
                <w:spacing w:val="1"/>
                <w:sz w:val="21"/>
                <w:szCs w:val="21"/>
              </w:rPr>
              <w:t>属于需设置大气专项的项</w:t>
            </w:r>
          </w:p>
          <w:p w14:paraId="0CD70FE1">
            <w:pPr>
              <w:pStyle w:val="6"/>
              <w:spacing w:before="9" w:line="219" w:lineRule="auto"/>
              <w:ind w:left="946"/>
              <w:rPr>
                <w:sz w:val="21"/>
                <w:szCs w:val="21"/>
              </w:rPr>
            </w:pPr>
            <w:r>
              <w:rPr>
                <w:spacing w:val="5"/>
                <w:sz w:val="21"/>
                <w:szCs w:val="21"/>
              </w:rPr>
              <w:t>目类别</w:t>
            </w:r>
          </w:p>
        </w:tc>
        <w:tc>
          <w:tcPr>
            <w:tcW w:w="729" w:type="dxa"/>
            <w:vAlign w:val="top"/>
          </w:tcPr>
          <w:p w14:paraId="5E9B0356">
            <w:pPr>
              <w:spacing w:line="257" w:lineRule="auto"/>
              <w:rPr>
                <w:rFonts w:ascii="Arial"/>
                <w:sz w:val="21"/>
              </w:rPr>
            </w:pPr>
          </w:p>
          <w:p w14:paraId="4D93EE64">
            <w:pPr>
              <w:spacing w:line="258" w:lineRule="auto"/>
              <w:rPr>
                <w:rFonts w:ascii="Arial"/>
                <w:sz w:val="21"/>
              </w:rPr>
            </w:pPr>
          </w:p>
          <w:p w14:paraId="59691AE6">
            <w:pPr>
              <w:pStyle w:val="6"/>
              <w:spacing w:before="69" w:line="220" w:lineRule="auto"/>
              <w:ind w:left="259"/>
              <w:rPr>
                <w:sz w:val="21"/>
                <w:szCs w:val="21"/>
              </w:rPr>
            </w:pPr>
            <w:r>
              <w:rPr>
                <w:sz w:val="21"/>
                <w:szCs w:val="21"/>
              </w:rPr>
              <w:t>否</w:t>
            </w:r>
          </w:p>
        </w:tc>
        <w:tc>
          <w:tcPr>
            <w:tcW w:w="115" w:type="dxa"/>
            <w:vMerge w:val="continue"/>
            <w:tcBorders>
              <w:top w:val="nil"/>
              <w:bottom w:val="nil"/>
            </w:tcBorders>
            <w:vAlign w:val="top"/>
          </w:tcPr>
          <w:p w14:paraId="394228A6">
            <w:pPr>
              <w:rPr>
                <w:rFonts w:ascii="Arial"/>
                <w:sz w:val="21"/>
              </w:rPr>
            </w:pPr>
          </w:p>
        </w:tc>
      </w:tr>
      <w:tr w14:paraId="050F6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1613" w:type="dxa"/>
            <w:vMerge w:val="continue"/>
            <w:tcBorders>
              <w:top w:val="nil"/>
              <w:bottom w:val="nil"/>
            </w:tcBorders>
            <w:vAlign w:val="top"/>
          </w:tcPr>
          <w:p w14:paraId="61DC4B30">
            <w:pPr>
              <w:rPr>
                <w:rFonts w:ascii="Arial"/>
                <w:sz w:val="21"/>
              </w:rPr>
            </w:pPr>
          </w:p>
        </w:tc>
        <w:tc>
          <w:tcPr>
            <w:tcW w:w="899" w:type="dxa"/>
            <w:vAlign w:val="top"/>
          </w:tcPr>
          <w:p w14:paraId="7BEFCE6A">
            <w:pPr>
              <w:spacing w:line="261" w:lineRule="auto"/>
              <w:rPr>
                <w:rFonts w:ascii="Arial"/>
                <w:sz w:val="21"/>
              </w:rPr>
            </w:pPr>
          </w:p>
          <w:p w14:paraId="1EE3F184">
            <w:pPr>
              <w:spacing w:line="262" w:lineRule="auto"/>
              <w:rPr>
                <w:rFonts w:ascii="Arial"/>
                <w:sz w:val="21"/>
              </w:rPr>
            </w:pPr>
          </w:p>
          <w:p w14:paraId="7EF48F6A">
            <w:pPr>
              <w:spacing w:line="262" w:lineRule="auto"/>
              <w:rPr>
                <w:rFonts w:ascii="Arial"/>
                <w:sz w:val="21"/>
              </w:rPr>
            </w:pPr>
          </w:p>
          <w:p w14:paraId="1A51E691">
            <w:pPr>
              <w:pStyle w:val="6"/>
              <w:spacing w:before="68" w:line="220" w:lineRule="auto"/>
              <w:ind w:left="232"/>
              <w:rPr>
                <w:sz w:val="21"/>
                <w:szCs w:val="21"/>
              </w:rPr>
            </w:pPr>
            <w:r>
              <w:rPr>
                <w:spacing w:val="6"/>
                <w:sz w:val="21"/>
                <w:szCs w:val="21"/>
              </w:rPr>
              <w:t>噪声</w:t>
            </w:r>
          </w:p>
        </w:tc>
        <w:tc>
          <w:tcPr>
            <w:tcW w:w="2937" w:type="dxa"/>
            <w:vAlign w:val="top"/>
          </w:tcPr>
          <w:p w14:paraId="329C6EAE">
            <w:pPr>
              <w:pStyle w:val="6"/>
              <w:spacing w:before="58" w:line="231" w:lineRule="auto"/>
              <w:ind w:left="133" w:firstLine="9"/>
              <w:rPr>
                <w:sz w:val="21"/>
                <w:szCs w:val="21"/>
              </w:rPr>
            </w:pPr>
            <w:r>
              <w:rPr>
                <w:spacing w:val="-4"/>
                <w:sz w:val="21"/>
                <w:szCs w:val="21"/>
              </w:rPr>
              <w:t>公路、铁路、机场等交通运输</w:t>
            </w:r>
            <w:r>
              <w:rPr>
                <w:spacing w:val="4"/>
                <w:sz w:val="21"/>
                <w:szCs w:val="21"/>
              </w:rPr>
              <w:t xml:space="preserve">  业涉及环境敏感区(以居住、  医疗卫生、文化教育、科研、</w:t>
            </w:r>
            <w:r>
              <w:rPr>
                <w:spacing w:val="10"/>
                <w:sz w:val="21"/>
                <w:szCs w:val="21"/>
              </w:rPr>
              <w:t xml:space="preserve"> </w:t>
            </w:r>
            <w:r>
              <w:rPr>
                <w:spacing w:val="-1"/>
                <w:sz w:val="21"/>
                <w:szCs w:val="21"/>
              </w:rPr>
              <w:t>行政办公为主要功能的区域)</w:t>
            </w:r>
            <w:r>
              <w:rPr>
                <w:spacing w:val="2"/>
                <w:sz w:val="21"/>
                <w:szCs w:val="21"/>
              </w:rPr>
              <w:t xml:space="preserve">  </w:t>
            </w:r>
            <w:r>
              <w:rPr>
                <w:spacing w:val="-3"/>
                <w:sz w:val="21"/>
                <w:szCs w:val="21"/>
              </w:rPr>
              <w:t>的项目；城市道路(不含维护，</w:t>
            </w:r>
            <w:r>
              <w:rPr>
                <w:sz w:val="21"/>
                <w:szCs w:val="21"/>
              </w:rPr>
              <w:t xml:space="preserve"> </w:t>
            </w:r>
            <w:r>
              <w:rPr>
                <w:spacing w:val="-4"/>
                <w:sz w:val="21"/>
                <w:szCs w:val="21"/>
              </w:rPr>
              <w:t>不含支路、人行天桥、人行地</w:t>
            </w:r>
            <w:r>
              <w:rPr>
                <w:sz w:val="21"/>
                <w:szCs w:val="21"/>
              </w:rPr>
              <w:t xml:space="preserve">  </w:t>
            </w:r>
            <w:r>
              <w:rPr>
                <w:spacing w:val="-14"/>
                <w:sz w:val="21"/>
                <w:szCs w:val="21"/>
              </w:rPr>
              <w:t>道</w:t>
            </w:r>
            <w:r>
              <w:rPr>
                <w:spacing w:val="-37"/>
                <w:sz w:val="21"/>
                <w:szCs w:val="21"/>
              </w:rPr>
              <w:t xml:space="preserve"> </w:t>
            </w:r>
            <w:r>
              <w:rPr>
                <w:spacing w:val="-14"/>
                <w:sz w:val="21"/>
                <w:szCs w:val="21"/>
              </w:rPr>
              <w:t>) :</w:t>
            </w:r>
            <w:r>
              <w:rPr>
                <w:spacing w:val="-38"/>
                <w:sz w:val="21"/>
                <w:szCs w:val="21"/>
              </w:rPr>
              <w:t xml:space="preserve"> </w:t>
            </w:r>
            <w:r>
              <w:rPr>
                <w:spacing w:val="-14"/>
                <w:sz w:val="21"/>
                <w:szCs w:val="21"/>
              </w:rPr>
              <w:t>全</w:t>
            </w:r>
            <w:r>
              <w:rPr>
                <w:spacing w:val="-36"/>
                <w:sz w:val="21"/>
                <w:szCs w:val="21"/>
              </w:rPr>
              <w:t xml:space="preserve"> </w:t>
            </w:r>
            <w:r>
              <w:rPr>
                <w:spacing w:val="-14"/>
                <w:sz w:val="21"/>
                <w:szCs w:val="21"/>
              </w:rPr>
              <w:t>部</w:t>
            </w:r>
          </w:p>
        </w:tc>
        <w:tc>
          <w:tcPr>
            <w:tcW w:w="2527" w:type="dxa"/>
            <w:vAlign w:val="top"/>
          </w:tcPr>
          <w:p w14:paraId="1F05B0E8">
            <w:pPr>
              <w:spacing w:line="267" w:lineRule="auto"/>
              <w:rPr>
                <w:rFonts w:ascii="Arial"/>
                <w:sz w:val="21"/>
              </w:rPr>
            </w:pPr>
          </w:p>
          <w:p w14:paraId="4D4B7EEC">
            <w:pPr>
              <w:spacing w:line="267" w:lineRule="auto"/>
              <w:rPr>
                <w:rFonts w:ascii="Arial"/>
                <w:sz w:val="21"/>
              </w:rPr>
            </w:pPr>
          </w:p>
          <w:p w14:paraId="266771CF">
            <w:pPr>
              <w:pStyle w:val="6"/>
              <w:spacing w:before="68" w:line="219" w:lineRule="auto"/>
              <w:jc w:val="right"/>
              <w:rPr>
                <w:sz w:val="21"/>
                <w:szCs w:val="21"/>
              </w:rPr>
            </w:pPr>
            <w:r>
              <w:rPr>
                <w:spacing w:val="-2"/>
                <w:sz w:val="21"/>
                <w:szCs w:val="21"/>
              </w:rPr>
              <w:t>本项目为光伏建设项目，不</w:t>
            </w:r>
          </w:p>
          <w:p w14:paraId="05420803">
            <w:pPr>
              <w:pStyle w:val="6"/>
              <w:spacing w:before="12" w:line="220" w:lineRule="auto"/>
              <w:ind w:left="106"/>
              <w:rPr>
                <w:sz w:val="21"/>
                <w:szCs w:val="21"/>
              </w:rPr>
            </w:pPr>
            <w:r>
              <w:rPr>
                <w:spacing w:val="1"/>
                <w:sz w:val="21"/>
                <w:szCs w:val="21"/>
              </w:rPr>
              <w:t>属于需设置噪声专项的项</w:t>
            </w:r>
          </w:p>
          <w:p w14:paraId="0D51977E">
            <w:pPr>
              <w:pStyle w:val="6"/>
              <w:spacing w:before="19" w:line="219" w:lineRule="auto"/>
              <w:ind w:left="946"/>
              <w:rPr>
                <w:sz w:val="21"/>
                <w:szCs w:val="21"/>
              </w:rPr>
            </w:pPr>
            <w:r>
              <w:rPr>
                <w:spacing w:val="5"/>
                <w:sz w:val="21"/>
                <w:szCs w:val="21"/>
              </w:rPr>
              <w:t>目类别</w:t>
            </w:r>
          </w:p>
        </w:tc>
        <w:tc>
          <w:tcPr>
            <w:tcW w:w="729" w:type="dxa"/>
            <w:vAlign w:val="top"/>
          </w:tcPr>
          <w:p w14:paraId="53A4FC12">
            <w:pPr>
              <w:spacing w:line="261" w:lineRule="auto"/>
              <w:rPr>
                <w:rFonts w:ascii="Arial"/>
                <w:sz w:val="21"/>
              </w:rPr>
            </w:pPr>
          </w:p>
          <w:p w14:paraId="0BBA999A">
            <w:pPr>
              <w:spacing w:line="262" w:lineRule="auto"/>
              <w:rPr>
                <w:rFonts w:ascii="Arial"/>
                <w:sz w:val="21"/>
              </w:rPr>
            </w:pPr>
          </w:p>
          <w:p w14:paraId="3BF7E8EC">
            <w:pPr>
              <w:spacing w:line="262" w:lineRule="auto"/>
              <w:rPr>
                <w:rFonts w:ascii="Arial"/>
                <w:sz w:val="21"/>
              </w:rPr>
            </w:pPr>
          </w:p>
          <w:p w14:paraId="5B48E536">
            <w:pPr>
              <w:pStyle w:val="6"/>
              <w:spacing w:before="68" w:line="220" w:lineRule="auto"/>
              <w:ind w:left="259"/>
              <w:rPr>
                <w:sz w:val="21"/>
                <w:szCs w:val="21"/>
              </w:rPr>
            </w:pPr>
            <w:r>
              <w:rPr>
                <w:sz w:val="21"/>
                <w:szCs w:val="21"/>
              </w:rPr>
              <w:t>否</w:t>
            </w:r>
          </w:p>
        </w:tc>
        <w:tc>
          <w:tcPr>
            <w:tcW w:w="115" w:type="dxa"/>
            <w:vMerge w:val="continue"/>
            <w:tcBorders>
              <w:top w:val="nil"/>
              <w:bottom w:val="nil"/>
            </w:tcBorders>
            <w:vAlign w:val="top"/>
          </w:tcPr>
          <w:p w14:paraId="1E181525">
            <w:pPr>
              <w:rPr>
                <w:rFonts w:ascii="Arial"/>
                <w:sz w:val="21"/>
              </w:rPr>
            </w:pPr>
          </w:p>
        </w:tc>
      </w:tr>
      <w:tr w14:paraId="62606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613" w:type="dxa"/>
            <w:vMerge w:val="continue"/>
            <w:tcBorders>
              <w:top w:val="nil"/>
            </w:tcBorders>
            <w:vAlign w:val="top"/>
          </w:tcPr>
          <w:p w14:paraId="6F05AABC">
            <w:pPr>
              <w:rPr>
                <w:rFonts w:ascii="Arial"/>
                <w:sz w:val="21"/>
              </w:rPr>
            </w:pPr>
          </w:p>
        </w:tc>
        <w:tc>
          <w:tcPr>
            <w:tcW w:w="899" w:type="dxa"/>
            <w:vAlign w:val="top"/>
          </w:tcPr>
          <w:p w14:paraId="5E45BEAC">
            <w:pPr>
              <w:pStyle w:val="6"/>
              <w:spacing w:before="40" w:line="189" w:lineRule="auto"/>
              <w:ind w:left="122"/>
              <w:rPr>
                <w:sz w:val="21"/>
                <w:szCs w:val="21"/>
              </w:rPr>
            </w:pPr>
            <w:r>
              <w:rPr>
                <w:spacing w:val="-2"/>
                <w:sz w:val="21"/>
                <w:szCs w:val="21"/>
              </w:rPr>
              <w:t>环境风</w:t>
            </w:r>
          </w:p>
        </w:tc>
        <w:tc>
          <w:tcPr>
            <w:tcW w:w="2937" w:type="dxa"/>
            <w:vAlign w:val="top"/>
          </w:tcPr>
          <w:p w14:paraId="5B6991AD">
            <w:pPr>
              <w:pStyle w:val="6"/>
              <w:spacing w:before="38" w:line="190" w:lineRule="auto"/>
              <w:ind w:left="143"/>
              <w:rPr>
                <w:sz w:val="21"/>
                <w:szCs w:val="21"/>
              </w:rPr>
            </w:pPr>
            <w:r>
              <w:rPr>
                <w:spacing w:val="8"/>
                <w:sz w:val="21"/>
                <w:szCs w:val="21"/>
              </w:rPr>
              <w:t>石油和天然气开采：全部；</w:t>
            </w:r>
          </w:p>
        </w:tc>
        <w:tc>
          <w:tcPr>
            <w:tcW w:w="2527" w:type="dxa"/>
            <w:vAlign w:val="top"/>
          </w:tcPr>
          <w:p w14:paraId="762ACC54">
            <w:pPr>
              <w:pStyle w:val="6"/>
              <w:spacing w:before="38" w:line="190" w:lineRule="auto"/>
              <w:jc w:val="right"/>
              <w:rPr>
                <w:sz w:val="21"/>
                <w:szCs w:val="21"/>
              </w:rPr>
            </w:pPr>
            <w:r>
              <w:rPr>
                <w:spacing w:val="-2"/>
                <w:sz w:val="21"/>
                <w:szCs w:val="21"/>
              </w:rPr>
              <w:t>本项目为光伏建设项目，不</w:t>
            </w:r>
          </w:p>
        </w:tc>
        <w:tc>
          <w:tcPr>
            <w:tcW w:w="729" w:type="dxa"/>
            <w:vAlign w:val="top"/>
          </w:tcPr>
          <w:p w14:paraId="7E3848C4">
            <w:pPr>
              <w:pStyle w:val="6"/>
              <w:spacing w:before="40" w:line="189" w:lineRule="auto"/>
              <w:ind w:left="259"/>
              <w:rPr>
                <w:sz w:val="21"/>
                <w:szCs w:val="21"/>
              </w:rPr>
            </w:pPr>
            <w:r>
              <w:rPr>
                <w:sz w:val="21"/>
                <w:szCs w:val="21"/>
              </w:rPr>
              <w:t>否</w:t>
            </w:r>
          </w:p>
        </w:tc>
        <w:tc>
          <w:tcPr>
            <w:tcW w:w="115" w:type="dxa"/>
            <w:vMerge w:val="continue"/>
            <w:tcBorders>
              <w:top w:val="nil"/>
            </w:tcBorders>
            <w:vAlign w:val="top"/>
          </w:tcPr>
          <w:p w14:paraId="16CC8676">
            <w:pPr>
              <w:rPr>
                <w:rFonts w:ascii="Arial"/>
                <w:sz w:val="21"/>
              </w:rPr>
            </w:pPr>
          </w:p>
        </w:tc>
      </w:tr>
    </w:tbl>
    <w:p w14:paraId="4A7D1E99">
      <w:pPr>
        <w:pStyle w:val="2"/>
      </w:pPr>
    </w:p>
    <w:p w14:paraId="7FC5A636">
      <w:pPr>
        <w:sectPr>
          <w:footerReference r:id="rId7" w:type="default"/>
          <w:pgSz w:w="11910" w:h="16840"/>
          <w:pgMar w:top="1431" w:right="1584" w:bottom="1253" w:left="1494" w:header="0" w:footer="1091" w:gutter="0"/>
          <w:cols w:space="720" w:num="1"/>
        </w:sectPr>
      </w:pPr>
    </w:p>
    <w:p w14:paraId="15C12795">
      <w:pPr>
        <w:spacing w:line="93" w:lineRule="exact"/>
      </w:pPr>
    </w:p>
    <w:tbl>
      <w:tblPr>
        <w:tblStyle w:val="5"/>
        <w:tblW w:w="88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3"/>
        <w:gridCol w:w="919"/>
        <w:gridCol w:w="2917"/>
        <w:gridCol w:w="2547"/>
        <w:gridCol w:w="719"/>
        <w:gridCol w:w="115"/>
      </w:tblGrid>
      <w:tr w14:paraId="0202A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1583" w:type="dxa"/>
            <w:vMerge w:val="restart"/>
            <w:tcBorders>
              <w:bottom w:val="nil"/>
            </w:tcBorders>
            <w:vAlign w:val="top"/>
          </w:tcPr>
          <w:p w14:paraId="2D864D2E">
            <w:pPr>
              <w:rPr>
                <w:rFonts w:ascii="Arial"/>
                <w:sz w:val="21"/>
              </w:rPr>
            </w:pPr>
          </w:p>
        </w:tc>
        <w:tc>
          <w:tcPr>
            <w:tcW w:w="919" w:type="dxa"/>
            <w:vAlign w:val="top"/>
          </w:tcPr>
          <w:p w14:paraId="79F0EEF2">
            <w:pPr>
              <w:pStyle w:val="6"/>
              <w:spacing w:before="35" w:line="220" w:lineRule="auto"/>
              <w:ind w:left="332"/>
              <w:rPr>
                <w:sz w:val="23"/>
                <w:szCs w:val="23"/>
              </w:rPr>
            </w:pPr>
            <w:r>
              <w:rPr>
                <w:sz w:val="23"/>
                <w:szCs w:val="23"/>
              </w:rPr>
              <w:t>险</w:t>
            </w:r>
          </w:p>
        </w:tc>
        <w:tc>
          <w:tcPr>
            <w:tcW w:w="2917" w:type="dxa"/>
            <w:vAlign w:val="top"/>
          </w:tcPr>
          <w:p w14:paraId="1D31368C">
            <w:pPr>
              <w:pStyle w:val="6"/>
              <w:spacing w:before="45" w:line="211" w:lineRule="auto"/>
              <w:ind w:left="13" w:firstLine="95"/>
              <w:jc w:val="both"/>
              <w:rPr>
                <w:sz w:val="23"/>
                <w:szCs w:val="23"/>
              </w:rPr>
            </w:pPr>
            <w:r>
              <w:rPr>
                <w:spacing w:val="-15"/>
                <w:sz w:val="23"/>
                <w:szCs w:val="23"/>
              </w:rPr>
              <w:t>油气、液体化工码头：全部；</w:t>
            </w:r>
            <w:r>
              <w:rPr>
                <w:spacing w:val="2"/>
                <w:sz w:val="23"/>
                <w:szCs w:val="23"/>
              </w:rPr>
              <w:t xml:space="preserve"> </w:t>
            </w:r>
            <w:r>
              <w:rPr>
                <w:spacing w:val="-24"/>
                <w:sz w:val="23"/>
                <w:szCs w:val="23"/>
              </w:rPr>
              <w:t>原油、成品油、天然气管线(不</w:t>
            </w:r>
            <w:r>
              <w:rPr>
                <w:spacing w:val="3"/>
                <w:sz w:val="23"/>
                <w:szCs w:val="23"/>
              </w:rPr>
              <w:t xml:space="preserve">  </w:t>
            </w:r>
            <w:r>
              <w:rPr>
                <w:spacing w:val="-4"/>
                <w:sz w:val="23"/>
                <w:szCs w:val="23"/>
              </w:rPr>
              <w:t>含城镇天然气管线、企业厂</w:t>
            </w:r>
            <w:r>
              <w:rPr>
                <w:sz w:val="23"/>
                <w:szCs w:val="23"/>
              </w:rPr>
              <w:t xml:space="preserve">  </w:t>
            </w:r>
            <w:r>
              <w:rPr>
                <w:spacing w:val="-4"/>
                <w:sz w:val="23"/>
                <w:szCs w:val="23"/>
              </w:rPr>
              <w:t>区内管线),危险化学品输送</w:t>
            </w:r>
            <w:r>
              <w:rPr>
                <w:sz w:val="23"/>
                <w:szCs w:val="23"/>
              </w:rPr>
              <w:t xml:space="preserve">  </w:t>
            </w:r>
            <w:r>
              <w:rPr>
                <w:spacing w:val="-6"/>
                <w:sz w:val="23"/>
                <w:szCs w:val="23"/>
              </w:rPr>
              <w:t>管线(不含企业厂区内管线):</w:t>
            </w:r>
            <w:r>
              <w:rPr>
                <w:sz w:val="23"/>
                <w:szCs w:val="23"/>
              </w:rPr>
              <w:t xml:space="preserve">  </w:t>
            </w:r>
            <w:r>
              <w:rPr>
                <w:spacing w:val="44"/>
                <w:sz w:val="23"/>
                <w:szCs w:val="23"/>
              </w:rPr>
              <w:t>全部</w:t>
            </w:r>
          </w:p>
        </w:tc>
        <w:tc>
          <w:tcPr>
            <w:tcW w:w="2547" w:type="dxa"/>
            <w:vAlign w:val="top"/>
          </w:tcPr>
          <w:p w14:paraId="26B944DA">
            <w:pPr>
              <w:pStyle w:val="6"/>
              <w:spacing w:before="45" w:line="226" w:lineRule="auto"/>
              <w:ind w:left="689" w:hanging="673"/>
              <w:rPr>
                <w:sz w:val="23"/>
                <w:szCs w:val="23"/>
              </w:rPr>
            </w:pPr>
            <w:r>
              <w:rPr>
                <w:spacing w:val="-1"/>
                <w:sz w:val="23"/>
                <w:szCs w:val="23"/>
              </w:rPr>
              <w:t>属于需设置环境风险专项</w:t>
            </w:r>
            <w:r>
              <w:rPr>
                <w:sz w:val="23"/>
                <w:szCs w:val="23"/>
              </w:rPr>
              <w:t xml:space="preserve"> </w:t>
            </w:r>
            <w:r>
              <w:rPr>
                <w:spacing w:val="1"/>
                <w:sz w:val="23"/>
                <w:szCs w:val="23"/>
              </w:rPr>
              <w:t>的项目类别</w:t>
            </w:r>
          </w:p>
        </w:tc>
        <w:tc>
          <w:tcPr>
            <w:tcW w:w="719" w:type="dxa"/>
            <w:vAlign w:val="top"/>
          </w:tcPr>
          <w:p w14:paraId="20A8A536">
            <w:pPr>
              <w:rPr>
                <w:rFonts w:ascii="Arial"/>
                <w:sz w:val="21"/>
              </w:rPr>
            </w:pPr>
          </w:p>
        </w:tc>
        <w:tc>
          <w:tcPr>
            <w:tcW w:w="115" w:type="dxa"/>
            <w:tcBorders>
              <w:bottom w:val="nil"/>
            </w:tcBorders>
            <w:vAlign w:val="top"/>
          </w:tcPr>
          <w:p w14:paraId="7421F011">
            <w:pPr>
              <w:rPr>
                <w:rFonts w:ascii="Arial"/>
                <w:sz w:val="21"/>
              </w:rPr>
            </w:pPr>
          </w:p>
        </w:tc>
      </w:tr>
      <w:tr w14:paraId="4686E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1583" w:type="dxa"/>
            <w:vMerge w:val="continue"/>
            <w:tcBorders>
              <w:top w:val="nil"/>
              <w:bottom w:val="nil"/>
            </w:tcBorders>
            <w:vAlign w:val="top"/>
          </w:tcPr>
          <w:p w14:paraId="71E3BB86">
            <w:pPr>
              <w:rPr>
                <w:rFonts w:ascii="Arial"/>
                <w:sz w:val="21"/>
              </w:rPr>
            </w:pPr>
          </w:p>
        </w:tc>
        <w:tc>
          <w:tcPr>
            <w:tcW w:w="919" w:type="dxa"/>
            <w:vAlign w:val="top"/>
          </w:tcPr>
          <w:p w14:paraId="45DB92F2">
            <w:pPr>
              <w:spacing w:line="262" w:lineRule="auto"/>
              <w:rPr>
                <w:rFonts w:ascii="Arial"/>
                <w:sz w:val="21"/>
              </w:rPr>
            </w:pPr>
          </w:p>
          <w:p w14:paraId="30C03C23">
            <w:pPr>
              <w:spacing w:line="263" w:lineRule="auto"/>
              <w:rPr>
                <w:rFonts w:ascii="Arial"/>
                <w:sz w:val="21"/>
              </w:rPr>
            </w:pPr>
          </w:p>
          <w:p w14:paraId="5DB449C5">
            <w:pPr>
              <w:pStyle w:val="6"/>
              <w:spacing w:before="75" w:line="226" w:lineRule="auto"/>
              <w:ind w:left="331" w:right="105" w:hanging="229"/>
              <w:rPr>
                <w:sz w:val="23"/>
                <w:szCs w:val="23"/>
              </w:rPr>
            </w:pPr>
            <w:r>
              <w:rPr>
                <w:spacing w:val="3"/>
                <w:sz w:val="23"/>
                <w:szCs w:val="23"/>
              </w:rPr>
              <w:t>电磁环</w:t>
            </w:r>
            <w:r>
              <w:rPr>
                <w:spacing w:val="1"/>
                <w:sz w:val="23"/>
                <w:szCs w:val="23"/>
              </w:rPr>
              <w:t xml:space="preserve"> </w:t>
            </w:r>
            <w:r>
              <w:rPr>
                <w:sz w:val="23"/>
                <w:szCs w:val="23"/>
              </w:rPr>
              <w:t>境</w:t>
            </w:r>
          </w:p>
        </w:tc>
        <w:tc>
          <w:tcPr>
            <w:tcW w:w="6183" w:type="dxa"/>
            <w:gridSpan w:val="3"/>
            <w:vAlign w:val="top"/>
          </w:tcPr>
          <w:p w14:paraId="70D40EFE">
            <w:pPr>
              <w:pStyle w:val="6"/>
              <w:spacing w:before="36" w:line="213" w:lineRule="auto"/>
              <w:ind w:left="33" w:firstLine="78"/>
              <w:jc w:val="both"/>
              <w:rPr>
                <w:sz w:val="23"/>
                <w:szCs w:val="23"/>
              </w:rPr>
            </w:pPr>
            <w:r>
              <w:rPr>
                <w:spacing w:val="-18"/>
                <w:sz w:val="23"/>
                <w:szCs w:val="23"/>
              </w:rPr>
              <w:t>根据《环境影响评价技术导则输变电》(HJ24-2020)及《电磁环境</w:t>
            </w:r>
            <w:r>
              <w:rPr>
                <w:spacing w:val="6"/>
                <w:sz w:val="23"/>
                <w:szCs w:val="23"/>
              </w:rPr>
              <w:t xml:space="preserve">  </w:t>
            </w:r>
            <w:r>
              <w:rPr>
                <w:spacing w:val="-3"/>
                <w:sz w:val="23"/>
                <w:szCs w:val="23"/>
              </w:rPr>
              <w:t>控制限值》(GB8702-2014),100kV及以下输变电电磁辐射属于</w:t>
            </w:r>
            <w:r>
              <w:rPr>
                <w:spacing w:val="6"/>
                <w:sz w:val="23"/>
                <w:szCs w:val="23"/>
              </w:rPr>
              <w:t xml:space="preserve">  </w:t>
            </w:r>
            <w:r>
              <w:rPr>
                <w:spacing w:val="-17"/>
                <w:sz w:val="23"/>
                <w:szCs w:val="23"/>
              </w:rPr>
              <w:t>豁免范围，故本项目最高35kV集电线路及光伏区属于豁</w:t>
            </w:r>
            <w:r>
              <w:rPr>
                <w:spacing w:val="-18"/>
                <w:sz w:val="23"/>
                <w:szCs w:val="23"/>
              </w:rPr>
              <w:t>免范围内。</w:t>
            </w:r>
            <w:r>
              <w:rPr>
                <w:sz w:val="23"/>
                <w:szCs w:val="23"/>
              </w:rPr>
              <w:t xml:space="preserve"> </w:t>
            </w:r>
            <w:r>
              <w:rPr>
                <w:spacing w:val="-13"/>
                <w:sz w:val="23"/>
                <w:szCs w:val="23"/>
              </w:rPr>
              <w:t>本项目拟建升压站电压等级为220kV,根据《环境影响评价技术导</w:t>
            </w:r>
            <w:r>
              <w:rPr>
                <w:spacing w:val="1"/>
                <w:sz w:val="23"/>
                <w:szCs w:val="23"/>
              </w:rPr>
              <w:t xml:space="preserve">  </w:t>
            </w:r>
            <w:r>
              <w:rPr>
                <w:spacing w:val="-15"/>
                <w:sz w:val="23"/>
                <w:szCs w:val="23"/>
              </w:rPr>
              <w:t>则输变电》(HJ24-2020)的相关要求，需对</w:t>
            </w:r>
            <w:r>
              <w:rPr>
                <w:spacing w:val="-16"/>
                <w:sz w:val="23"/>
                <w:szCs w:val="23"/>
              </w:rPr>
              <w:t>升压站开展“电磁环境</w:t>
            </w:r>
            <w:r>
              <w:rPr>
                <w:sz w:val="23"/>
                <w:szCs w:val="23"/>
              </w:rPr>
              <w:t xml:space="preserve">  </w:t>
            </w:r>
            <w:r>
              <w:rPr>
                <w:spacing w:val="2"/>
                <w:sz w:val="23"/>
                <w:szCs w:val="23"/>
              </w:rPr>
              <w:t>影响专项评价”,具体详见专题一。</w:t>
            </w:r>
          </w:p>
        </w:tc>
        <w:tc>
          <w:tcPr>
            <w:tcW w:w="115" w:type="dxa"/>
            <w:tcBorders>
              <w:top w:val="nil"/>
            </w:tcBorders>
            <w:vAlign w:val="top"/>
          </w:tcPr>
          <w:p w14:paraId="48A1ADE0">
            <w:pPr>
              <w:rPr>
                <w:rFonts w:ascii="Arial"/>
                <w:sz w:val="21"/>
              </w:rPr>
            </w:pPr>
          </w:p>
        </w:tc>
      </w:tr>
      <w:tr w14:paraId="103FA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1583" w:type="dxa"/>
            <w:vMerge w:val="continue"/>
            <w:tcBorders>
              <w:top w:val="nil"/>
            </w:tcBorders>
            <w:vAlign w:val="top"/>
          </w:tcPr>
          <w:p w14:paraId="076F4C4F">
            <w:pPr>
              <w:rPr>
                <w:rFonts w:ascii="Arial"/>
                <w:sz w:val="21"/>
              </w:rPr>
            </w:pPr>
          </w:p>
        </w:tc>
        <w:tc>
          <w:tcPr>
            <w:tcW w:w="7217" w:type="dxa"/>
            <w:gridSpan w:val="5"/>
            <w:vAlign w:val="top"/>
          </w:tcPr>
          <w:p w14:paraId="00110711">
            <w:pPr>
              <w:pStyle w:val="6"/>
              <w:spacing w:before="60" w:line="310" w:lineRule="auto"/>
              <w:ind w:left="12"/>
              <w:jc w:val="both"/>
              <w:rPr>
                <w:sz w:val="23"/>
                <w:szCs w:val="23"/>
              </w:rPr>
            </w:pPr>
            <w:r>
              <w:rPr>
                <w:spacing w:val="-18"/>
                <w:sz w:val="23"/>
                <w:szCs w:val="23"/>
              </w:rPr>
              <w:t>注：“涉及环</w:t>
            </w:r>
            <w:r>
              <w:rPr>
                <w:spacing w:val="-17"/>
                <w:sz w:val="23"/>
                <w:szCs w:val="23"/>
              </w:rPr>
              <w:t>境敏感区”是指建设项目位于、穿</w:t>
            </w:r>
            <w:r>
              <w:rPr>
                <w:spacing w:val="-18"/>
                <w:sz w:val="23"/>
                <w:szCs w:val="23"/>
              </w:rPr>
              <w:t>(跨)越(无害化通过的除外)</w:t>
            </w:r>
            <w:r>
              <w:rPr>
                <w:spacing w:val="-12"/>
                <w:sz w:val="23"/>
                <w:szCs w:val="23"/>
              </w:rPr>
              <w:t>环</w:t>
            </w:r>
            <w:r>
              <w:rPr>
                <w:sz w:val="23"/>
                <w:szCs w:val="23"/>
              </w:rPr>
              <w:t xml:space="preserve"> </w:t>
            </w:r>
            <w:r>
              <w:rPr>
                <w:spacing w:val="-26"/>
                <w:sz w:val="23"/>
                <w:szCs w:val="23"/>
              </w:rPr>
              <w:t>境敏感区，或环境影响范围涵</w:t>
            </w:r>
            <w:r>
              <w:rPr>
                <w:spacing w:val="-25"/>
                <w:sz w:val="23"/>
                <w:szCs w:val="23"/>
              </w:rPr>
              <w:t>盖环境敏感区。环境敏感区是指《建设项目环境</w:t>
            </w:r>
            <w:r>
              <w:rPr>
                <w:spacing w:val="-12"/>
                <w:sz w:val="23"/>
                <w:szCs w:val="23"/>
              </w:rPr>
              <w:t>影</w:t>
            </w:r>
            <w:r>
              <w:rPr>
                <w:spacing w:val="16"/>
                <w:sz w:val="23"/>
                <w:szCs w:val="23"/>
              </w:rPr>
              <w:t xml:space="preserve"> </w:t>
            </w:r>
            <w:r>
              <w:rPr>
                <w:spacing w:val="-1"/>
                <w:sz w:val="23"/>
                <w:szCs w:val="23"/>
              </w:rPr>
              <w:t>响评价分类管理名录》中针对该类项目所列的敏感区。</w:t>
            </w:r>
          </w:p>
        </w:tc>
      </w:tr>
      <w:tr w14:paraId="5234E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6" w:hRule="atLeast"/>
        </w:trPr>
        <w:tc>
          <w:tcPr>
            <w:tcW w:w="1583" w:type="dxa"/>
            <w:vAlign w:val="top"/>
          </w:tcPr>
          <w:p w14:paraId="6A164AB7">
            <w:pPr>
              <w:spacing w:line="262" w:lineRule="auto"/>
              <w:rPr>
                <w:rFonts w:ascii="Arial"/>
                <w:sz w:val="21"/>
              </w:rPr>
            </w:pPr>
          </w:p>
          <w:p w14:paraId="195E5F8A">
            <w:pPr>
              <w:spacing w:line="262" w:lineRule="auto"/>
              <w:rPr>
                <w:rFonts w:ascii="Arial"/>
                <w:sz w:val="21"/>
              </w:rPr>
            </w:pPr>
          </w:p>
          <w:p w14:paraId="52040468">
            <w:pPr>
              <w:spacing w:line="262" w:lineRule="auto"/>
              <w:rPr>
                <w:rFonts w:ascii="Arial"/>
                <w:sz w:val="21"/>
              </w:rPr>
            </w:pPr>
          </w:p>
          <w:p w14:paraId="16D008B6">
            <w:pPr>
              <w:spacing w:line="262" w:lineRule="auto"/>
              <w:rPr>
                <w:rFonts w:ascii="Arial"/>
                <w:sz w:val="21"/>
              </w:rPr>
            </w:pPr>
          </w:p>
          <w:p w14:paraId="56427788">
            <w:pPr>
              <w:spacing w:line="262" w:lineRule="auto"/>
              <w:rPr>
                <w:rFonts w:ascii="Arial"/>
                <w:sz w:val="21"/>
              </w:rPr>
            </w:pPr>
          </w:p>
          <w:p w14:paraId="08FEE52A">
            <w:pPr>
              <w:spacing w:line="262" w:lineRule="auto"/>
              <w:rPr>
                <w:rFonts w:ascii="Arial"/>
                <w:sz w:val="21"/>
              </w:rPr>
            </w:pPr>
          </w:p>
          <w:p w14:paraId="7CE9E489">
            <w:pPr>
              <w:spacing w:line="262" w:lineRule="auto"/>
              <w:rPr>
                <w:rFonts w:ascii="Arial"/>
                <w:sz w:val="21"/>
              </w:rPr>
            </w:pPr>
          </w:p>
          <w:p w14:paraId="58CAF057">
            <w:pPr>
              <w:spacing w:line="263" w:lineRule="auto"/>
              <w:rPr>
                <w:rFonts w:ascii="Arial"/>
                <w:sz w:val="21"/>
              </w:rPr>
            </w:pPr>
          </w:p>
          <w:p w14:paraId="6F11DDD8">
            <w:pPr>
              <w:spacing w:line="263" w:lineRule="auto"/>
              <w:rPr>
                <w:rFonts w:ascii="Arial"/>
                <w:sz w:val="21"/>
              </w:rPr>
            </w:pPr>
          </w:p>
          <w:p w14:paraId="4552A26E">
            <w:pPr>
              <w:spacing w:line="263" w:lineRule="auto"/>
              <w:rPr>
                <w:rFonts w:ascii="Arial"/>
                <w:sz w:val="21"/>
              </w:rPr>
            </w:pPr>
          </w:p>
          <w:p w14:paraId="46BBFEEC">
            <w:pPr>
              <w:pStyle w:val="6"/>
              <w:spacing w:before="74" w:line="220" w:lineRule="auto"/>
              <w:ind w:left="325"/>
              <w:rPr>
                <w:sz w:val="23"/>
                <w:szCs w:val="23"/>
              </w:rPr>
            </w:pPr>
            <w:r>
              <w:rPr>
                <w:spacing w:val="-2"/>
                <w:sz w:val="23"/>
                <w:szCs w:val="23"/>
              </w:rPr>
              <w:t>规划情况</w:t>
            </w:r>
          </w:p>
        </w:tc>
        <w:tc>
          <w:tcPr>
            <w:tcW w:w="7217" w:type="dxa"/>
            <w:gridSpan w:val="5"/>
            <w:vAlign w:val="top"/>
          </w:tcPr>
          <w:p w14:paraId="2D330A3C">
            <w:pPr>
              <w:pStyle w:val="6"/>
              <w:spacing w:before="50" w:line="219" w:lineRule="auto"/>
              <w:ind w:left="465"/>
              <w:rPr>
                <w:sz w:val="23"/>
                <w:szCs w:val="23"/>
              </w:rPr>
            </w:pPr>
            <w:r>
              <w:rPr>
                <w:b/>
                <w:bCs/>
                <w:spacing w:val="-3"/>
                <w:sz w:val="23"/>
                <w:szCs w:val="23"/>
              </w:rPr>
              <w:t>1、《云南省2023年第一批新能源项目开发建设方案》</w:t>
            </w:r>
          </w:p>
          <w:p w14:paraId="6A7D0A98">
            <w:pPr>
              <w:pStyle w:val="6"/>
              <w:spacing w:before="220" w:line="219" w:lineRule="auto"/>
              <w:ind w:left="452"/>
              <w:rPr>
                <w:sz w:val="23"/>
                <w:szCs w:val="23"/>
              </w:rPr>
            </w:pPr>
            <w:r>
              <w:rPr>
                <w:spacing w:val="-1"/>
                <w:sz w:val="23"/>
                <w:szCs w:val="23"/>
              </w:rPr>
              <w:t>规划名称：《云南省2023年第一批新能源项目开发建设方案》</w:t>
            </w:r>
          </w:p>
          <w:p w14:paraId="309475F0">
            <w:pPr>
              <w:pStyle w:val="6"/>
              <w:spacing w:before="175" w:line="219" w:lineRule="auto"/>
              <w:ind w:left="442"/>
              <w:rPr>
                <w:sz w:val="23"/>
                <w:szCs w:val="23"/>
              </w:rPr>
            </w:pPr>
            <w:r>
              <w:rPr>
                <w:sz w:val="23"/>
                <w:szCs w:val="23"/>
              </w:rPr>
              <w:t>审批文件名：云南省发展和改革委员会云南省能源局关于印发云</w:t>
            </w:r>
          </w:p>
          <w:p w14:paraId="4C73D140">
            <w:pPr>
              <w:pStyle w:val="6"/>
              <w:spacing w:before="199" w:line="371" w:lineRule="auto"/>
              <w:ind w:left="471" w:right="2930" w:hanging="459"/>
              <w:rPr>
                <w:sz w:val="23"/>
                <w:szCs w:val="23"/>
              </w:rPr>
            </w:pPr>
            <w:r>
              <w:rPr>
                <w:sz w:val="23"/>
                <w:szCs w:val="23"/>
              </w:rPr>
              <w:t>南省2023年第一批新能源建设方案的通知</w:t>
            </w:r>
            <w:r>
              <w:rPr>
                <w:spacing w:val="8"/>
                <w:sz w:val="23"/>
                <w:szCs w:val="23"/>
              </w:rPr>
              <w:t xml:space="preserve">  </w:t>
            </w:r>
            <w:r>
              <w:rPr>
                <w:sz w:val="23"/>
                <w:szCs w:val="23"/>
              </w:rPr>
              <w:t>审批文号：云能源水电〔2023〕170号</w:t>
            </w:r>
          </w:p>
          <w:p w14:paraId="61975B5E">
            <w:pPr>
              <w:pStyle w:val="6"/>
              <w:spacing w:line="219" w:lineRule="auto"/>
              <w:ind w:left="445"/>
              <w:rPr>
                <w:sz w:val="23"/>
                <w:szCs w:val="23"/>
              </w:rPr>
            </w:pPr>
            <w:r>
              <w:rPr>
                <w:b/>
                <w:bCs/>
                <w:spacing w:val="-1"/>
                <w:sz w:val="23"/>
                <w:szCs w:val="23"/>
              </w:rPr>
              <w:t>2、曲靖市新能源开发建设三年行动计划(2022-2024年)</w:t>
            </w:r>
          </w:p>
          <w:p w14:paraId="3D0C8457">
            <w:pPr>
              <w:pStyle w:val="6"/>
              <w:spacing w:before="210" w:line="372" w:lineRule="auto"/>
              <w:ind w:left="12" w:right="537" w:firstLine="439"/>
              <w:rPr>
                <w:sz w:val="23"/>
                <w:szCs w:val="23"/>
              </w:rPr>
            </w:pPr>
            <w:r>
              <w:rPr>
                <w:spacing w:val="-3"/>
                <w:sz w:val="23"/>
                <w:szCs w:val="23"/>
              </w:rPr>
              <w:t>规划名称：《曲靖市新能源开发建设三年行</w:t>
            </w:r>
            <w:r>
              <w:rPr>
                <w:spacing w:val="-4"/>
                <w:sz w:val="23"/>
                <w:szCs w:val="23"/>
              </w:rPr>
              <w:t>动计划(2022—2024</w:t>
            </w:r>
            <w:r>
              <w:rPr>
                <w:sz w:val="23"/>
                <w:szCs w:val="23"/>
              </w:rPr>
              <w:t xml:space="preserve"> </w:t>
            </w:r>
            <w:r>
              <w:rPr>
                <w:spacing w:val="-3"/>
                <w:sz w:val="23"/>
                <w:szCs w:val="23"/>
              </w:rPr>
              <w:t>年)的通知》</w:t>
            </w:r>
          </w:p>
          <w:p w14:paraId="619EDA24">
            <w:pPr>
              <w:pStyle w:val="6"/>
              <w:spacing w:before="3" w:line="219" w:lineRule="auto"/>
              <w:ind w:left="492"/>
              <w:rPr>
                <w:sz w:val="23"/>
                <w:szCs w:val="23"/>
              </w:rPr>
            </w:pPr>
            <w:r>
              <w:rPr>
                <w:sz w:val="23"/>
                <w:szCs w:val="23"/>
              </w:rPr>
              <w:t>审批机关：曲靖市人民政府</w:t>
            </w:r>
          </w:p>
          <w:p w14:paraId="67F97F82">
            <w:pPr>
              <w:pStyle w:val="6"/>
              <w:spacing w:before="187" w:line="378" w:lineRule="auto"/>
              <w:ind w:left="12" w:right="315" w:firstLine="429"/>
              <w:rPr>
                <w:sz w:val="23"/>
                <w:szCs w:val="23"/>
              </w:rPr>
            </w:pPr>
            <w:r>
              <w:rPr>
                <w:sz w:val="23"/>
                <w:szCs w:val="23"/>
              </w:rPr>
              <w:t>审批文件名：曲靖市人民政府关于印发曲靖市新能源开发建设三</w:t>
            </w:r>
            <w:r>
              <w:rPr>
                <w:spacing w:val="7"/>
                <w:sz w:val="23"/>
                <w:szCs w:val="23"/>
              </w:rPr>
              <w:t xml:space="preserve"> </w:t>
            </w:r>
            <w:r>
              <w:rPr>
                <w:spacing w:val="-5"/>
                <w:sz w:val="23"/>
                <w:szCs w:val="23"/>
              </w:rPr>
              <w:t>年行动计划(2022—2024年)的通知</w:t>
            </w:r>
          </w:p>
          <w:p w14:paraId="057C9314">
            <w:pPr>
              <w:pStyle w:val="6"/>
              <w:spacing w:line="220" w:lineRule="auto"/>
              <w:ind w:left="482"/>
              <w:rPr>
                <w:sz w:val="23"/>
                <w:szCs w:val="23"/>
              </w:rPr>
            </w:pPr>
            <w:r>
              <w:rPr>
                <w:sz w:val="23"/>
                <w:szCs w:val="23"/>
              </w:rPr>
              <w:t>审批文号：曲政发【2022】20号</w:t>
            </w:r>
          </w:p>
        </w:tc>
      </w:tr>
      <w:tr w14:paraId="7E283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583" w:type="dxa"/>
            <w:vAlign w:val="top"/>
          </w:tcPr>
          <w:p w14:paraId="20A65514">
            <w:pPr>
              <w:pStyle w:val="6"/>
              <w:spacing w:before="198" w:line="256" w:lineRule="auto"/>
              <w:ind w:left="324" w:right="79" w:hanging="229"/>
              <w:rPr>
                <w:sz w:val="23"/>
                <w:szCs w:val="23"/>
              </w:rPr>
            </w:pPr>
            <w:r>
              <w:rPr>
                <w:spacing w:val="3"/>
                <w:sz w:val="23"/>
                <w:szCs w:val="23"/>
              </w:rPr>
              <w:t>规划环境影响</w:t>
            </w:r>
            <w:r>
              <w:rPr>
                <w:sz w:val="23"/>
                <w:szCs w:val="23"/>
              </w:rPr>
              <w:t xml:space="preserve"> </w:t>
            </w:r>
            <w:r>
              <w:rPr>
                <w:spacing w:val="-2"/>
                <w:sz w:val="23"/>
                <w:szCs w:val="23"/>
              </w:rPr>
              <w:t>评价情况</w:t>
            </w:r>
          </w:p>
        </w:tc>
        <w:tc>
          <w:tcPr>
            <w:tcW w:w="7217" w:type="dxa"/>
            <w:gridSpan w:val="5"/>
            <w:vAlign w:val="top"/>
          </w:tcPr>
          <w:p w14:paraId="54791E0F">
            <w:pPr>
              <w:spacing w:line="271" w:lineRule="auto"/>
              <w:rPr>
                <w:rFonts w:ascii="Arial"/>
                <w:sz w:val="21"/>
              </w:rPr>
            </w:pPr>
          </w:p>
          <w:p w14:paraId="46530AC3">
            <w:pPr>
              <w:pStyle w:val="6"/>
              <w:spacing w:before="75" w:line="220" w:lineRule="auto"/>
              <w:ind w:left="3472"/>
              <w:rPr>
                <w:sz w:val="23"/>
                <w:szCs w:val="23"/>
              </w:rPr>
            </w:pPr>
            <w:r>
              <w:rPr>
                <w:sz w:val="23"/>
                <w:szCs w:val="23"/>
              </w:rPr>
              <w:t>无</w:t>
            </w:r>
          </w:p>
        </w:tc>
      </w:tr>
      <w:tr w14:paraId="6AF88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3" w:hRule="atLeast"/>
        </w:trPr>
        <w:tc>
          <w:tcPr>
            <w:tcW w:w="1583" w:type="dxa"/>
            <w:vAlign w:val="top"/>
          </w:tcPr>
          <w:p w14:paraId="361BDBE2">
            <w:pPr>
              <w:spacing w:line="346" w:lineRule="auto"/>
              <w:rPr>
                <w:rFonts w:ascii="Arial"/>
                <w:sz w:val="21"/>
              </w:rPr>
            </w:pPr>
          </w:p>
          <w:p w14:paraId="1C860039">
            <w:pPr>
              <w:spacing w:line="346" w:lineRule="auto"/>
              <w:rPr>
                <w:rFonts w:ascii="Arial"/>
                <w:sz w:val="21"/>
              </w:rPr>
            </w:pPr>
          </w:p>
          <w:p w14:paraId="2FBB9121">
            <w:pPr>
              <w:pStyle w:val="6"/>
              <w:spacing w:before="75" w:line="221" w:lineRule="auto"/>
              <w:ind w:left="95"/>
              <w:rPr>
                <w:sz w:val="23"/>
                <w:szCs w:val="23"/>
              </w:rPr>
            </w:pPr>
            <w:r>
              <w:rPr>
                <w:spacing w:val="1"/>
                <w:sz w:val="23"/>
                <w:szCs w:val="23"/>
              </w:rPr>
              <w:t>规划及规划环</w:t>
            </w:r>
          </w:p>
          <w:p w14:paraId="77FBE4A7">
            <w:pPr>
              <w:pStyle w:val="6"/>
              <w:spacing w:before="39" w:line="218" w:lineRule="auto"/>
              <w:ind w:left="95"/>
              <w:rPr>
                <w:sz w:val="23"/>
                <w:szCs w:val="23"/>
              </w:rPr>
            </w:pPr>
            <w:r>
              <w:rPr>
                <w:spacing w:val="-2"/>
                <w:sz w:val="23"/>
                <w:szCs w:val="23"/>
              </w:rPr>
              <w:t>境影响评价符</w:t>
            </w:r>
          </w:p>
          <w:p w14:paraId="537A05C3">
            <w:pPr>
              <w:pStyle w:val="6"/>
              <w:spacing w:before="41" w:line="220" w:lineRule="auto"/>
              <w:ind w:left="325"/>
              <w:rPr>
                <w:sz w:val="23"/>
                <w:szCs w:val="23"/>
              </w:rPr>
            </w:pPr>
            <w:r>
              <w:rPr>
                <w:spacing w:val="-2"/>
                <w:sz w:val="23"/>
                <w:szCs w:val="23"/>
              </w:rPr>
              <w:t>合性分析</w:t>
            </w:r>
          </w:p>
        </w:tc>
        <w:tc>
          <w:tcPr>
            <w:tcW w:w="7217" w:type="dxa"/>
            <w:gridSpan w:val="5"/>
            <w:vAlign w:val="top"/>
          </w:tcPr>
          <w:p w14:paraId="63112F0D">
            <w:pPr>
              <w:pStyle w:val="6"/>
              <w:spacing w:before="65" w:line="378" w:lineRule="auto"/>
              <w:ind w:left="15" w:right="373" w:firstLine="499"/>
              <w:rPr>
                <w:sz w:val="23"/>
                <w:szCs w:val="23"/>
              </w:rPr>
            </w:pPr>
            <w:r>
              <w:rPr>
                <w:b/>
                <w:bCs/>
                <w:spacing w:val="-3"/>
                <w:sz w:val="23"/>
                <w:szCs w:val="23"/>
              </w:rPr>
              <w:t>1、与《云南省2023年第一批新能源项目开发建设方案的通知》</w:t>
            </w:r>
            <w:r>
              <w:rPr>
                <w:spacing w:val="10"/>
                <w:sz w:val="23"/>
                <w:szCs w:val="23"/>
              </w:rPr>
              <w:t xml:space="preserve"> </w:t>
            </w:r>
            <w:r>
              <w:rPr>
                <w:b/>
                <w:bCs/>
                <w:spacing w:val="-2"/>
                <w:sz w:val="23"/>
                <w:szCs w:val="23"/>
              </w:rPr>
              <w:t>的符合性分析</w:t>
            </w:r>
          </w:p>
          <w:p w14:paraId="33A5A326">
            <w:pPr>
              <w:pStyle w:val="6"/>
              <w:spacing w:line="371" w:lineRule="auto"/>
              <w:ind w:left="12" w:firstLine="469"/>
              <w:rPr>
                <w:sz w:val="23"/>
                <w:szCs w:val="23"/>
              </w:rPr>
            </w:pPr>
            <w:r>
              <w:rPr>
                <w:spacing w:val="39"/>
                <w:sz w:val="23"/>
                <w:szCs w:val="23"/>
              </w:rPr>
              <w:t>2023年6月13日，云南省发展和改革委员会、云南</w:t>
            </w:r>
            <w:r>
              <w:rPr>
                <w:spacing w:val="38"/>
                <w:sz w:val="23"/>
                <w:szCs w:val="23"/>
              </w:rPr>
              <w:t>省能源</w:t>
            </w:r>
            <w:r>
              <w:rPr>
                <w:sz w:val="23"/>
                <w:szCs w:val="23"/>
              </w:rPr>
              <w:t xml:space="preserve"> 局联合发布了《云南省2023年第一批新能源项目开发建设方案的通</w:t>
            </w:r>
          </w:p>
          <w:p w14:paraId="0F96D9FA">
            <w:pPr>
              <w:pStyle w:val="6"/>
              <w:spacing w:before="3" w:line="216" w:lineRule="auto"/>
              <w:ind w:left="12"/>
              <w:rPr>
                <w:sz w:val="23"/>
                <w:szCs w:val="23"/>
              </w:rPr>
            </w:pPr>
            <w:r>
              <w:rPr>
                <w:sz w:val="23"/>
                <w:szCs w:val="23"/>
              </w:rPr>
              <w:t>知》(云能源水电〔2023〕170号),本项目为云南省2023年第一批</w:t>
            </w:r>
          </w:p>
        </w:tc>
      </w:tr>
    </w:tbl>
    <w:p w14:paraId="2E5B113C">
      <w:pPr>
        <w:pStyle w:val="2"/>
      </w:pPr>
    </w:p>
    <w:p w14:paraId="0FF78756">
      <w:pPr>
        <w:sectPr>
          <w:footerReference r:id="rId8" w:type="default"/>
          <w:pgSz w:w="11910" w:h="16840"/>
          <w:pgMar w:top="1431" w:right="1604" w:bottom="1255" w:left="1494" w:header="0" w:footer="1093" w:gutter="0"/>
          <w:cols w:space="720" w:num="1"/>
        </w:sectPr>
      </w:pPr>
    </w:p>
    <w:p w14:paraId="1B26E08D">
      <w:pPr>
        <w:spacing w:line="93" w:lineRule="exact"/>
      </w:pPr>
    </w:p>
    <w:tbl>
      <w:tblPr>
        <w:tblStyle w:val="5"/>
        <w:tblW w:w="88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7279"/>
      </w:tblGrid>
      <w:tr w14:paraId="132DF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7" w:hRule="atLeast"/>
        </w:trPr>
        <w:tc>
          <w:tcPr>
            <w:tcW w:w="1563" w:type="dxa"/>
            <w:vAlign w:val="top"/>
          </w:tcPr>
          <w:p w14:paraId="70664CEB">
            <w:pPr>
              <w:rPr>
                <w:rFonts w:ascii="Arial"/>
                <w:sz w:val="21"/>
              </w:rPr>
            </w:pPr>
          </w:p>
        </w:tc>
        <w:tc>
          <w:tcPr>
            <w:tcW w:w="7279" w:type="dxa"/>
            <w:vAlign w:val="top"/>
          </w:tcPr>
          <w:p w14:paraId="6454FF54">
            <w:pPr>
              <w:pStyle w:val="6"/>
              <w:spacing w:before="35" w:line="355" w:lineRule="auto"/>
              <w:ind w:left="12"/>
              <w:jc w:val="both"/>
            </w:pPr>
            <w:r>
              <w:rPr>
                <w:spacing w:val="-6"/>
              </w:rPr>
              <w:t>新能源项目建设清单中的项目，序号为“34几沃梁子农光互补光伏发电</w:t>
            </w:r>
            <w:r>
              <w:rPr>
                <w:spacing w:val="7"/>
              </w:rPr>
              <w:t xml:space="preserve"> </w:t>
            </w:r>
            <w:r>
              <w:t>项目”。项目建设符合《云南省2023年第一批新能源项目开发建设方</w:t>
            </w:r>
            <w:r>
              <w:rPr>
                <w:spacing w:val="1"/>
              </w:rPr>
              <w:t xml:space="preserve"> </w:t>
            </w:r>
            <w:r>
              <w:rPr>
                <w:spacing w:val="-1"/>
              </w:rPr>
              <w:t>案的通知》(云能源水电〔2023〕170号)。</w:t>
            </w:r>
          </w:p>
          <w:p w14:paraId="6B05C930">
            <w:pPr>
              <w:pStyle w:val="6"/>
              <w:spacing w:before="8" w:line="357" w:lineRule="auto"/>
              <w:ind w:left="15" w:right="251" w:firstLine="509"/>
            </w:pPr>
            <w:r>
              <w:rPr>
                <w:b/>
                <w:bCs/>
                <w:spacing w:val="-2"/>
              </w:rPr>
              <w:t>2、与《曲靖市新能源开发建设三年行动计划(2022-</w:t>
            </w:r>
            <w:r>
              <w:rPr>
                <w:b/>
                <w:bCs/>
                <w:spacing w:val="-3"/>
              </w:rPr>
              <w:t>2024年)的</w:t>
            </w:r>
            <w:r>
              <w:t xml:space="preserve"> </w:t>
            </w:r>
            <w:r>
              <w:rPr>
                <w:b/>
                <w:bCs/>
                <w:spacing w:val="-4"/>
              </w:rPr>
              <w:t>通知》的符合性分析</w:t>
            </w:r>
          </w:p>
          <w:p w14:paraId="38EF85F4">
            <w:pPr>
              <w:pStyle w:val="6"/>
              <w:spacing w:before="15" w:line="219" w:lineRule="auto"/>
              <w:ind w:left="492"/>
            </w:pPr>
            <w:r>
              <w:t>2022年4月20日，曲靖市人民政府发布了关于《曲靖市新能源</w:t>
            </w:r>
          </w:p>
          <w:p w14:paraId="3237800B">
            <w:pPr>
              <w:pStyle w:val="6"/>
              <w:spacing w:before="189" w:line="358" w:lineRule="auto"/>
              <w:ind w:left="12"/>
            </w:pPr>
            <w:r>
              <w:t xml:space="preserve">开发建设三年行动计划(2022-2024年)的通知》。《通知》指出，全  </w:t>
            </w:r>
            <w:r>
              <w:rPr>
                <w:spacing w:val="-2"/>
              </w:rPr>
              <w:t>面提速未来3年新能源开发建设，扎实推动省级统</w:t>
            </w:r>
            <w:r>
              <w:rPr>
                <w:spacing w:val="-3"/>
              </w:rPr>
              <w:t>筹“多能互补大型基</w:t>
            </w:r>
            <w:r>
              <w:t xml:space="preserve"> </w:t>
            </w:r>
            <w:r>
              <w:rPr>
                <w:spacing w:val="-13"/>
              </w:rPr>
              <w:t>地项目”、市级统筹“绿色先进制造业配套项目”“</w:t>
            </w:r>
            <w:r>
              <w:rPr>
                <w:spacing w:val="-14"/>
              </w:rPr>
              <w:t>新能源多元化开发利</w:t>
            </w:r>
            <w:r>
              <w:t xml:space="preserve"> </w:t>
            </w:r>
            <w:r>
              <w:rPr>
                <w:spacing w:val="-2"/>
              </w:rPr>
              <w:t>用项目”,力争2022—2024年每年新开工</w:t>
            </w:r>
            <w:r>
              <w:rPr>
                <w:spacing w:val="-3"/>
              </w:rPr>
              <w:t>建设500万千瓦新能源项目</w:t>
            </w:r>
          </w:p>
          <w:p w14:paraId="11D6C76A">
            <w:pPr>
              <w:pStyle w:val="6"/>
              <w:spacing w:before="2" w:line="359" w:lineRule="auto"/>
              <w:ind w:left="12"/>
            </w:pPr>
            <w:r>
              <w:rPr>
                <w:spacing w:val="-3"/>
              </w:rPr>
              <w:t>到2024年，新增投产新能源装机1500万千瓦以上，增加年发电量200</w:t>
            </w:r>
            <w:r>
              <w:rPr>
                <w:spacing w:val="2"/>
              </w:rPr>
              <w:t xml:space="preserve">   </w:t>
            </w:r>
            <w:r>
              <w:rPr>
                <w:spacing w:val="-3"/>
              </w:rPr>
              <w:t>亿千瓦时以上，可再生能源装机总量达到全市总装机容量的70%以上</w:t>
            </w:r>
            <w:r>
              <w:rPr>
                <w:spacing w:val="1"/>
              </w:rPr>
              <w:t xml:space="preserve">   </w:t>
            </w:r>
            <w:r>
              <w:rPr>
                <w:spacing w:val="-9"/>
              </w:rPr>
              <w:t>力争“十四五”期间开发建设2200万千瓦新能源，形成主要以清洁低碳</w:t>
            </w:r>
            <w:r>
              <w:rPr>
                <w:spacing w:val="1"/>
              </w:rPr>
              <w:t xml:space="preserve">  </w:t>
            </w:r>
            <w:r>
              <w:rPr>
                <w:spacing w:val="-4"/>
              </w:rPr>
              <w:t>能源满足经济社会发展新增用能需求的能源生产消费格局。优先开发</w:t>
            </w:r>
            <w:r>
              <w:rPr>
                <w:spacing w:val="9"/>
              </w:rPr>
              <w:t xml:space="preserve">  </w:t>
            </w:r>
            <w:r>
              <w:rPr>
                <w:spacing w:val="-17"/>
              </w:rPr>
              <w:t>多能互补大型基地。优先开发金沙江下游“风光水储”基地、曲靖“风光</w:t>
            </w:r>
            <w:r>
              <w:rPr>
                <w:spacing w:val="6"/>
              </w:rPr>
              <w:t xml:space="preserve">  </w:t>
            </w:r>
            <w:r>
              <w:rPr>
                <w:spacing w:val="-10"/>
              </w:rPr>
              <w:t>火储”基地，《通知》还强调，严格时限加快项目并网投产。各县(市、</w:t>
            </w:r>
            <w:r>
              <w:rPr>
                <w:spacing w:val="15"/>
              </w:rPr>
              <w:t xml:space="preserve"> </w:t>
            </w:r>
            <w:r>
              <w:rPr>
                <w:spacing w:val="-3"/>
              </w:rPr>
              <w:t>区)人民政府、市直有关部门要加强服务指导，尽早完成项目行政审</w:t>
            </w:r>
            <w:r>
              <w:rPr>
                <w:spacing w:val="3"/>
              </w:rPr>
              <w:t xml:space="preserve">   </w:t>
            </w:r>
            <w:r>
              <w:rPr>
                <w:spacing w:val="-4"/>
              </w:rPr>
              <w:t>批，督促项目业主尽快开工建设，按期并网投产。</w:t>
            </w:r>
          </w:p>
          <w:p w14:paraId="6A012A19">
            <w:pPr>
              <w:pStyle w:val="6"/>
              <w:spacing w:before="5" w:line="352" w:lineRule="auto"/>
              <w:ind w:left="12" w:right="57" w:firstLine="489"/>
              <w:jc w:val="both"/>
            </w:pPr>
            <w:r>
              <w:rPr>
                <w:spacing w:val="1"/>
              </w:rPr>
              <w:t>本项目为《曲靖市新能源开发建设三年行动计划(2022-2024年)</w:t>
            </w:r>
            <w:r>
              <w:rPr>
                <w:spacing w:val="18"/>
              </w:rPr>
              <w:t xml:space="preserve"> </w:t>
            </w:r>
            <w:r>
              <w:t>的通知》中明确的规划建设项目之一，项目建设能促进主要以清</w:t>
            </w:r>
            <w:r>
              <w:rPr>
                <w:spacing w:val="-1"/>
              </w:rPr>
              <w:t>洁低</w:t>
            </w:r>
            <w:r>
              <w:t xml:space="preserve"> 碳能源满足经济社会发展新增用能需求的能源生产消费格局的构</w:t>
            </w:r>
            <w:r>
              <w:rPr>
                <w:spacing w:val="-1"/>
              </w:rPr>
              <w:t>建，</w:t>
            </w:r>
            <w:r>
              <w:t xml:space="preserve"> 项目符合《曲靖市新能源开发建设三年行动计划(2022-2024年)的通</w:t>
            </w:r>
            <w:r>
              <w:rPr>
                <w:spacing w:val="9"/>
              </w:rPr>
              <w:t xml:space="preserve">  </w:t>
            </w:r>
            <w:r>
              <w:rPr>
                <w:spacing w:val="-1"/>
              </w:rPr>
              <w:t>知》的相关要求。</w:t>
            </w:r>
          </w:p>
        </w:tc>
      </w:tr>
      <w:tr w14:paraId="72028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2" w:hRule="atLeast"/>
        </w:trPr>
        <w:tc>
          <w:tcPr>
            <w:tcW w:w="1563" w:type="dxa"/>
            <w:vAlign w:val="top"/>
          </w:tcPr>
          <w:p w14:paraId="1742287A">
            <w:pPr>
              <w:spacing w:line="265" w:lineRule="auto"/>
              <w:rPr>
                <w:rFonts w:ascii="Arial"/>
                <w:sz w:val="21"/>
              </w:rPr>
            </w:pPr>
          </w:p>
          <w:p w14:paraId="70EAF7A4">
            <w:pPr>
              <w:spacing w:line="265" w:lineRule="auto"/>
              <w:rPr>
                <w:rFonts w:ascii="Arial"/>
                <w:sz w:val="21"/>
              </w:rPr>
            </w:pPr>
          </w:p>
          <w:p w14:paraId="4973CF16">
            <w:pPr>
              <w:spacing w:line="266" w:lineRule="auto"/>
              <w:rPr>
                <w:rFonts w:ascii="Arial"/>
                <w:sz w:val="21"/>
              </w:rPr>
            </w:pPr>
          </w:p>
          <w:p w14:paraId="3EC095E2">
            <w:pPr>
              <w:spacing w:line="266" w:lineRule="auto"/>
              <w:rPr>
                <w:rFonts w:ascii="Arial"/>
                <w:sz w:val="21"/>
              </w:rPr>
            </w:pPr>
          </w:p>
          <w:p w14:paraId="08CFC5B8">
            <w:pPr>
              <w:pStyle w:val="6"/>
              <w:spacing w:before="78" w:line="242" w:lineRule="auto"/>
              <w:ind w:left="655" w:right="47" w:hanging="600"/>
            </w:pPr>
            <w:r>
              <w:rPr>
                <w:spacing w:val="1"/>
              </w:rPr>
              <w:t>其他符合性分</w:t>
            </w:r>
            <w:r>
              <w:rPr>
                <w:spacing w:val="3"/>
              </w:rPr>
              <w:t xml:space="preserve"> </w:t>
            </w:r>
            <w:r>
              <w:t>析</w:t>
            </w:r>
          </w:p>
        </w:tc>
        <w:tc>
          <w:tcPr>
            <w:tcW w:w="7279" w:type="dxa"/>
            <w:vAlign w:val="top"/>
          </w:tcPr>
          <w:p w14:paraId="7C601D99">
            <w:pPr>
              <w:pStyle w:val="6"/>
              <w:spacing w:before="44" w:line="219" w:lineRule="auto"/>
              <w:ind w:left="505"/>
            </w:pPr>
            <w:r>
              <w:rPr>
                <w:b/>
                <w:bCs/>
                <w:spacing w:val="-3"/>
              </w:rPr>
              <w:t>1、产业政策符合性分析</w:t>
            </w:r>
          </w:p>
          <w:p w14:paraId="380F81BE">
            <w:pPr>
              <w:pStyle w:val="6"/>
              <w:spacing w:before="185" w:line="355" w:lineRule="auto"/>
              <w:ind w:left="12" w:firstLine="469"/>
            </w:pPr>
            <w:r>
              <w:rPr>
                <w:spacing w:val="2"/>
              </w:rPr>
              <w:t>项目为光伏项目，对照《产业结构调整指导目录(2024年本)》,</w:t>
            </w:r>
            <w:r>
              <w:rPr>
                <w:spacing w:val="1"/>
              </w:rPr>
              <w:t xml:space="preserve">  </w:t>
            </w:r>
            <w:r>
              <w:rPr>
                <w:spacing w:val="-10"/>
              </w:rPr>
              <w:t>本项目属于其中的鼓励类，“第五项，新能源”中第2条“可再生能源利</w:t>
            </w:r>
            <w:r>
              <w:rPr>
                <w:spacing w:val="15"/>
              </w:rPr>
              <w:t xml:space="preserve"> </w:t>
            </w:r>
            <w:r>
              <w:t xml:space="preserve">用技术与应用：太阳能热发电集热系统、高效率低成本太阳能光伏发 </w:t>
            </w:r>
            <w:r>
              <w:rPr>
                <w:spacing w:val="-2"/>
              </w:rPr>
              <w:t>电技术研发与产业化、系统集成技术开发应用”。建设单位于20</w:t>
            </w:r>
            <w:r>
              <w:rPr>
                <w:spacing w:val="-3"/>
              </w:rPr>
              <w:t>24年6</w:t>
            </w:r>
            <w:r>
              <w:t xml:space="preserve"> 月11日取得了曲靖市马龙区发展和改革局投资项目备案证(详见附件</w:t>
            </w:r>
          </w:p>
        </w:tc>
      </w:tr>
    </w:tbl>
    <w:p w14:paraId="03E0179C">
      <w:pPr>
        <w:pStyle w:val="2"/>
      </w:pPr>
    </w:p>
    <w:p w14:paraId="04FDFD48">
      <w:pPr>
        <w:sectPr>
          <w:footerReference r:id="rId9" w:type="default"/>
          <w:pgSz w:w="11910" w:h="16840"/>
          <w:pgMar w:top="1431" w:right="1562" w:bottom="1239" w:left="1494" w:header="0" w:footer="1098" w:gutter="0"/>
          <w:cols w:space="720" w:num="1"/>
        </w:sectPr>
      </w:pPr>
    </w:p>
    <w:p w14:paraId="124F939E">
      <w:pPr>
        <w:spacing w:line="93" w:lineRule="exact"/>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297"/>
      </w:tblGrid>
      <w:tr w14:paraId="5BB8E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6B2EBAE9">
            <w:pPr>
              <w:rPr>
                <w:rFonts w:ascii="Arial"/>
                <w:sz w:val="21"/>
              </w:rPr>
            </w:pPr>
          </w:p>
        </w:tc>
        <w:tc>
          <w:tcPr>
            <w:tcW w:w="7297" w:type="dxa"/>
            <w:vAlign w:val="top"/>
          </w:tcPr>
          <w:p w14:paraId="3B492A8B">
            <w:pPr>
              <w:pStyle w:val="6"/>
              <w:spacing w:before="21" w:line="216" w:lineRule="auto"/>
              <w:ind w:left="12"/>
            </w:pPr>
            <w:r>
              <w:t>3),备案项目代码2406-530321-04-01-962169。</w:t>
            </w:r>
          </w:p>
          <w:p w14:paraId="37A553A3">
            <w:pPr>
              <w:pStyle w:val="6"/>
              <w:spacing w:before="202" w:line="219" w:lineRule="auto"/>
              <w:ind w:left="512"/>
            </w:pPr>
            <w:r>
              <w:t>综上所述，项目的建设符合国家及云南省现行产业政策。</w:t>
            </w:r>
          </w:p>
          <w:p w14:paraId="6CB9E448">
            <w:pPr>
              <w:pStyle w:val="6"/>
              <w:spacing w:before="171" w:line="219" w:lineRule="auto"/>
              <w:ind w:left="505"/>
            </w:pPr>
            <w:r>
              <w:rPr>
                <w:b/>
                <w:bCs/>
                <w:spacing w:val="-4"/>
              </w:rPr>
              <w:t>2、与《云南省主体功能区划》的符合性分析</w:t>
            </w:r>
          </w:p>
          <w:p w14:paraId="7A09F3A3">
            <w:pPr>
              <w:pStyle w:val="6"/>
              <w:spacing w:before="190" w:line="359" w:lineRule="auto"/>
              <w:ind w:left="12" w:firstLine="461"/>
            </w:pPr>
            <w:r>
              <w:rPr>
                <w:spacing w:val="-5"/>
              </w:rPr>
              <w:t>云南省人民政府于2014年1月6日印发了《云南省主体功能区规划》</w:t>
            </w:r>
            <w:r>
              <w:rPr>
                <w:spacing w:val="12"/>
              </w:rPr>
              <w:t xml:space="preserve"> </w:t>
            </w:r>
            <w:r>
              <w:t>(云政发[2014]1号文),马龙区位于云南省主体功能区划中国家重点</w:t>
            </w:r>
            <w:r>
              <w:rPr>
                <w:spacing w:val="2"/>
              </w:rPr>
              <w:t xml:space="preserve">   </w:t>
            </w:r>
            <w:r>
              <w:rPr>
                <w:spacing w:val="-4"/>
              </w:rPr>
              <w:t>开发区域，国家层面重点开发区域其功能定位为我国面向西南开放重</w:t>
            </w:r>
            <w:r>
              <w:rPr>
                <w:spacing w:val="1"/>
              </w:rPr>
              <w:t xml:space="preserve">  </w:t>
            </w:r>
            <w:r>
              <w:rPr>
                <w:spacing w:val="-3"/>
              </w:rPr>
              <w:t>要桥头堡建设的核心区，连接东南亚、南亚国家的</w:t>
            </w:r>
            <w:r>
              <w:rPr>
                <w:spacing w:val="-4"/>
              </w:rPr>
              <w:t>陆路交通枢纽，面</w:t>
            </w:r>
            <w:r>
              <w:t xml:space="preserve">  </w:t>
            </w:r>
            <w:r>
              <w:rPr>
                <w:spacing w:val="-5"/>
              </w:rPr>
              <w:t>向东南亚、南亚对外开放的重要门户；全国</w:t>
            </w:r>
            <w:r>
              <w:rPr>
                <w:spacing w:val="-6"/>
              </w:rPr>
              <w:t>重要的烟草、旅游、文化、</w:t>
            </w:r>
            <w:r>
              <w:t xml:space="preserve"> </w:t>
            </w:r>
            <w:r>
              <w:rPr>
                <w:spacing w:val="-4"/>
              </w:rPr>
              <w:t>能源和商贸物流基地，以化工、有色冶炼加工、生物为重点的区域性</w:t>
            </w:r>
            <w:r>
              <w:t xml:space="preserve">  </w:t>
            </w:r>
            <w:r>
              <w:rPr>
                <w:spacing w:val="-4"/>
              </w:rPr>
              <w:t>资源深加工基地，承接产业转移基地和外向型特色优势产业基地；我</w:t>
            </w:r>
            <w:r>
              <w:t xml:space="preserve">  </w:t>
            </w:r>
            <w:r>
              <w:rPr>
                <w:spacing w:val="-4"/>
              </w:rPr>
              <w:t>国城市化发展格局中特色鲜明的高原生态宜居城市群；全省跨越发展</w:t>
            </w:r>
            <w:r>
              <w:rPr>
                <w:spacing w:val="2"/>
              </w:rPr>
              <w:t xml:space="preserve">  </w:t>
            </w:r>
            <w:r>
              <w:rPr>
                <w:spacing w:val="-4"/>
              </w:rPr>
              <w:t>的引擎，我国西南地区重要的经济增长极。此外，《云南省主体功能</w:t>
            </w:r>
            <w:r>
              <w:rPr>
                <w:spacing w:val="2"/>
              </w:rPr>
              <w:t xml:space="preserve">  </w:t>
            </w:r>
            <w:r>
              <w:rPr>
                <w:spacing w:val="-7"/>
              </w:rPr>
              <w:t>区规划》对能源开发与布局有以下相关要求：新能源</w:t>
            </w:r>
            <w:r>
              <w:rPr>
                <w:spacing w:val="-8"/>
              </w:rPr>
              <w:t>示范基地—依托</w:t>
            </w:r>
            <w:r>
              <w:t xml:space="preserve">   </w:t>
            </w:r>
            <w:r>
              <w:rPr>
                <w:spacing w:val="-3"/>
              </w:rPr>
              <w:t>资源优势，稳步发展太阳能发电和热利用，积</w:t>
            </w:r>
            <w:r>
              <w:rPr>
                <w:spacing w:val="-4"/>
              </w:rPr>
              <w:t>极开发生物质能，产业</w:t>
            </w:r>
            <w:r>
              <w:t xml:space="preserve">  </w:t>
            </w:r>
            <w:r>
              <w:rPr>
                <w:spacing w:val="-3"/>
              </w:rPr>
              <w:t>化开发天然铀资源。在丽江中部和东部、大理东部、</w:t>
            </w:r>
            <w:r>
              <w:rPr>
                <w:spacing w:val="-4"/>
              </w:rPr>
              <w:t>楚雄北部、文山</w:t>
            </w:r>
            <w:r>
              <w:t xml:space="preserve">  </w:t>
            </w:r>
            <w:r>
              <w:rPr>
                <w:spacing w:val="-4"/>
              </w:rPr>
              <w:t>等区域，利用石漠化等未利用土地发展太阳能光伏并网发电项目。</w:t>
            </w:r>
          </w:p>
          <w:p w14:paraId="4A2146A8">
            <w:pPr>
              <w:pStyle w:val="6"/>
              <w:spacing w:before="7" w:line="359" w:lineRule="auto"/>
              <w:ind w:left="12" w:firstLine="491"/>
            </w:pPr>
            <w:r>
              <w:rPr>
                <w:spacing w:val="-4"/>
              </w:rPr>
              <w:t>本项目为太阳能光伏发电项目，是可再生能源发展规划和能源产</w:t>
            </w:r>
            <w:r>
              <w:rPr>
                <w:spacing w:val="7"/>
              </w:rPr>
              <w:t xml:space="preserve">  </w:t>
            </w:r>
            <w:r>
              <w:rPr>
                <w:spacing w:val="-4"/>
              </w:rPr>
              <w:t>业发展方向，是地区国民经济可持续发展的需要，改善能源结构的需</w:t>
            </w:r>
            <w:r>
              <w:rPr>
                <w:spacing w:val="7"/>
              </w:rPr>
              <w:t xml:space="preserve">  </w:t>
            </w:r>
            <w:r>
              <w:rPr>
                <w:spacing w:val="-4"/>
              </w:rPr>
              <w:t>要，本项目的开发建设能有效的促进地方经济，带动光伏产业链的发</w:t>
            </w:r>
            <w:r>
              <w:rPr>
                <w:spacing w:val="5"/>
              </w:rPr>
              <w:t xml:space="preserve">  </w:t>
            </w:r>
            <w:r>
              <w:rPr>
                <w:spacing w:val="-5"/>
              </w:rPr>
              <w:t>展，具有良好的社会效益和经济效益，对于</w:t>
            </w:r>
            <w:r>
              <w:rPr>
                <w:spacing w:val="-6"/>
              </w:rPr>
              <w:t>改善当地电网的电源结构，</w:t>
            </w:r>
            <w:r>
              <w:t xml:space="preserve"> </w:t>
            </w:r>
            <w:r>
              <w:rPr>
                <w:spacing w:val="-5"/>
              </w:rPr>
              <w:t>推动云南省太阳能发电事业的发展，开发可</w:t>
            </w:r>
            <w:r>
              <w:rPr>
                <w:spacing w:val="-6"/>
              </w:rPr>
              <w:t>再生能源有着积极的意义。</w:t>
            </w:r>
            <w:r>
              <w:t xml:space="preserve"> </w:t>
            </w:r>
            <w:r>
              <w:rPr>
                <w:spacing w:val="-4"/>
              </w:rPr>
              <w:t>因此拟建项目与《云南省主体功能区规划》的要求不冲突。</w:t>
            </w:r>
          </w:p>
          <w:p w14:paraId="7582883C">
            <w:pPr>
              <w:pStyle w:val="6"/>
              <w:spacing w:before="1" w:line="219" w:lineRule="auto"/>
              <w:ind w:left="495"/>
            </w:pPr>
            <w:r>
              <w:rPr>
                <w:b/>
                <w:bCs/>
                <w:spacing w:val="-4"/>
              </w:rPr>
              <w:t>3、与《云南省生态功能区划》的符合性</w:t>
            </w:r>
          </w:p>
          <w:p w14:paraId="2C5854E5">
            <w:pPr>
              <w:pStyle w:val="6"/>
              <w:spacing w:before="176" w:line="356" w:lineRule="auto"/>
              <w:ind w:left="12" w:firstLine="505"/>
            </w:pPr>
            <w:r>
              <w:rPr>
                <w:spacing w:val="-3"/>
              </w:rPr>
              <w:t>本项目位于云南省曲靖市马龙区，对照《云南省生态功能区划》,</w:t>
            </w:r>
            <w:r>
              <w:rPr>
                <w:spacing w:val="15"/>
              </w:rPr>
              <w:t xml:space="preserve"> </w:t>
            </w:r>
            <w:r>
              <w:rPr>
                <w:spacing w:val="-3"/>
              </w:rPr>
              <w:t>马龙区北部地区属于Ⅲ4-4牛栏江、南盘江上游岩溶</w:t>
            </w:r>
            <w:r>
              <w:rPr>
                <w:spacing w:val="-4"/>
              </w:rPr>
              <w:t>山原水源涵养生态</w:t>
            </w:r>
            <w:r>
              <w:t xml:space="preserve"> </w:t>
            </w:r>
            <w:r>
              <w:rPr>
                <w:spacing w:val="-2"/>
              </w:rPr>
              <w:t>功能区；主要的生态特征为地貌以石灰岩山原为主，大部分地区的年</w:t>
            </w:r>
            <w:r>
              <w:rPr>
                <w:spacing w:val="7"/>
              </w:rPr>
              <w:t xml:space="preserve">  </w:t>
            </w:r>
            <w:r>
              <w:rPr>
                <w:spacing w:val="-3"/>
              </w:rPr>
              <w:t>降雨量1000-1200毫米，主要植被类型为云南松林，生长较差。主要土</w:t>
            </w:r>
            <w:r>
              <w:t xml:space="preserve"> </w:t>
            </w:r>
            <w:r>
              <w:rPr>
                <w:spacing w:val="-2"/>
              </w:rPr>
              <w:t>壤类型为黄棕壤和红壤；主要生态环境问题为土地垦殖过度、森林退</w:t>
            </w:r>
            <w:r>
              <w:rPr>
                <w:spacing w:val="3"/>
              </w:rPr>
              <w:t xml:space="preserve">  </w:t>
            </w:r>
            <w:r>
              <w:rPr>
                <w:spacing w:val="-2"/>
              </w:rPr>
              <w:t>化严重；主要生态系统服务功能为牛栏江、南盘江上游岩溶地区的水</w:t>
            </w:r>
          </w:p>
        </w:tc>
      </w:tr>
    </w:tbl>
    <w:p w14:paraId="3A9C5E6D">
      <w:pPr>
        <w:pStyle w:val="2"/>
      </w:pPr>
    </w:p>
    <w:p w14:paraId="3ACF005B">
      <w:pPr>
        <w:sectPr>
          <w:footerReference r:id="rId10" w:type="default"/>
          <w:pgSz w:w="11910" w:h="16840"/>
          <w:pgMar w:top="1431" w:right="1554" w:bottom="1232" w:left="1494" w:header="0" w:footer="1099" w:gutter="0"/>
          <w:cols w:space="720" w:num="1"/>
        </w:sectPr>
      </w:pPr>
    </w:p>
    <w:p w14:paraId="2DAEADEE">
      <w:pPr>
        <w:spacing w:line="93" w:lineRule="exact"/>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297"/>
      </w:tblGrid>
      <w:tr w14:paraId="7A95A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7D143C01">
            <w:pPr>
              <w:rPr>
                <w:rFonts w:ascii="Arial"/>
                <w:sz w:val="21"/>
              </w:rPr>
            </w:pPr>
          </w:p>
        </w:tc>
        <w:tc>
          <w:tcPr>
            <w:tcW w:w="7297" w:type="dxa"/>
            <w:vAlign w:val="top"/>
          </w:tcPr>
          <w:p w14:paraId="45546765">
            <w:pPr>
              <w:pStyle w:val="6"/>
              <w:spacing w:before="25" w:line="360" w:lineRule="auto"/>
              <w:ind w:left="12"/>
            </w:pPr>
            <w:r>
              <w:rPr>
                <w:spacing w:val="-5"/>
              </w:rPr>
              <w:t>源涵养；保护措施与发展方向是严格退耕还</w:t>
            </w:r>
            <w:r>
              <w:rPr>
                <w:spacing w:val="-6"/>
              </w:rPr>
              <w:t>林，加大封山育林的力度，</w:t>
            </w:r>
            <w:r>
              <w:t xml:space="preserve"> </w:t>
            </w:r>
            <w:r>
              <w:rPr>
                <w:spacing w:val="-3"/>
              </w:rPr>
              <w:t>调整产业结构，提高森林的数量和质量。本项目为光伏项目，对区域</w:t>
            </w:r>
            <w:r>
              <w:rPr>
                <w:spacing w:val="9"/>
              </w:rPr>
              <w:t xml:space="preserve">  </w:t>
            </w:r>
            <w:r>
              <w:rPr>
                <w:spacing w:val="-3"/>
              </w:rPr>
              <w:t>生态环境影响小，不会影响水源涵养效益，对功能区的生态功能以及</w:t>
            </w:r>
            <w:r>
              <w:t xml:space="preserve">  </w:t>
            </w:r>
            <w:r>
              <w:rPr>
                <w:spacing w:val="-3"/>
              </w:rPr>
              <w:t>景观功能和结构构成威胁，因此，本项目的建设与功能区的发展方向</w:t>
            </w:r>
            <w:r>
              <w:rPr>
                <w:spacing w:val="6"/>
              </w:rPr>
              <w:t xml:space="preserve">  </w:t>
            </w:r>
            <w:r>
              <w:rPr>
                <w:spacing w:val="-3"/>
              </w:rPr>
              <w:t>不矛盾，符合Ⅲ4-14牛栏江、南盘江上游岩溶山原水源涵养生态功能</w:t>
            </w:r>
            <w:r>
              <w:rPr>
                <w:spacing w:val="3"/>
              </w:rPr>
              <w:t xml:space="preserve">  </w:t>
            </w:r>
            <w:r>
              <w:rPr>
                <w:spacing w:val="-3"/>
              </w:rPr>
              <w:t>区的要求。</w:t>
            </w:r>
          </w:p>
          <w:p w14:paraId="0283180E">
            <w:pPr>
              <w:pStyle w:val="6"/>
              <w:spacing w:line="360" w:lineRule="auto"/>
              <w:ind w:left="12" w:right="39" w:firstLine="499"/>
            </w:pPr>
            <w:r>
              <w:t>综上，本项目的建设与《云南省生态功能区划》的相关规定不冲</w:t>
            </w:r>
            <w:r>
              <w:rPr>
                <w:spacing w:val="14"/>
              </w:rPr>
              <w:t xml:space="preserve"> </w:t>
            </w:r>
            <w:r>
              <w:rPr>
                <w:spacing w:val="-1"/>
              </w:rPr>
              <w:t>突。</w:t>
            </w:r>
          </w:p>
          <w:p w14:paraId="5DABB1B7">
            <w:pPr>
              <w:pStyle w:val="6"/>
              <w:spacing w:before="1" w:line="357" w:lineRule="auto"/>
              <w:ind w:left="15" w:right="429" w:firstLine="489"/>
            </w:pPr>
            <w:r>
              <w:rPr>
                <w:b/>
                <w:bCs/>
                <w:spacing w:val="-3"/>
              </w:rPr>
              <w:t>4、与《曲靖市生态环境分区管控动态更新方案(2023年)》符</w:t>
            </w:r>
            <w:r>
              <w:rPr>
                <w:spacing w:val="4"/>
              </w:rPr>
              <w:t xml:space="preserve"> </w:t>
            </w:r>
            <w:r>
              <w:rPr>
                <w:b/>
                <w:bCs/>
                <w:spacing w:val="-5"/>
              </w:rPr>
              <w:t>合性分析</w:t>
            </w:r>
          </w:p>
          <w:p w14:paraId="5F651572">
            <w:pPr>
              <w:pStyle w:val="6"/>
              <w:spacing w:before="4" w:line="358" w:lineRule="auto"/>
              <w:ind w:left="12" w:firstLine="468"/>
            </w:pPr>
            <w:r>
              <w:rPr>
                <w:spacing w:val="-1"/>
              </w:rPr>
              <w:t>2024年7月16日曲靖市生态环境局发布了《曲靖市生态环境</w:t>
            </w:r>
            <w:r>
              <w:rPr>
                <w:spacing w:val="-2"/>
              </w:rPr>
              <w:t>分区管</w:t>
            </w:r>
            <w:r>
              <w:t xml:space="preserve"> </w:t>
            </w:r>
            <w:r>
              <w:rPr>
                <w:spacing w:val="-1"/>
              </w:rPr>
              <w:t>控动态更新方案(2023年)》,动态跟新结果见下：</w:t>
            </w:r>
          </w:p>
          <w:p w14:paraId="6F102849">
            <w:pPr>
              <w:pStyle w:val="6"/>
              <w:spacing w:line="220" w:lineRule="auto"/>
              <w:ind w:left="632"/>
            </w:pPr>
            <w:r>
              <w:rPr>
                <w:spacing w:val="1"/>
              </w:rPr>
              <w:t>(1)生态空间动态更新结果</w:t>
            </w:r>
          </w:p>
          <w:p w14:paraId="28C7C034">
            <w:pPr>
              <w:pStyle w:val="6"/>
              <w:spacing w:before="181" w:line="362" w:lineRule="auto"/>
              <w:ind w:left="12" w:firstLine="495"/>
            </w:pPr>
            <w:r>
              <w:rPr>
                <w:spacing w:val="-2"/>
              </w:rPr>
              <w:t>生态保护红线。更新后全市生态保护红线面积6140.15平方千米，</w:t>
            </w:r>
            <w:r>
              <w:rPr>
                <w:spacing w:val="2"/>
              </w:rPr>
              <w:t xml:space="preserve"> </w:t>
            </w:r>
            <w:r>
              <w:rPr>
                <w:spacing w:val="-2"/>
              </w:rPr>
              <w:t>占国土面积的21.22%。相比更新前面积减少2</w:t>
            </w:r>
            <w:r>
              <w:rPr>
                <w:spacing w:val="-3"/>
              </w:rPr>
              <w:t>60.6平方千米，比例下降</w:t>
            </w:r>
            <w:r>
              <w:t xml:space="preserve"> </w:t>
            </w:r>
            <w:r>
              <w:rPr>
                <w:spacing w:val="-6"/>
              </w:rPr>
              <w:t>0.90%。</w:t>
            </w:r>
          </w:p>
          <w:p w14:paraId="4DF7374B">
            <w:pPr>
              <w:pStyle w:val="6"/>
              <w:spacing w:before="4" w:line="358" w:lineRule="auto"/>
              <w:ind w:left="12" w:firstLine="495"/>
            </w:pPr>
            <w:r>
              <w:rPr>
                <w:spacing w:val="-2"/>
              </w:rPr>
              <w:t>一般生态空间。更新后全市一般生态空间面积7138.44平方千米，</w:t>
            </w:r>
            <w:r>
              <w:rPr>
                <w:spacing w:val="2"/>
              </w:rPr>
              <w:t xml:space="preserve"> </w:t>
            </w:r>
            <w:r>
              <w:rPr>
                <w:spacing w:val="-1"/>
              </w:rPr>
              <w:t>占国土面积的24.67%。相比更新前面积增加666.</w:t>
            </w:r>
            <w:r>
              <w:rPr>
                <w:spacing w:val="-2"/>
              </w:rPr>
              <w:t>27平方千米，比例增</w:t>
            </w:r>
            <w:r>
              <w:t xml:space="preserve">  </w:t>
            </w:r>
            <w:r>
              <w:rPr>
                <w:spacing w:val="-2"/>
              </w:rPr>
              <w:t>加2.30%。主要由未纳入生态保护红线的风景名胜区</w:t>
            </w:r>
            <w:r>
              <w:rPr>
                <w:spacing w:val="-3"/>
              </w:rPr>
              <w:t>、森林公园、湿</w:t>
            </w:r>
          </w:p>
          <w:p w14:paraId="11A787AF">
            <w:pPr>
              <w:pStyle w:val="6"/>
              <w:spacing w:before="1" w:line="357" w:lineRule="auto"/>
              <w:ind w:left="12"/>
            </w:pPr>
            <w:r>
              <w:rPr>
                <w:spacing w:val="-13"/>
              </w:rPr>
              <w:t>地公园、重要湿地、天然林、国家级公益林、省级公益林、“千吨万人”</w:t>
            </w:r>
            <w:r>
              <w:rPr>
                <w:spacing w:val="9"/>
              </w:rPr>
              <w:t xml:space="preserve"> </w:t>
            </w:r>
            <w:r>
              <w:rPr>
                <w:spacing w:val="-7"/>
              </w:rPr>
              <w:t>饮用水水源保护区、乡镇级饮用水水源保护区等组成。</w:t>
            </w:r>
          </w:p>
          <w:p w14:paraId="63380B6B">
            <w:pPr>
              <w:pStyle w:val="6"/>
              <w:spacing w:before="2" w:line="361" w:lineRule="auto"/>
              <w:ind w:left="12" w:firstLine="498"/>
              <w:jc w:val="both"/>
            </w:pPr>
            <w:r>
              <w:t>根据曲靖市生态环境局生态环境分区管控查询：本项目占地</w:t>
            </w:r>
            <w:r>
              <w:rPr>
                <w:spacing w:val="-1"/>
              </w:rPr>
              <w:t>面积</w:t>
            </w:r>
            <w:r>
              <w:t xml:space="preserve"> </w:t>
            </w:r>
            <w:r>
              <w:rPr>
                <w:spacing w:val="-2"/>
              </w:rPr>
              <w:t>中76.095hm²属于马龙区一般生态空间生态控制区，其余为马龙区一般</w:t>
            </w:r>
            <w:r>
              <w:rPr>
                <w:spacing w:val="11"/>
              </w:rPr>
              <w:t xml:space="preserve"> </w:t>
            </w:r>
            <w:r>
              <w:t>管控单元；项目占地范围内属于马龙区大气环境</w:t>
            </w:r>
            <w:r>
              <w:rPr>
                <w:spacing w:val="-1"/>
              </w:rPr>
              <w:t>和土壤环境一般管控</w:t>
            </w:r>
            <w:r>
              <w:t xml:space="preserve"> </w:t>
            </w:r>
            <w:r>
              <w:rPr>
                <w:spacing w:val="-1"/>
              </w:rPr>
              <w:t>区，项目占地范围内30.22hm²属于南盘江沾</w:t>
            </w:r>
            <w:r>
              <w:rPr>
                <w:spacing w:val="-2"/>
              </w:rPr>
              <w:t>益-宜良开发利用区马龙区</w:t>
            </w:r>
            <w:r>
              <w:t xml:space="preserve"> </w:t>
            </w:r>
            <w:r>
              <w:rPr>
                <w:spacing w:val="-1"/>
              </w:rPr>
              <w:t>控制单元，其它属于马龙河马龙保留区马龙区控制单元。</w:t>
            </w:r>
          </w:p>
          <w:p w14:paraId="4B921C81">
            <w:pPr>
              <w:pStyle w:val="6"/>
              <w:spacing w:line="217" w:lineRule="auto"/>
              <w:ind w:left="492"/>
            </w:pPr>
            <w:r>
              <w:rPr>
                <w:spacing w:val="-1"/>
              </w:rPr>
              <w:t>①生态保护红线情况</w:t>
            </w:r>
          </w:p>
          <w:p w14:paraId="382A7760">
            <w:pPr>
              <w:pStyle w:val="6"/>
              <w:spacing w:before="191" w:line="340" w:lineRule="auto"/>
              <w:ind w:left="42" w:right="49" w:firstLine="459"/>
            </w:pPr>
            <w:r>
              <w:t>根据曲靖市马龙区自然资源局关于几沃梁子农光互补光伏发电项</w:t>
            </w:r>
            <w:r>
              <w:rPr>
                <w:spacing w:val="13"/>
              </w:rPr>
              <w:t xml:space="preserve"> </w:t>
            </w:r>
            <w:r>
              <w:t>目选址意见的复函(详见附件9),项目不涉及生态保护红线、永久基</w:t>
            </w:r>
          </w:p>
        </w:tc>
      </w:tr>
    </w:tbl>
    <w:p w14:paraId="1B8C1E1C">
      <w:pPr>
        <w:pStyle w:val="2"/>
      </w:pPr>
    </w:p>
    <w:p w14:paraId="40960A30">
      <w:pPr>
        <w:sectPr>
          <w:footerReference r:id="rId11" w:type="default"/>
          <w:pgSz w:w="11910" w:h="16840"/>
          <w:pgMar w:top="1431" w:right="1554" w:bottom="1308" w:left="1494" w:header="0" w:footer="1076" w:gutter="0"/>
          <w:cols w:space="720" w:num="1"/>
        </w:sectPr>
      </w:pPr>
    </w:p>
    <w:p w14:paraId="330D5D81">
      <w:pPr>
        <w:spacing w:line="93" w:lineRule="exact"/>
      </w:pPr>
    </w:p>
    <w:tbl>
      <w:tblPr>
        <w:tblStyle w:val="5"/>
        <w:tblW w:w="881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1249"/>
        <w:gridCol w:w="1388"/>
        <w:gridCol w:w="2637"/>
        <w:gridCol w:w="1967"/>
      </w:tblGrid>
      <w:tr w14:paraId="57806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1" w:hRule="atLeast"/>
        </w:trPr>
        <w:tc>
          <w:tcPr>
            <w:tcW w:w="1573" w:type="dxa"/>
            <w:vMerge w:val="restart"/>
            <w:tcBorders>
              <w:bottom w:val="nil"/>
            </w:tcBorders>
            <w:vAlign w:val="top"/>
          </w:tcPr>
          <w:p w14:paraId="14112967">
            <w:pPr>
              <w:rPr>
                <w:rFonts w:ascii="Arial"/>
                <w:sz w:val="21"/>
              </w:rPr>
            </w:pPr>
          </w:p>
        </w:tc>
        <w:tc>
          <w:tcPr>
            <w:tcW w:w="7241" w:type="dxa"/>
            <w:gridSpan w:val="4"/>
            <w:vAlign w:val="top"/>
          </w:tcPr>
          <w:p w14:paraId="3DA70681">
            <w:pPr>
              <w:pStyle w:val="6"/>
              <w:spacing w:before="53" w:line="219" w:lineRule="auto"/>
              <w:ind w:left="12"/>
            </w:pPr>
            <w:r>
              <w:t>本农田、不与现有矿权重叠。</w:t>
            </w:r>
          </w:p>
          <w:p w14:paraId="3AC60653">
            <w:pPr>
              <w:pStyle w:val="6"/>
              <w:spacing w:before="177" w:line="357" w:lineRule="auto"/>
              <w:ind w:left="12" w:right="8" w:firstLine="439"/>
              <w:jc w:val="both"/>
            </w:pPr>
            <w:r>
              <w:rPr>
                <w:spacing w:val="1"/>
              </w:rPr>
              <w:t>项目用地已按照相关法律法规要求报送曲靖市</w:t>
            </w:r>
            <w:r>
              <w:t>马龙区自然资源局 审批。根据《几沃梁子农光互补光伏发电项目节约集约用地论证分析</w:t>
            </w:r>
            <w:r>
              <w:rPr>
                <w:spacing w:val="9"/>
              </w:rPr>
              <w:t xml:space="preserve"> </w:t>
            </w:r>
            <w:r>
              <w:rPr>
                <w:spacing w:val="1"/>
              </w:rPr>
              <w:t>专章》,项目光伏阵列、塔基和升压站占地</w:t>
            </w:r>
            <w:r>
              <w:t>已纳入经批准的《马龙区  国土空间总体规划(2021-2035年)》,符合国土空间规划管控规</w:t>
            </w:r>
            <w:r>
              <w:rPr>
                <w:spacing w:val="-1"/>
              </w:rPr>
              <w:t>则。</w:t>
            </w:r>
          </w:p>
          <w:p w14:paraId="197F2ADE">
            <w:pPr>
              <w:pStyle w:val="6"/>
              <w:spacing w:line="217" w:lineRule="auto"/>
              <w:ind w:left="472"/>
            </w:pPr>
            <w:r>
              <w:rPr>
                <w:spacing w:val="-1"/>
              </w:rPr>
              <w:t>②马龙区一般生态空间优先保护单元</w:t>
            </w:r>
          </w:p>
          <w:p w14:paraId="0C038D1C">
            <w:pPr>
              <w:pStyle w:val="6"/>
              <w:spacing w:before="190" w:line="358" w:lineRule="auto"/>
              <w:ind w:left="12" w:firstLine="453"/>
            </w:pPr>
            <w:r>
              <w:rPr>
                <w:spacing w:val="-2"/>
              </w:rPr>
              <w:t>根据曲靖市生态环境局生态环境分区管控查询：项</w:t>
            </w:r>
            <w:r>
              <w:rPr>
                <w:spacing w:val="-3"/>
              </w:rPr>
              <w:t>目占地范围内</w:t>
            </w:r>
            <w:r>
              <w:t xml:space="preserve">  </w:t>
            </w:r>
            <w:r>
              <w:rPr>
                <w:spacing w:val="-3"/>
              </w:rPr>
              <w:t>涉及马龙区一般生态空间优先保护单元中占用类型为、公益林、生态</w:t>
            </w:r>
            <w:r>
              <w:t xml:space="preserve">  </w:t>
            </w:r>
            <w:r>
              <w:rPr>
                <w:spacing w:val="-3"/>
              </w:rPr>
              <w:t>控制区。项目占用曲靖市生态环境分区管控查询结果表详</w:t>
            </w:r>
            <w:r>
              <w:rPr>
                <w:spacing w:val="-4"/>
              </w:rPr>
              <w:t>见下表1-2。</w:t>
            </w:r>
          </w:p>
          <w:p w14:paraId="1054A52C">
            <w:pPr>
              <w:pStyle w:val="6"/>
              <w:spacing w:line="218" w:lineRule="auto"/>
              <w:ind w:left="795"/>
            </w:pPr>
            <w:r>
              <w:rPr>
                <w:b/>
                <w:bCs/>
                <w:spacing w:val="-3"/>
              </w:rPr>
              <w:t>表1-2项目占用曲靖市生态环境分区管控查询结果表</w:t>
            </w:r>
          </w:p>
        </w:tc>
      </w:tr>
      <w:tr w14:paraId="0FEF5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573" w:type="dxa"/>
            <w:vMerge w:val="continue"/>
            <w:tcBorders>
              <w:top w:val="nil"/>
              <w:bottom w:val="nil"/>
            </w:tcBorders>
            <w:vAlign w:val="top"/>
          </w:tcPr>
          <w:p w14:paraId="362D4D9C">
            <w:pPr>
              <w:rPr>
                <w:rFonts w:ascii="Arial"/>
                <w:sz w:val="21"/>
              </w:rPr>
            </w:pPr>
          </w:p>
        </w:tc>
        <w:tc>
          <w:tcPr>
            <w:tcW w:w="2637" w:type="dxa"/>
            <w:gridSpan w:val="2"/>
            <w:vAlign w:val="top"/>
          </w:tcPr>
          <w:p w14:paraId="78FC643A">
            <w:pPr>
              <w:rPr>
                <w:rFonts w:ascii="Arial"/>
                <w:sz w:val="21"/>
              </w:rPr>
            </w:pPr>
          </w:p>
        </w:tc>
        <w:tc>
          <w:tcPr>
            <w:tcW w:w="2637" w:type="dxa"/>
            <w:vAlign w:val="top"/>
          </w:tcPr>
          <w:p w14:paraId="69AC48F7">
            <w:pPr>
              <w:pStyle w:val="6"/>
              <w:spacing w:before="32" w:line="167" w:lineRule="auto"/>
              <w:ind w:left="1075"/>
            </w:pPr>
            <w:r>
              <w:rPr>
                <w:spacing w:val="6"/>
              </w:rPr>
              <w:t>内容</w:t>
            </w:r>
          </w:p>
        </w:tc>
        <w:tc>
          <w:tcPr>
            <w:tcW w:w="1967" w:type="dxa"/>
            <w:vAlign w:val="top"/>
          </w:tcPr>
          <w:p w14:paraId="01F8DAE6">
            <w:pPr>
              <w:pStyle w:val="6"/>
              <w:spacing w:before="34" w:line="166" w:lineRule="auto"/>
              <w:ind w:left="128"/>
            </w:pPr>
            <w:r>
              <w:rPr>
                <w:spacing w:val="24"/>
              </w:rPr>
              <w:t>占用面积(</w:t>
            </w:r>
            <w:r>
              <w:t>hm</w:t>
            </w:r>
            <w:r>
              <w:rPr>
                <w:spacing w:val="24"/>
              </w:rPr>
              <w:t>²)</w:t>
            </w:r>
          </w:p>
        </w:tc>
      </w:tr>
      <w:tr w14:paraId="1B355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573" w:type="dxa"/>
            <w:vMerge w:val="continue"/>
            <w:tcBorders>
              <w:top w:val="nil"/>
              <w:bottom w:val="nil"/>
            </w:tcBorders>
            <w:vAlign w:val="top"/>
          </w:tcPr>
          <w:p w14:paraId="11F663E5">
            <w:pPr>
              <w:rPr>
                <w:rFonts w:ascii="Arial"/>
                <w:sz w:val="21"/>
              </w:rPr>
            </w:pPr>
          </w:p>
        </w:tc>
        <w:tc>
          <w:tcPr>
            <w:tcW w:w="1249" w:type="dxa"/>
            <w:vMerge w:val="restart"/>
            <w:tcBorders>
              <w:bottom w:val="nil"/>
            </w:tcBorders>
            <w:vAlign w:val="top"/>
          </w:tcPr>
          <w:p w14:paraId="080A9D46">
            <w:pPr>
              <w:spacing w:line="256" w:lineRule="auto"/>
              <w:rPr>
                <w:rFonts w:ascii="Arial"/>
                <w:sz w:val="21"/>
              </w:rPr>
            </w:pPr>
          </w:p>
          <w:p w14:paraId="71AE04F1">
            <w:pPr>
              <w:spacing w:line="257" w:lineRule="auto"/>
              <w:rPr>
                <w:rFonts w:ascii="Arial"/>
                <w:sz w:val="21"/>
              </w:rPr>
            </w:pPr>
          </w:p>
          <w:p w14:paraId="1BCB3F05">
            <w:pPr>
              <w:pStyle w:val="6"/>
              <w:spacing w:before="78" w:line="220" w:lineRule="auto"/>
              <w:ind w:right="11"/>
              <w:jc w:val="right"/>
            </w:pPr>
            <w:r>
              <w:rPr>
                <w:spacing w:val="11"/>
              </w:rPr>
              <w:t>占用项目</w:t>
            </w:r>
          </w:p>
        </w:tc>
        <w:tc>
          <w:tcPr>
            <w:tcW w:w="1388" w:type="dxa"/>
            <w:vMerge w:val="restart"/>
            <w:tcBorders>
              <w:bottom w:val="nil"/>
            </w:tcBorders>
            <w:vAlign w:val="top"/>
          </w:tcPr>
          <w:p w14:paraId="74894638">
            <w:pPr>
              <w:spacing w:line="255" w:lineRule="auto"/>
              <w:rPr>
                <w:rFonts w:ascii="Arial"/>
                <w:sz w:val="21"/>
              </w:rPr>
            </w:pPr>
          </w:p>
          <w:p w14:paraId="09F63629">
            <w:pPr>
              <w:pStyle w:val="6"/>
              <w:spacing w:before="78" w:line="216" w:lineRule="auto"/>
              <w:ind w:left="562" w:right="81" w:hanging="479"/>
            </w:pPr>
            <w:r>
              <w:rPr>
                <w:spacing w:val="2"/>
              </w:rPr>
              <w:t xml:space="preserve">一般生态空 </w:t>
            </w:r>
            <w:r>
              <w:t>间</w:t>
            </w:r>
          </w:p>
        </w:tc>
        <w:tc>
          <w:tcPr>
            <w:tcW w:w="2637" w:type="dxa"/>
            <w:vAlign w:val="top"/>
          </w:tcPr>
          <w:p w14:paraId="18FD5557">
            <w:pPr>
              <w:pStyle w:val="6"/>
              <w:spacing w:before="23" w:line="182" w:lineRule="auto"/>
              <w:ind w:left="955"/>
            </w:pPr>
            <w:r>
              <w:rPr>
                <w:spacing w:val="3"/>
              </w:rPr>
              <w:t>天然林</w:t>
            </w:r>
          </w:p>
        </w:tc>
        <w:tc>
          <w:tcPr>
            <w:tcW w:w="1967" w:type="dxa"/>
            <w:vAlign w:val="top"/>
          </w:tcPr>
          <w:p w14:paraId="279002FD">
            <w:pPr>
              <w:pStyle w:val="6"/>
              <w:spacing w:before="48" w:line="163" w:lineRule="auto"/>
              <w:ind w:left="668"/>
            </w:pPr>
            <w:r>
              <w:rPr>
                <w:spacing w:val="-2"/>
              </w:rPr>
              <w:t>0.566</w:t>
            </w:r>
          </w:p>
        </w:tc>
      </w:tr>
      <w:tr w14:paraId="3064F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573" w:type="dxa"/>
            <w:vMerge w:val="continue"/>
            <w:tcBorders>
              <w:top w:val="nil"/>
              <w:bottom w:val="nil"/>
            </w:tcBorders>
            <w:vAlign w:val="top"/>
          </w:tcPr>
          <w:p w14:paraId="1EC7D9B5">
            <w:pPr>
              <w:rPr>
                <w:rFonts w:ascii="Arial"/>
                <w:sz w:val="21"/>
              </w:rPr>
            </w:pPr>
          </w:p>
        </w:tc>
        <w:tc>
          <w:tcPr>
            <w:tcW w:w="1249" w:type="dxa"/>
            <w:vMerge w:val="continue"/>
            <w:tcBorders>
              <w:top w:val="nil"/>
              <w:bottom w:val="nil"/>
            </w:tcBorders>
            <w:vAlign w:val="top"/>
          </w:tcPr>
          <w:p w14:paraId="17FC8627">
            <w:pPr>
              <w:rPr>
                <w:rFonts w:ascii="Arial"/>
                <w:sz w:val="21"/>
              </w:rPr>
            </w:pPr>
          </w:p>
        </w:tc>
        <w:tc>
          <w:tcPr>
            <w:tcW w:w="1388" w:type="dxa"/>
            <w:vMerge w:val="continue"/>
            <w:tcBorders>
              <w:top w:val="nil"/>
              <w:bottom w:val="nil"/>
            </w:tcBorders>
            <w:vAlign w:val="top"/>
          </w:tcPr>
          <w:p w14:paraId="46D22E75">
            <w:pPr>
              <w:rPr>
                <w:rFonts w:ascii="Arial"/>
                <w:sz w:val="21"/>
              </w:rPr>
            </w:pPr>
          </w:p>
        </w:tc>
        <w:tc>
          <w:tcPr>
            <w:tcW w:w="2637" w:type="dxa"/>
            <w:vAlign w:val="top"/>
          </w:tcPr>
          <w:p w14:paraId="0DB6F2C7">
            <w:pPr>
              <w:pStyle w:val="6"/>
              <w:spacing w:before="33" w:line="189" w:lineRule="auto"/>
              <w:ind w:left="595"/>
            </w:pPr>
            <w:r>
              <w:rPr>
                <w:spacing w:val="1"/>
              </w:rPr>
              <w:t>国家级公益林</w:t>
            </w:r>
          </w:p>
        </w:tc>
        <w:tc>
          <w:tcPr>
            <w:tcW w:w="1967" w:type="dxa"/>
            <w:vAlign w:val="top"/>
          </w:tcPr>
          <w:p w14:paraId="7B3D74AB">
            <w:pPr>
              <w:pStyle w:val="6"/>
              <w:spacing w:before="58" w:line="170" w:lineRule="auto"/>
              <w:ind w:left="608"/>
            </w:pPr>
            <w:r>
              <w:rPr>
                <w:spacing w:val="-2"/>
              </w:rPr>
              <w:t>6.1837</w:t>
            </w:r>
          </w:p>
        </w:tc>
      </w:tr>
      <w:tr w14:paraId="5C4A7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573" w:type="dxa"/>
            <w:vMerge w:val="continue"/>
            <w:tcBorders>
              <w:top w:val="nil"/>
              <w:bottom w:val="nil"/>
            </w:tcBorders>
            <w:vAlign w:val="top"/>
          </w:tcPr>
          <w:p w14:paraId="442B29EE">
            <w:pPr>
              <w:rPr>
                <w:rFonts w:ascii="Arial"/>
                <w:sz w:val="21"/>
              </w:rPr>
            </w:pPr>
          </w:p>
        </w:tc>
        <w:tc>
          <w:tcPr>
            <w:tcW w:w="1249" w:type="dxa"/>
            <w:vMerge w:val="continue"/>
            <w:tcBorders>
              <w:top w:val="nil"/>
              <w:bottom w:val="nil"/>
            </w:tcBorders>
            <w:vAlign w:val="top"/>
          </w:tcPr>
          <w:p w14:paraId="214A07BC">
            <w:pPr>
              <w:rPr>
                <w:rFonts w:ascii="Arial"/>
                <w:sz w:val="21"/>
              </w:rPr>
            </w:pPr>
          </w:p>
        </w:tc>
        <w:tc>
          <w:tcPr>
            <w:tcW w:w="1388" w:type="dxa"/>
            <w:vMerge w:val="continue"/>
            <w:tcBorders>
              <w:top w:val="nil"/>
              <w:bottom w:val="nil"/>
            </w:tcBorders>
            <w:vAlign w:val="top"/>
          </w:tcPr>
          <w:p w14:paraId="1020944F">
            <w:pPr>
              <w:rPr>
                <w:rFonts w:ascii="Arial"/>
                <w:sz w:val="21"/>
              </w:rPr>
            </w:pPr>
          </w:p>
        </w:tc>
        <w:tc>
          <w:tcPr>
            <w:tcW w:w="2637" w:type="dxa"/>
            <w:vAlign w:val="top"/>
          </w:tcPr>
          <w:p w14:paraId="106F8082">
            <w:pPr>
              <w:pStyle w:val="6"/>
              <w:spacing w:before="34" w:line="166" w:lineRule="auto"/>
              <w:ind w:left="715"/>
            </w:pPr>
            <w:r>
              <w:rPr>
                <w:spacing w:val="1"/>
              </w:rPr>
              <w:t>省级公益林</w:t>
            </w:r>
          </w:p>
        </w:tc>
        <w:tc>
          <w:tcPr>
            <w:tcW w:w="1967" w:type="dxa"/>
            <w:vAlign w:val="top"/>
          </w:tcPr>
          <w:p w14:paraId="77F0E028">
            <w:pPr>
              <w:pStyle w:val="6"/>
              <w:spacing w:before="58" w:line="192" w:lineRule="exact"/>
              <w:ind w:left="548"/>
            </w:pPr>
            <w:r>
              <w:rPr>
                <w:spacing w:val="-2"/>
                <w:position w:val="-3"/>
              </w:rPr>
              <w:t>26.2355</w:t>
            </w:r>
          </w:p>
        </w:tc>
      </w:tr>
      <w:tr w14:paraId="21546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573" w:type="dxa"/>
            <w:vMerge w:val="continue"/>
            <w:tcBorders>
              <w:top w:val="nil"/>
              <w:bottom w:val="nil"/>
            </w:tcBorders>
            <w:vAlign w:val="top"/>
          </w:tcPr>
          <w:p w14:paraId="1DE1D42B">
            <w:pPr>
              <w:rPr>
                <w:rFonts w:ascii="Arial"/>
                <w:sz w:val="21"/>
              </w:rPr>
            </w:pPr>
          </w:p>
        </w:tc>
        <w:tc>
          <w:tcPr>
            <w:tcW w:w="1249" w:type="dxa"/>
            <w:vMerge w:val="continue"/>
            <w:tcBorders>
              <w:top w:val="nil"/>
              <w:bottom w:val="nil"/>
            </w:tcBorders>
            <w:vAlign w:val="top"/>
          </w:tcPr>
          <w:p w14:paraId="3C6C8504">
            <w:pPr>
              <w:rPr>
                <w:rFonts w:ascii="Arial"/>
                <w:sz w:val="21"/>
              </w:rPr>
            </w:pPr>
          </w:p>
        </w:tc>
        <w:tc>
          <w:tcPr>
            <w:tcW w:w="1388" w:type="dxa"/>
            <w:vMerge w:val="continue"/>
            <w:tcBorders>
              <w:top w:val="nil"/>
            </w:tcBorders>
            <w:vAlign w:val="top"/>
          </w:tcPr>
          <w:p w14:paraId="644CA7C8">
            <w:pPr>
              <w:rPr>
                <w:rFonts w:ascii="Arial"/>
                <w:sz w:val="21"/>
              </w:rPr>
            </w:pPr>
          </w:p>
        </w:tc>
        <w:tc>
          <w:tcPr>
            <w:tcW w:w="2637" w:type="dxa"/>
            <w:vAlign w:val="top"/>
          </w:tcPr>
          <w:p w14:paraId="7FBE9440">
            <w:pPr>
              <w:pStyle w:val="6"/>
              <w:spacing w:before="25" w:line="180" w:lineRule="auto"/>
              <w:ind w:left="715"/>
            </w:pPr>
            <w:r>
              <w:rPr>
                <w:spacing w:val="4"/>
              </w:rPr>
              <w:t>生态控制区</w:t>
            </w:r>
          </w:p>
        </w:tc>
        <w:tc>
          <w:tcPr>
            <w:tcW w:w="1967" w:type="dxa"/>
            <w:vAlign w:val="top"/>
          </w:tcPr>
          <w:p w14:paraId="15204548">
            <w:pPr>
              <w:pStyle w:val="6"/>
              <w:spacing w:before="48" w:line="162" w:lineRule="auto"/>
              <w:ind w:left="548"/>
            </w:pPr>
            <w:r>
              <w:rPr>
                <w:spacing w:val="-2"/>
              </w:rPr>
              <w:t>43.1961</w:t>
            </w:r>
          </w:p>
        </w:tc>
      </w:tr>
      <w:tr w14:paraId="7327A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73" w:type="dxa"/>
            <w:vMerge w:val="continue"/>
            <w:tcBorders>
              <w:top w:val="nil"/>
              <w:bottom w:val="nil"/>
            </w:tcBorders>
            <w:vAlign w:val="top"/>
          </w:tcPr>
          <w:p w14:paraId="07E787EA">
            <w:pPr>
              <w:rPr>
                <w:rFonts w:ascii="Arial"/>
                <w:sz w:val="21"/>
              </w:rPr>
            </w:pPr>
          </w:p>
        </w:tc>
        <w:tc>
          <w:tcPr>
            <w:tcW w:w="1249" w:type="dxa"/>
            <w:vMerge w:val="continue"/>
            <w:tcBorders>
              <w:top w:val="nil"/>
            </w:tcBorders>
            <w:vAlign w:val="top"/>
          </w:tcPr>
          <w:p w14:paraId="5DB8CDCE">
            <w:pPr>
              <w:rPr>
                <w:rFonts w:ascii="Arial"/>
                <w:sz w:val="21"/>
              </w:rPr>
            </w:pPr>
          </w:p>
        </w:tc>
        <w:tc>
          <w:tcPr>
            <w:tcW w:w="1388" w:type="dxa"/>
            <w:vAlign w:val="top"/>
          </w:tcPr>
          <w:p w14:paraId="367E522F">
            <w:pPr>
              <w:pStyle w:val="6"/>
              <w:spacing w:before="36" w:line="187" w:lineRule="auto"/>
              <w:ind w:left="203"/>
            </w:pPr>
            <w:r>
              <w:rPr>
                <w:spacing w:val="2"/>
              </w:rPr>
              <w:t>其他区域</w:t>
            </w:r>
          </w:p>
        </w:tc>
        <w:tc>
          <w:tcPr>
            <w:tcW w:w="2637" w:type="dxa"/>
            <w:vAlign w:val="top"/>
          </w:tcPr>
          <w:p w14:paraId="42395962">
            <w:pPr>
              <w:pStyle w:val="6"/>
              <w:spacing w:before="35" w:line="188" w:lineRule="auto"/>
              <w:ind w:left="715"/>
            </w:pPr>
            <w:r>
              <w:rPr>
                <w:spacing w:val="4"/>
              </w:rPr>
              <w:t>一般管控区</w:t>
            </w:r>
          </w:p>
        </w:tc>
        <w:tc>
          <w:tcPr>
            <w:tcW w:w="1967" w:type="dxa"/>
            <w:vAlign w:val="top"/>
          </w:tcPr>
          <w:p w14:paraId="33E4F528">
            <w:pPr>
              <w:pStyle w:val="6"/>
              <w:spacing w:before="60" w:line="169" w:lineRule="auto"/>
              <w:ind w:left="488"/>
            </w:pPr>
            <w:r>
              <w:rPr>
                <w:spacing w:val="-3"/>
              </w:rPr>
              <w:t>132.6902</w:t>
            </w:r>
          </w:p>
        </w:tc>
      </w:tr>
      <w:tr w14:paraId="2258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573" w:type="dxa"/>
            <w:vMerge w:val="continue"/>
            <w:tcBorders>
              <w:top w:val="nil"/>
              <w:bottom w:val="nil"/>
            </w:tcBorders>
            <w:vAlign w:val="top"/>
          </w:tcPr>
          <w:p w14:paraId="25AAA74F">
            <w:pPr>
              <w:rPr>
                <w:rFonts w:ascii="Arial"/>
                <w:sz w:val="21"/>
              </w:rPr>
            </w:pPr>
          </w:p>
        </w:tc>
        <w:tc>
          <w:tcPr>
            <w:tcW w:w="5274" w:type="dxa"/>
            <w:gridSpan w:val="3"/>
            <w:vAlign w:val="top"/>
          </w:tcPr>
          <w:p w14:paraId="4C3DCA88">
            <w:pPr>
              <w:pStyle w:val="6"/>
              <w:spacing w:before="36" w:line="164" w:lineRule="auto"/>
              <w:ind w:left="2412"/>
            </w:pPr>
            <w:r>
              <w:rPr>
                <w:spacing w:val="5"/>
              </w:rPr>
              <w:t>合计</w:t>
            </w:r>
          </w:p>
        </w:tc>
        <w:tc>
          <w:tcPr>
            <w:tcW w:w="1967" w:type="dxa"/>
            <w:vAlign w:val="top"/>
          </w:tcPr>
          <w:p w14:paraId="3166FE57">
            <w:pPr>
              <w:pStyle w:val="6"/>
              <w:spacing w:before="59" w:line="191" w:lineRule="exact"/>
              <w:ind w:left="488"/>
            </w:pPr>
            <w:r>
              <w:rPr>
                <w:spacing w:val="-2"/>
                <w:position w:val="-3"/>
              </w:rPr>
              <w:t>208.8715</w:t>
            </w:r>
          </w:p>
        </w:tc>
      </w:tr>
      <w:tr w14:paraId="20D5E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0" w:hRule="atLeast"/>
        </w:trPr>
        <w:tc>
          <w:tcPr>
            <w:tcW w:w="1573" w:type="dxa"/>
            <w:vMerge w:val="continue"/>
            <w:tcBorders>
              <w:top w:val="nil"/>
            </w:tcBorders>
            <w:vAlign w:val="top"/>
          </w:tcPr>
          <w:p w14:paraId="4F21F429">
            <w:pPr>
              <w:rPr>
                <w:rFonts w:ascii="Arial"/>
                <w:sz w:val="21"/>
              </w:rPr>
            </w:pPr>
          </w:p>
        </w:tc>
        <w:tc>
          <w:tcPr>
            <w:tcW w:w="7241" w:type="dxa"/>
            <w:gridSpan w:val="4"/>
            <w:vAlign w:val="top"/>
          </w:tcPr>
          <w:p w14:paraId="24AD62EB">
            <w:pPr>
              <w:pStyle w:val="6"/>
              <w:spacing w:before="43" w:line="357" w:lineRule="auto"/>
              <w:ind w:left="12" w:right="18" w:firstLine="439"/>
              <w:jc w:val="both"/>
            </w:pPr>
            <w:r>
              <w:rPr>
                <w:spacing w:val="-1"/>
              </w:rPr>
              <w:t>根据《曲靖市马龙区林业和草原局关于几沃梁子农光互补光伏发</w:t>
            </w:r>
            <w:r>
              <w:rPr>
                <w:spacing w:val="17"/>
              </w:rPr>
              <w:t xml:space="preserve"> </w:t>
            </w:r>
            <w:r>
              <w:rPr>
                <w:spacing w:val="4"/>
              </w:rPr>
              <w:t>电项目选址意见的复函》,参照马龙区2020年</w:t>
            </w:r>
            <w:r>
              <w:rPr>
                <w:spacing w:val="3"/>
              </w:rPr>
              <w:t>森林资源管理一张图、</w:t>
            </w:r>
            <w:r>
              <w:t xml:space="preserve"> 公益林、自然保护地等涉林数据库，项目选址意见如</w:t>
            </w:r>
            <w:r>
              <w:rPr>
                <w:spacing w:val="-1"/>
              </w:rPr>
              <w:t>下：</w:t>
            </w:r>
          </w:p>
          <w:p w14:paraId="4B8C1644">
            <w:pPr>
              <w:pStyle w:val="6"/>
              <w:spacing w:line="219" w:lineRule="auto"/>
              <w:ind w:left="472"/>
            </w:pPr>
            <w:r>
              <w:t>1、项目选址位于马龙区旧县街道、马鸣乡境</w:t>
            </w:r>
            <w:r>
              <w:rPr>
                <w:spacing w:val="-1"/>
              </w:rPr>
              <w:t>内。</w:t>
            </w:r>
          </w:p>
          <w:p w14:paraId="7A8E398C">
            <w:pPr>
              <w:pStyle w:val="6"/>
              <w:spacing w:before="185" w:line="219" w:lineRule="auto"/>
              <w:ind w:left="472"/>
            </w:pPr>
            <w:r>
              <w:t>2、项目选址不涉及各类林业部门管理的自然保护</w:t>
            </w:r>
            <w:r>
              <w:rPr>
                <w:spacing w:val="-1"/>
              </w:rPr>
              <w:t>地。</w:t>
            </w:r>
          </w:p>
          <w:p w14:paraId="3BF0EC4E">
            <w:pPr>
              <w:pStyle w:val="6"/>
              <w:spacing w:before="185" w:line="312" w:lineRule="auto"/>
              <w:ind w:left="12" w:firstLine="399"/>
            </w:pPr>
            <w:r>
              <w:rPr>
                <w:spacing w:val="-1"/>
              </w:rPr>
              <w:t>3、项目选址涉及使用林地：按森林类别分国家二级公益林地、省</w:t>
            </w:r>
            <w:r>
              <w:rPr>
                <w:spacing w:val="7"/>
              </w:rPr>
              <w:t xml:space="preserve"> </w:t>
            </w:r>
            <w:r>
              <w:t>级公益林、重点商品林、一般商品林，起源为人工，按林地保护等级</w:t>
            </w:r>
            <w:r>
              <w:rPr>
                <w:spacing w:val="6"/>
              </w:rPr>
              <w:t xml:space="preserve"> </w:t>
            </w:r>
            <w:r>
              <w:rPr>
                <w:spacing w:val="-1"/>
              </w:rPr>
              <w:t>分IⅡ、Ⅲ、IV级。</w:t>
            </w:r>
          </w:p>
          <w:p w14:paraId="1E205E65">
            <w:pPr>
              <w:pStyle w:val="6"/>
              <w:spacing w:before="173" w:line="294" w:lineRule="auto"/>
              <w:ind w:left="12" w:right="9" w:firstLine="399"/>
            </w:pPr>
            <w:r>
              <w:rPr>
                <w:spacing w:val="-1"/>
              </w:rPr>
              <w:t>4、项目选址区内林地主要地类是有林地、一般灌木林地、</w:t>
            </w:r>
            <w:r>
              <w:rPr>
                <w:spacing w:val="-2"/>
              </w:rPr>
              <w:t>其他林</w:t>
            </w:r>
            <w:r>
              <w:t xml:space="preserve"> </w:t>
            </w:r>
            <w:r>
              <w:rPr>
                <w:spacing w:val="-1"/>
              </w:rPr>
              <w:t>地等。</w:t>
            </w:r>
          </w:p>
          <w:p w14:paraId="6B9B9BC8">
            <w:pPr>
              <w:pStyle w:val="6"/>
              <w:spacing w:before="181" w:line="352" w:lineRule="auto"/>
              <w:ind w:left="12" w:firstLine="439"/>
              <w:jc w:val="both"/>
            </w:pPr>
            <w:r>
              <w:rPr>
                <w:spacing w:val="2"/>
              </w:rPr>
              <w:t>根据《几沃梁子农光互补光伏发电项目使用林地可行性报告》,</w:t>
            </w:r>
            <w:r>
              <w:rPr>
                <w:spacing w:val="3"/>
              </w:rPr>
              <w:t xml:space="preserve">  </w:t>
            </w:r>
            <w:r>
              <w:t>项目选址内使用林地地类为一般灌木林地和其他林地，占用林地</w:t>
            </w:r>
            <w:r>
              <w:rPr>
                <w:spacing w:val="-1"/>
              </w:rPr>
              <w:t>起源</w:t>
            </w:r>
            <w:r>
              <w:t xml:space="preserve"> 为人工。几沃梁子农光互补光伏发电项目用地规模208.8715hm²,其中</w:t>
            </w:r>
            <w:r>
              <w:rPr>
                <w:spacing w:val="15"/>
              </w:rPr>
              <w:t xml:space="preserve"> </w:t>
            </w:r>
            <w:r>
              <w:rPr>
                <w:spacing w:val="3"/>
              </w:rPr>
              <w:t>林地面积51.3563</w:t>
            </w:r>
            <w:r>
              <w:t>hm</w:t>
            </w:r>
            <w:r>
              <w:rPr>
                <w:spacing w:val="3"/>
              </w:rPr>
              <w:t>²,非林地面积157.5152</w:t>
            </w:r>
            <w:r>
              <w:t>hm</w:t>
            </w:r>
            <w:r>
              <w:rPr>
                <w:spacing w:val="3"/>
              </w:rPr>
              <w:t>²,使用林地性质为永久</w:t>
            </w:r>
            <w:r>
              <w:rPr>
                <w:spacing w:val="10"/>
              </w:rPr>
              <w:t xml:space="preserve"> </w:t>
            </w:r>
            <w:r>
              <w:t>性使用林地面积1.4147hm²,临时性使用林地面积49.9416hm²。临时用</w:t>
            </w:r>
          </w:p>
        </w:tc>
      </w:tr>
    </w:tbl>
    <w:p w14:paraId="3DAE3B77">
      <w:pPr>
        <w:pStyle w:val="2"/>
      </w:pPr>
    </w:p>
    <w:p w14:paraId="0206CB65">
      <w:pPr>
        <w:sectPr>
          <w:footerReference r:id="rId12" w:type="default"/>
          <w:pgSz w:w="11910" w:h="16840"/>
          <w:pgMar w:top="1431" w:right="1590" w:bottom="1253" w:left="1494" w:header="0" w:footer="1093" w:gutter="0"/>
          <w:cols w:space="720" w:num="1"/>
        </w:sectPr>
      </w:pPr>
    </w:p>
    <w:p w14:paraId="6F629BA2">
      <w:pPr>
        <w:spacing w:line="93" w:lineRule="exact"/>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297"/>
      </w:tblGrid>
      <w:tr w14:paraId="6C600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5FC1EA88">
            <w:pPr>
              <w:rPr>
                <w:rFonts w:ascii="Arial"/>
                <w:sz w:val="21"/>
              </w:rPr>
            </w:pPr>
          </w:p>
        </w:tc>
        <w:tc>
          <w:tcPr>
            <w:tcW w:w="7297" w:type="dxa"/>
            <w:vAlign w:val="top"/>
          </w:tcPr>
          <w:p w14:paraId="7CF5CFA3">
            <w:pPr>
              <w:pStyle w:val="6"/>
              <w:spacing w:before="22" w:line="360" w:lineRule="auto"/>
              <w:ind w:left="12" w:right="52"/>
              <w:jc w:val="both"/>
            </w:pPr>
            <w:r>
              <w:t>地和永久用地不属于云南省天然林资源保护工程实施区，不涉及自然</w:t>
            </w:r>
            <w:r>
              <w:rPr>
                <w:spacing w:val="11"/>
              </w:rPr>
              <w:t xml:space="preserve"> </w:t>
            </w:r>
            <w:r>
              <w:rPr>
                <w:spacing w:val="1"/>
              </w:rPr>
              <w:t>保护区、森林公园、湿地公园和风景名胜区等重</w:t>
            </w:r>
            <w:r>
              <w:t>点生态区域。不在马 龙区城市规划区内。项目电池组件阵列区、塔基和升压站使用林地权</w:t>
            </w:r>
            <w:r>
              <w:rPr>
                <w:spacing w:val="8"/>
              </w:rPr>
              <w:t xml:space="preserve"> </w:t>
            </w:r>
            <w:r>
              <w:t>属为马龙区各村民小组集体所有。已由项目业主单位与林权权利人签</w:t>
            </w:r>
            <w:r>
              <w:rPr>
                <w:spacing w:val="9"/>
              </w:rPr>
              <w:t xml:space="preserve"> </w:t>
            </w:r>
            <w:r>
              <w:t>订书面协议，通过租赁、作价入股等流转方式使用林地。</w:t>
            </w:r>
          </w:p>
          <w:p w14:paraId="317432C5">
            <w:pPr>
              <w:pStyle w:val="6"/>
              <w:spacing w:line="359" w:lineRule="auto"/>
              <w:ind w:left="12" w:right="42" w:firstLine="499"/>
              <w:jc w:val="both"/>
            </w:pPr>
            <w:r>
              <w:t>生态环境分区管控查询结果数据库与林勘报告林地占用性质调查</w:t>
            </w:r>
            <w:r>
              <w:rPr>
                <w:spacing w:val="11"/>
              </w:rPr>
              <w:t xml:space="preserve"> </w:t>
            </w:r>
            <w:r>
              <w:t>不一致，原因为查询数据库图源不一致，占用林地类型和地类以林勘</w:t>
            </w:r>
            <w:r>
              <w:rPr>
                <w:spacing w:val="13"/>
              </w:rPr>
              <w:t xml:space="preserve"> </w:t>
            </w:r>
            <w:r>
              <w:rPr>
                <w:spacing w:val="-1"/>
              </w:rPr>
              <w:t>报告中查询为准。</w:t>
            </w:r>
          </w:p>
          <w:p w14:paraId="4D5B5B18">
            <w:pPr>
              <w:pStyle w:val="6"/>
              <w:spacing w:before="2" w:line="358" w:lineRule="auto"/>
              <w:ind w:left="12" w:right="23" w:firstLine="509"/>
              <w:jc w:val="both"/>
            </w:pPr>
            <w:r>
              <w:rPr>
                <w:spacing w:val="1"/>
              </w:rPr>
              <w:t>同时根据生态环境分区管控查询结果和曲靖市</w:t>
            </w:r>
            <w:r>
              <w:t>马龙区自然资源局 出具意见，项目用地不涉及在国家公园、自然保护区、森林公园、风</w:t>
            </w:r>
            <w:r>
              <w:rPr>
                <w:spacing w:val="10"/>
              </w:rPr>
              <w:t xml:space="preserve"> </w:t>
            </w:r>
            <w:r>
              <w:t>景名胜区、草原公园等各类自然保护地，世界自然遗产地，野生动物</w:t>
            </w:r>
            <w:r>
              <w:rPr>
                <w:spacing w:val="11"/>
              </w:rPr>
              <w:t xml:space="preserve"> </w:t>
            </w:r>
            <w:r>
              <w:t>重要栖息地，珍稀濒危和极小种群野生植物重要原生境，天然林保护</w:t>
            </w:r>
            <w:r>
              <w:rPr>
                <w:spacing w:val="16"/>
              </w:rPr>
              <w:t xml:space="preserve"> </w:t>
            </w:r>
            <w:r>
              <w:t>重点区域、基本草原以及生态保护红线。</w:t>
            </w:r>
          </w:p>
          <w:p w14:paraId="24A5CA8C">
            <w:pPr>
              <w:pStyle w:val="6"/>
              <w:spacing w:before="2" w:line="361" w:lineRule="auto"/>
              <w:ind w:left="12" w:right="54" w:firstLine="499"/>
              <w:jc w:val="both"/>
            </w:pPr>
            <w:r>
              <w:t>根据项目可研，项目不新建道路，仅对部分道路进行加宽处理。 施工期施工人员就近租用施工场地附近村民房</w:t>
            </w:r>
            <w:r>
              <w:rPr>
                <w:spacing w:val="-1"/>
              </w:rPr>
              <w:t>屋，不设置生活区。施</w:t>
            </w:r>
            <w:r>
              <w:t xml:space="preserve"> 工原料在施工场地附近集镇内租用仓库存放，施工场地不设置原料仓</w:t>
            </w:r>
            <w:r>
              <w:rPr>
                <w:spacing w:val="8"/>
              </w:rPr>
              <w:t xml:space="preserve"> </w:t>
            </w:r>
            <w:r>
              <w:rPr>
                <w:spacing w:val="-1"/>
              </w:rPr>
              <w:t>库。项目升压站、塔基永久占地性质为其他用地。同时项目的土石方</w:t>
            </w:r>
            <w:r>
              <w:rPr>
                <w:spacing w:val="18"/>
              </w:rPr>
              <w:t xml:space="preserve"> </w:t>
            </w:r>
            <w:r>
              <w:t>量较小，根据土石方平衡章节，场地内土石方平衡，不设置取弃土场</w:t>
            </w:r>
            <w:r>
              <w:rPr>
                <w:spacing w:val="13"/>
              </w:rPr>
              <w:t xml:space="preserve"> </w:t>
            </w:r>
            <w:r>
              <w:t>及弃渣场。电池组件阵列使用林地地类为一般灌木林地和其他林地， 占用林地起源为人工。根据现场调查，临时用地范围内灌丛面积</w:t>
            </w:r>
          </w:p>
          <w:p w14:paraId="3FE8B2C2">
            <w:pPr>
              <w:pStyle w:val="6"/>
              <w:spacing w:before="2" w:line="358" w:lineRule="auto"/>
              <w:ind w:left="12" w:firstLine="9"/>
            </w:pPr>
            <w:r>
              <w:rPr>
                <w:spacing w:val="2"/>
              </w:rPr>
              <w:t>38.42</w:t>
            </w:r>
            <w:r>
              <w:t>hm</w:t>
            </w:r>
            <w:r>
              <w:rPr>
                <w:spacing w:val="2"/>
              </w:rPr>
              <w:t>²,灌丛占临时用地面积的18.3%。临时用地</w:t>
            </w:r>
            <w:r>
              <w:rPr>
                <w:spacing w:val="1"/>
              </w:rPr>
              <w:t>不属于有林地、疏</w:t>
            </w:r>
            <w:r>
              <w:t xml:space="preserve"> </w:t>
            </w:r>
            <w:r>
              <w:rPr>
                <w:spacing w:val="-2"/>
              </w:rPr>
              <w:t>林地、未成林造林地、火烧迹地，以及年降雨量400毫米以下区域覆盖</w:t>
            </w:r>
            <w:r>
              <w:rPr>
                <w:spacing w:val="17"/>
              </w:rPr>
              <w:t xml:space="preserve"> </w:t>
            </w:r>
            <w:r>
              <w:rPr>
                <w:spacing w:val="1"/>
              </w:rPr>
              <w:t>度高于30%的灌木林地和年降雨量400毫米以上区域覆盖度高于5</w:t>
            </w:r>
            <w:r>
              <w:t xml:space="preserve">0%的  </w:t>
            </w:r>
            <w:r>
              <w:rPr>
                <w:spacing w:val="-1"/>
              </w:rPr>
              <w:t>灌木林地。</w:t>
            </w:r>
          </w:p>
          <w:p w14:paraId="0CD94DDC">
            <w:pPr>
              <w:pStyle w:val="6"/>
              <w:spacing w:before="1" w:line="359" w:lineRule="auto"/>
              <w:ind w:left="12" w:right="44" w:firstLine="499"/>
              <w:jc w:val="both"/>
            </w:pPr>
            <w:r>
              <w:t>项目区地块四内升压站和24#、25#、26#、27#、28#、29#光伏阵</w:t>
            </w:r>
            <w:r>
              <w:rPr>
                <w:spacing w:val="9"/>
              </w:rPr>
              <w:t xml:space="preserve"> </w:t>
            </w:r>
            <w:r>
              <w:t>列共364.35亩用地目前林地性质为采伐迹地。该地块正在办理林地变</w:t>
            </w:r>
            <w:r>
              <w:rPr>
                <w:spacing w:val="9"/>
              </w:rPr>
              <w:t xml:space="preserve"> </w:t>
            </w:r>
            <w:r>
              <w:t>更园地手续。该地块在变更完成前，项目禁止开工建设。</w:t>
            </w:r>
          </w:p>
          <w:p w14:paraId="7F1EA9CA">
            <w:pPr>
              <w:pStyle w:val="6"/>
              <w:spacing w:before="7" w:line="345" w:lineRule="auto"/>
              <w:ind w:left="12" w:right="395" w:firstLine="499"/>
            </w:pPr>
            <w:r>
              <w:t>对照《曲靖市生态环境分区管控动态更新方案(2023年)》,与</w:t>
            </w:r>
            <w:r>
              <w:rPr>
                <w:spacing w:val="18"/>
              </w:rPr>
              <w:t xml:space="preserve"> </w:t>
            </w:r>
            <w:r>
              <w:rPr>
                <w:spacing w:val="-1"/>
              </w:rPr>
              <w:t>本项目相关内容的符合性分析如下：</w:t>
            </w:r>
          </w:p>
        </w:tc>
      </w:tr>
    </w:tbl>
    <w:p w14:paraId="2DA4DE18">
      <w:pPr>
        <w:pStyle w:val="2"/>
      </w:pPr>
    </w:p>
    <w:p w14:paraId="4307D785">
      <w:pPr>
        <w:sectPr>
          <w:footerReference r:id="rId13" w:type="default"/>
          <w:pgSz w:w="11910" w:h="16840"/>
          <w:pgMar w:top="1431" w:right="1554" w:bottom="1255" w:left="1494" w:header="0" w:footer="1093" w:gutter="0"/>
          <w:cols w:space="720" w:num="1"/>
        </w:sectPr>
      </w:pPr>
    </w:p>
    <w:p w14:paraId="2C48A2F4">
      <w:pPr>
        <w:spacing w:line="93" w:lineRule="exact"/>
      </w:pPr>
    </w:p>
    <w:tbl>
      <w:tblPr>
        <w:tblStyle w:val="5"/>
        <w:tblW w:w="88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539"/>
        <w:gridCol w:w="480"/>
        <w:gridCol w:w="3676"/>
        <w:gridCol w:w="2008"/>
        <w:gridCol w:w="544"/>
      </w:tblGrid>
      <w:tr w14:paraId="6573D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573" w:type="dxa"/>
            <w:vMerge w:val="restart"/>
            <w:tcBorders>
              <w:bottom w:val="nil"/>
            </w:tcBorders>
            <w:vAlign w:val="top"/>
          </w:tcPr>
          <w:p w14:paraId="5F597A65">
            <w:pPr>
              <w:rPr>
                <w:rFonts w:ascii="Arial"/>
                <w:sz w:val="21"/>
              </w:rPr>
            </w:pPr>
          </w:p>
        </w:tc>
        <w:tc>
          <w:tcPr>
            <w:tcW w:w="7247" w:type="dxa"/>
            <w:gridSpan w:val="5"/>
            <w:vAlign w:val="top"/>
          </w:tcPr>
          <w:p w14:paraId="00FE53A8">
            <w:pPr>
              <w:pStyle w:val="6"/>
              <w:spacing w:before="28" w:line="266" w:lineRule="auto"/>
              <w:ind w:left="3094" w:right="92" w:hanging="3089"/>
              <w:rPr>
                <w:sz w:val="21"/>
                <w:szCs w:val="21"/>
              </w:rPr>
            </w:pPr>
            <w:r>
              <w:rPr>
                <w:b/>
                <w:bCs/>
                <w:spacing w:val="28"/>
                <w:sz w:val="21"/>
                <w:szCs w:val="21"/>
              </w:rPr>
              <w:t>表1</w:t>
            </w:r>
            <w:r>
              <w:rPr>
                <w:spacing w:val="-48"/>
                <w:sz w:val="21"/>
                <w:szCs w:val="21"/>
              </w:rPr>
              <w:t xml:space="preserve"> </w:t>
            </w:r>
            <w:r>
              <w:rPr>
                <w:b/>
                <w:bCs/>
                <w:spacing w:val="28"/>
                <w:sz w:val="21"/>
                <w:szCs w:val="21"/>
              </w:rPr>
              <w:t>-</w:t>
            </w:r>
            <w:r>
              <w:rPr>
                <w:spacing w:val="-53"/>
                <w:sz w:val="21"/>
                <w:szCs w:val="21"/>
              </w:rPr>
              <w:t xml:space="preserve"> </w:t>
            </w:r>
            <w:r>
              <w:rPr>
                <w:b/>
                <w:bCs/>
                <w:spacing w:val="28"/>
                <w:sz w:val="21"/>
                <w:szCs w:val="21"/>
              </w:rPr>
              <w:t>3项目与《曲靖市生态环境分区管控动态更新方案(2023年</w:t>
            </w:r>
            <w:r>
              <w:rPr>
                <w:spacing w:val="-56"/>
                <w:sz w:val="21"/>
                <w:szCs w:val="21"/>
              </w:rPr>
              <w:t xml:space="preserve"> </w:t>
            </w:r>
            <w:r>
              <w:rPr>
                <w:b/>
                <w:bCs/>
                <w:spacing w:val="28"/>
                <w:sz w:val="21"/>
                <w:szCs w:val="21"/>
              </w:rPr>
              <w:t>)</w:t>
            </w:r>
            <w:r>
              <w:rPr>
                <w:spacing w:val="28"/>
                <w:sz w:val="21"/>
                <w:szCs w:val="21"/>
              </w:rPr>
              <w:t>》</w:t>
            </w:r>
            <w:r>
              <w:rPr>
                <w:sz w:val="21"/>
                <w:szCs w:val="21"/>
              </w:rPr>
              <w:t xml:space="preserve"> </w:t>
            </w:r>
            <w:r>
              <w:rPr>
                <w:b/>
                <w:bCs/>
                <w:spacing w:val="-4"/>
                <w:sz w:val="21"/>
                <w:szCs w:val="21"/>
              </w:rPr>
              <w:t>符合性分析</w:t>
            </w:r>
          </w:p>
        </w:tc>
      </w:tr>
      <w:tr w14:paraId="43D44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573" w:type="dxa"/>
            <w:vMerge w:val="continue"/>
            <w:tcBorders>
              <w:top w:val="nil"/>
              <w:bottom w:val="nil"/>
            </w:tcBorders>
            <w:vAlign w:val="top"/>
          </w:tcPr>
          <w:p w14:paraId="54FF335D">
            <w:pPr>
              <w:rPr>
                <w:rFonts w:ascii="Arial"/>
                <w:sz w:val="21"/>
              </w:rPr>
            </w:pPr>
          </w:p>
        </w:tc>
        <w:tc>
          <w:tcPr>
            <w:tcW w:w="539" w:type="dxa"/>
            <w:textDirection w:val="tbRlV"/>
            <w:vAlign w:val="top"/>
          </w:tcPr>
          <w:p w14:paraId="671C0072">
            <w:pPr>
              <w:pStyle w:val="6"/>
              <w:spacing w:before="176" w:line="200" w:lineRule="auto"/>
              <w:ind w:left="120"/>
              <w:rPr>
                <w:sz w:val="21"/>
                <w:szCs w:val="21"/>
              </w:rPr>
            </w:pPr>
            <w:r>
              <w:rPr>
                <w:sz w:val="21"/>
                <w:szCs w:val="21"/>
              </w:rPr>
              <w:t>类</w:t>
            </w:r>
            <w:r>
              <w:rPr>
                <w:spacing w:val="10"/>
                <w:sz w:val="21"/>
                <w:szCs w:val="21"/>
              </w:rPr>
              <w:t xml:space="preserve"> </w:t>
            </w:r>
            <w:r>
              <w:rPr>
                <w:sz w:val="21"/>
                <w:szCs w:val="21"/>
              </w:rPr>
              <w:t>别</w:t>
            </w:r>
          </w:p>
        </w:tc>
        <w:tc>
          <w:tcPr>
            <w:tcW w:w="4156" w:type="dxa"/>
            <w:gridSpan w:val="2"/>
            <w:vAlign w:val="top"/>
          </w:tcPr>
          <w:p w14:paraId="6447B645">
            <w:pPr>
              <w:pStyle w:val="6"/>
              <w:spacing w:before="299" w:line="219" w:lineRule="auto"/>
              <w:ind w:left="1653"/>
              <w:rPr>
                <w:sz w:val="21"/>
                <w:szCs w:val="21"/>
              </w:rPr>
            </w:pPr>
            <w:r>
              <w:rPr>
                <w:spacing w:val="2"/>
                <w:sz w:val="21"/>
                <w:szCs w:val="21"/>
              </w:rPr>
              <w:t>文件内容</w:t>
            </w:r>
          </w:p>
        </w:tc>
        <w:tc>
          <w:tcPr>
            <w:tcW w:w="2008" w:type="dxa"/>
            <w:vAlign w:val="top"/>
          </w:tcPr>
          <w:p w14:paraId="3F162A86">
            <w:pPr>
              <w:pStyle w:val="6"/>
              <w:spacing w:before="298" w:line="219" w:lineRule="auto"/>
              <w:ind w:left="477"/>
              <w:rPr>
                <w:sz w:val="21"/>
                <w:szCs w:val="21"/>
              </w:rPr>
            </w:pPr>
            <w:r>
              <w:rPr>
                <w:spacing w:val="-2"/>
                <w:sz w:val="21"/>
                <w:szCs w:val="21"/>
              </w:rPr>
              <w:t>本项目情况</w:t>
            </w:r>
          </w:p>
        </w:tc>
        <w:tc>
          <w:tcPr>
            <w:tcW w:w="544" w:type="dxa"/>
            <w:textDirection w:val="tbRlV"/>
            <w:vAlign w:val="top"/>
          </w:tcPr>
          <w:p w14:paraId="4646D503">
            <w:pPr>
              <w:pStyle w:val="6"/>
              <w:spacing w:before="163" w:line="200" w:lineRule="auto"/>
              <w:jc w:val="right"/>
              <w:rPr>
                <w:sz w:val="21"/>
                <w:szCs w:val="21"/>
              </w:rPr>
            </w:pPr>
            <w:r>
              <w:rPr>
                <w:spacing w:val="-5"/>
                <w:sz w:val="21"/>
                <w:szCs w:val="21"/>
              </w:rPr>
              <w:t>符</w:t>
            </w:r>
            <w:r>
              <w:rPr>
                <w:spacing w:val="-15"/>
                <w:sz w:val="21"/>
                <w:szCs w:val="21"/>
              </w:rPr>
              <w:t xml:space="preserve"> </w:t>
            </w:r>
            <w:r>
              <w:rPr>
                <w:spacing w:val="-5"/>
                <w:sz w:val="21"/>
                <w:szCs w:val="21"/>
              </w:rPr>
              <w:t>合</w:t>
            </w:r>
            <w:r>
              <w:rPr>
                <w:spacing w:val="-15"/>
                <w:sz w:val="21"/>
                <w:szCs w:val="21"/>
              </w:rPr>
              <w:t xml:space="preserve"> </w:t>
            </w:r>
            <w:r>
              <w:rPr>
                <w:spacing w:val="-5"/>
                <w:sz w:val="21"/>
                <w:szCs w:val="21"/>
              </w:rPr>
              <w:t>性</w:t>
            </w:r>
          </w:p>
        </w:tc>
      </w:tr>
      <w:tr w14:paraId="07EBF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4" w:hRule="atLeast"/>
        </w:trPr>
        <w:tc>
          <w:tcPr>
            <w:tcW w:w="1573" w:type="dxa"/>
            <w:vMerge w:val="continue"/>
            <w:tcBorders>
              <w:top w:val="nil"/>
              <w:bottom w:val="nil"/>
            </w:tcBorders>
            <w:vAlign w:val="top"/>
          </w:tcPr>
          <w:p w14:paraId="03B3760D">
            <w:pPr>
              <w:rPr>
                <w:rFonts w:ascii="Arial"/>
                <w:sz w:val="21"/>
              </w:rPr>
            </w:pPr>
          </w:p>
        </w:tc>
        <w:tc>
          <w:tcPr>
            <w:tcW w:w="539" w:type="dxa"/>
            <w:vMerge w:val="restart"/>
            <w:tcBorders>
              <w:bottom w:val="nil"/>
            </w:tcBorders>
            <w:textDirection w:val="tbRlV"/>
            <w:vAlign w:val="top"/>
          </w:tcPr>
          <w:p w14:paraId="2F15CBCE">
            <w:pPr>
              <w:pStyle w:val="6"/>
              <w:spacing w:before="176" w:line="200" w:lineRule="auto"/>
              <w:ind w:left="3971"/>
              <w:rPr>
                <w:sz w:val="21"/>
                <w:szCs w:val="21"/>
              </w:rPr>
            </w:pPr>
            <w:r>
              <w:rPr>
                <w:sz w:val="21"/>
                <w:szCs w:val="21"/>
              </w:rPr>
              <w:t>曲</w:t>
            </w:r>
            <w:r>
              <w:rPr>
                <w:spacing w:val="-41"/>
                <w:sz w:val="21"/>
                <w:szCs w:val="21"/>
              </w:rPr>
              <w:t xml:space="preserve"> </w:t>
            </w:r>
            <w:r>
              <w:rPr>
                <w:sz w:val="21"/>
                <w:szCs w:val="21"/>
              </w:rPr>
              <w:t>靖</w:t>
            </w:r>
            <w:r>
              <w:rPr>
                <w:spacing w:val="-41"/>
                <w:sz w:val="21"/>
                <w:szCs w:val="21"/>
              </w:rPr>
              <w:t xml:space="preserve"> </w:t>
            </w:r>
            <w:r>
              <w:rPr>
                <w:sz w:val="21"/>
                <w:szCs w:val="21"/>
              </w:rPr>
              <w:t>市</w:t>
            </w:r>
            <w:r>
              <w:rPr>
                <w:spacing w:val="-40"/>
                <w:sz w:val="21"/>
                <w:szCs w:val="21"/>
              </w:rPr>
              <w:t xml:space="preserve"> </w:t>
            </w:r>
            <w:r>
              <w:rPr>
                <w:sz w:val="21"/>
                <w:szCs w:val="21"/>
              </w:rPr>
              <w:t>生</w:t>
            </w:r>
            <w:r>
              <w:rPr>
                <w:spacing w:val="-41"/>
                <w:sz w:val="21"/>
                <w:szCs w:val="21"/>
              </w:rPr>
              <w:t xml:space="preserve"> </w:t>
            </w:r>
            <w:r>
              <w:rPr>
                <w:sz w:val="21"/>
                <w:szCs w:val="21"/>
              </w:rPr>
              <w:t>态</w:t>
            </w:r>
            <w:r>
              <w:rPr>
                <w:spacing w:val="-40"/>
                <w:sz w:val="21"/>
                <w:szCs w:val="21"/>
              </w:rPr>
              <w:t xml:space="preserve"> </w:t>
            </w:r>
            <w:r>
              <w:rPr>
                <w:sz w:val="21"/>
                <w:szCs w:val="21"/>
              </w:rPr>
              <w:t>环</w:t>
            </w:r>
            <w:r>
              <w:rPr>
                <w:spacing w:val="-40"/>
                <w:sz w:val="21"/>
                <w:szCs w:val="21"/>
              </w:rPr>
              <w:t xml:space="preserve"> </w:t>
            </w:r>
            <w:r>
              <w:rPr>
                <w:sz w:val="21"/>
                <w:szCs w:val="21"/>
              </w:rPr>
              <w:t>境</w:t>
            </w:r>
            <w:r>
              <w:rPr>
                <w:spacing w:val="-41"/>
                <w:sz w:val="21"/>
                <w:szCs w:val="21"/>
              </w:rPr>
              <w:t xml:space="preserve"> </w:t>
            </w:r>
            <w:r>
              <w:rPr>
                <w:sz w:val="21"/>
                <w:szCs w:val="21"/>
              </w:rPr>
              <w:t>分</w:t>
            </w:r>
            <w:r>
              <w:rPr>
                <w:spacing w:val="-40"/>
                <w:sz w:val="21"/>
                <w:szCs w:val="21"/>
              </w:rPr>
              <w:t xml:space="preserve"> </w:t>
            </w:r>
            <w:r>
              <w:rPr>
                <w:sz w:val="21"/>
                <w:szCs w:val="21"/>
              </w:rPr>
              <w:t>区</w:t>
            </w:r>
            <w:r>
              <w:rPr>
                <w:spacing w:val="-40"/>
                <w:sz w:val="21"/>
                <w:szCs w:val="21"/>
              </w:rPr>
              <w:t xml:space="preserve"> </w:t>
            </w:r>
            <w:r>
              <w:rPr>
                <w:sz w:val="21"/>
                <w:szCs w:val="21"/>
              </w:rPr>
              <w:t>管</w:t>
            </w:r>
            <w:r>
              <w:rPr>
                <w:spacing w:val="-40"/>
                <w:sz w:val="21"/>
                <w:szCs w:val="21"/>
              </w:rPr>
              <w:t xml:space="preserve"> </w:t>
            </w:r>
            <w:r>
              <w:rPr>
                <w:sz w:val="21"/>
                <w:szCs w:val="21"/>
              </w:rPr>
              <w:t>控</w:t>
            </w:r>
            <w:r>
              <w:rPr>
                <w:spacing w:val="-41"/>
                <w:sz w:val="21"/>
                <w:szCs w:val="21"/>
              </w:rPr>
              <w:t xml:space="preserve"> </w:t>
            </w:r>
            <w:r>
              <w:rPr>
                <w:sz w:val="21"/>
                <w:szCs w:val="21"/>
              </w:rPr>
              <w:t>总</w:t>
            </w:r>
            <w:r>
              <w:rPr>
                <w:spacing w:val="-40"/>
                <w:sz w:val="21"/>
                <w:szCs w:val="21"/>
              </w:rPr>
              <w:t xml:space="preserve"> </w:t>
            </w:r>
            <w:r>
              <w:rPr>
                <w:sz w:val="21"/>
                <w:szCs w:val="21"/>
              </w:rPr>
              <w:t>体</w:t>
            </w:r>
            <w:r>
              <w:rPr>
                <w:spacing w:val="-40"/>
                <w:sz w:val="21"/>
                <w:szCs w:val="21"/>
              </w:rPr>
              <w:t xml:space="preserve"> </w:t>
            </w:r>
            <w:r>
              <w:rPr>
                <w:sz w:val="21"/>
                <w:szCs w:val="21"/>
              </w:rPr>
              <w:t>要</w:t>
            </w:r>
            <w:r>
              <w:rPr>
                <w:spacing w:val="-41"/>
                <w:sz w:val="21"/>
                <w:szCs w:val="21"/>
              </w:rPr>
              <w:t xml:space="preserve"> </w:t>
            </w:r>
            <w:r>
              <w:rPr>
                <w:sz w:val="21"/>
                <w:szCs w:val="21"/>
              </w:rPr>
              <w:t>求</w:t>
            </w:r>
          </w:p>
        </w:tc>
        <w:tc>
          <w:tcPr>
            <w:tcW w:w="480" w:type="dxa"/>
            <w:textDirection w:val="tbRlV"/>
            <w:vAlign w:val="top"/>
          </w:tcPr>
          <w:p w14:paraId="6EB43694">
            <w:pPr>
              <w:pStyle w:val="6"/>
              <w:spacing w:before="127" w:line="198" w:lineRule="auto"/>
              <w:ind w:left="2869"/>
              <w:rPr>
                <w:sz w:val="21"/>
                <w:szCs w:val="21"/>
              </w:rPr>
            </w:pPr>
            <w:r>
              <w:rPr>
                <w:sz w:val="21"/>
                <w:szCs w:val="21"/>
              </w:rPr>
              <w:t>空</w:t>
            </w:r>
            <w:r>
              <w:rPr>
                <w:spacing w:val="-38"/>
                <w:sz w:val="21"/>
                <w:szCs w:val="21"/>
              </w:rPr>
              <w:t xml:space="preserve"> </w:t>
            </w:r>
            <w:r>
              <w:rPr>
                <w:sz w:val="21"/>
                <w:szCs w:val="21"/>
              </w:rPr>
              <w:t>间</w:t>
            </w:r>
            <w:r>
              <w:rPr>
                <w:spacing w:val="-38"/>
                <w:sz w:val="21"/>
                <w:szCs w:val="21"/>
              </w:rPr>
              <w:t xml:space="preserve"> </w:t>
            </w:r>
            <w:r>
              <w:rPr>
                <w:sz w:val="21"/>
                <w:szCs w:val="21"/>
              </w:rPr>
              <w:t>布</w:t>
            </w:r>
            <w:r>
              <w:rPr>
                <w:spacing w:val="-38"/>
                <w:sz w:val="21"/>
                <w:szCs w:val="21"/>
              </w:rPr>
              <w:t xml:space="preserve"> </w:t>
            </w:r>
            <w:r>
              <w:rPr>
                <w:sz w:val="21"/>
                <w:szCs w:val="21"/>
              </w:rPr>
              <w:t>局</w:t>
            </w:r>
            <w:r>
              <w:rPr>
                <w:spacing w:val="-38"/>
                <w:sz w:val="21"/>
                <w:szCs w:val="21"/>
              </w:rPr>
              <w:t xml:space="preserve"> </w:t>
            </w:r>
            <w:r>
              <w:rPr>
                <w:sz w:val="21"/>
                <w:szCs w:val="21"/>
              </w:rPr>
              <w:t>约</w:t>
            </w:r>
            <w:r>
              <w:rPr>
                <w:spacing w:val="-38"/>
                <w:sz w:val="21"/>
                <w:szCs w:val="21"/>
              </w:rPr>
              <w:t xml:space="preserve"> </w:t>
            </w:r>
            <w:r>
              <w:rPr>
                <w:sz w:val="21"/>
                <w:szCs w:val="21"/>
              </w:rPr>
              <w:t>束</w:t>
            </w:r>
          </w:p>
        </w:tc>
        <w:tc>
          <w:tcPr>
            <w:tcW w:w="3676" w:type="dxa"/>
            <w:vAlign w:val="top"/>
          </w:tcPr>
          <w:p w14:paraId="246A88D4">
            <w:pPr>
              <w:pStyle w:val="6"/>
              <w:spacing w:before="30" w:line="219" w:lineRule="auto"/>
              <w:ind w:left="43"/>
              <w:rPr>
                <w:sz w:val="21"/>
                <w:szCs w:val="21"/>
              </w:rPr>
            </w:pPr>
            <w:r>
              <w:rPr>
                <w:sz w:val="21"/>
                <w:szCs w:val="21"/>
              </w:rPr>
              <w:t>1.严格执行《长江经济带发展负面清单</w:t>
            </w:r>
          </w:p>
          <w:p w14:paraId="76B348E6">
            <w:pPr>
              <w:pStyle w:val="6"/>
              <w:spacing w:before="40" w:line="219" w:lineRule="auto"/>
              <w:ind w:left="133"/>
              <w:rPr>
                <w:sz w:val="21"/>
                <w:szCs w:val="21"/>
              </w:rPr>
            </w:pPr>
            <w:r>
              <w:rPr>
                <w:spacing w:val="1"/>
                <w:sz w:val="21"/>
                <w:szCs w:val="21"/>
              </w:rPr>
              <w:t>指南(试行，2022年版)》《云南省</w:t>
            </w:r>
          </w:p>
          <w:p w14:paraId="5A16FFB7">
            <w:pPr>
              <w:pStyle w:val="6"/>
              <w:spacing w:before="19" w:line="231" w:lineRule="auto"/>
              <w:ind w:left="123" w:right="139" w:firstLine="30"/>
              <w:rPr>
                <w:sz w:val="21"/>
                <w:szCs w:val="21"/>
              </w:rPr>
            </w:pPr>
            <w:r>
              <w:rPr>
                <w:sz w:val="21"/>
                <w:szCs w:val="21"/>
              </w:rPr>
              <w:t>长江经济带发展负面清单指南实施细</w:t>
            </w:r>
            <w:r>
              <w:rPr>
                <w:spacing w:val="12"/>
                <w:sz w:val="21"/>
                <w:szCs w:val="21"/>
              </w:rPr>
              <w:t xml:space="preserve"> </w:t>
            </w:r>
            <w:r>
              <w:rPr>
                <w:spacing w:val="-1"/>
                <w:sz w:val="21"/>
                <w:szCs w:val="21"/>
              </w:rPr>
              <w:t>则(试行)》等产业准入有关要求。</w:t>
            </w:r>
          </w:p>
          <w:p w14:paraId="606E03F3">
            <w:pPr>
              <w:pStyle w:val="6"/>
              <w:spacing w:before="27" w:line="235" w:lineRule="auto"/>
              <w:ind w:left="123" w:right="107" w:firstLine="30"/>
              <w:jc w:val="both"/>
              <w:rPr>
                <w:sz w:val="21"/>
                <w:szCs w:val="21"/>
              </w:rPr>
            </w:pPr>
            <w:r>
              <w:rPr>
                <w:sz w:val="21"/>
                <w:szCs w:val="21"/>
              </w:rPr>
              <w:t>2.严格实施化解过剩产能和淘汰落后</w:t>
            </w:r>
            <w:r>
              <w:rPr>
                <w:spacing w:val="14"/>
                <w:sz w:val="21"/>
                <w:szCs w:val="21"/>
              </w:rPr>
              <w:t xml:space="preserve"> </w:t>
            </w:r>
            <w:r>
              <w:rPr>
                <w:spacing w:val="4"/>
                <w:sz w:val="21"/>
                <w:szCs w:val="21"/>
              </w:rPr>
              <w:t>产能，制定产能过剩行业淘汰计划，</w:t>
            </w:r>
            <w:r>
              <w:rPr>
                <w:spacing w:val="10"/>
                <w:sz w:val="21"/>
                <w:szCs w:val="21"/>
              </w:rPr>
              <w:t xml:space="preserve"> </w:t>
            </w:r>
            <w:r>
              <w:rPr>
                <w:spacing w:val="4"/>
                <w:sz w:val="21"/>
                <w:szCs w:val="21"/>
              </w:rPr>
              <w:t>确保国家、省下达的淘汰落后产能目</w:t>
            </w:r>
            <w:r>
              <w:rPr>
                <w:spacing w:val="5"/>
                <w:sz w:val="21"/>
                <w:szCs w:val="21"/>
              </w:rPr>
              <w:t xml:space="preserve"> </w:t>
            </w:r>
            <w:r>
              <w:rPr>
                <w:spacing w:val="-1"/>
                <w:sz w:val="21"/>
                <w:szCs w:val="21"/>
              </w:rPr>
              <w:t>标任务全面完成。</w:t>
            </w:r>
          </w:p>
          <w:p w14:paraId="70D2F801">
            <w:pPr>
              <w:pStyle w:val="6"/>
              <w:spacing w:before="19" w:line="219" w:lineRule="auto"/>
              <w:ind w:left="43"/>
              <w:rPr>
                <w:sz w:val="21"/>
                <w:szCs w:val="21"/>
              </w:rPr>
            </w:pPr>
            <w:r>
              <w:rPr>
                <w:sz w:val="21"/>
                <w:szCs w:val="21"/>
              </w:rPr>
              <w:t>3.将资源承载能力、生态环境容量作为</w:t>
            </w:r>
          </w:p>
          <w:p w14:paraId="041522AF">
            <w:pPr>
              <w:pStyle w:val="6"/>
              <w:spacing w:before="22" w:line="237" w:lineRule="auto"/>
              <w:ind w:left="123" w:right="136" w:firstLine="30"/>
              <w:jc w:val="both"/>
              <w:rPr>
                <w:sz w:val="21"/>
                <w:szCs w:val="21"/>
              </w:rPr>
            </w:pPr>
            <w:r>
              <w:rPr>
                <w:spacing w:val="1"/>
                <w:sz w:val="21"/>
                <w:szCs w:val="21"/>
              </w:rPr>
              <w:t>承接产业转移的基础和前提，合理确</w:t>
            </w:r>
            <w:r>
              <w:rPr>
                <w:sz w:val="21"/>
                <w:szCs w:val="21"/>
              </w:rPr>
              <w:t xml:space="preserve"> </w:t>
            </w:r>
            <w:r>
              <w:rPr>
                <w:spacing w:val="2"/>
                <w:sz w:val="21"/>
                <w:szCs w:val="21"/>
              </w:rPr>
              <w:t>定承接产业转移重点，禁止引进环境</w:t>
            </w:r>
            <w:r>
              <w:rPr>
                <w:spacing w:val="5"/>
                <w:sz w:val="21"/>
                <w:szCs w:val="21"/>
              </w:rPr>
              <w:t xml:space="preserve"> </w:t>
            </w:r>
            <w:r>
              <w:rPr>
                <w:spacing w:val="1"/>
                <w:sz w:val="21"/>
                <w:szCs w:val="21"/>
              </w:rPr>
              <w:t>污染大、资源消耗高、技术落后的生</w:t>
            </w:r>
            <w:r>
              <w:rPr>
                <w:spacing w:val="3"/>
                <w:sz w:val="21"/>
                <w:szCs w:val="21"/>
              </w:rPr>
              <w:t xml:space="preserve"> </w:t>
            </w:r>
            <w:r>
              <w:rPr>
                <w:spacing w:val="-1"/>
                <w:sz w:val="21"/>
                <w:szCs w:val="21"/>
              </w:rPr>
              <w:t>产能力。</w:t>
            </w:r>
          </w:p>
          <w:p w14:paraId="0E46BD0E">
            <w:pPr>
              <w:pStyle w:val="6"/>
              <w:spacing w:before="1"/>
              <w:ind w:left="43" w:right="42" w:firstLine="109"/>
              <w:rPr>
                <w:sz w:val="21"/>
                <w:szCs w:val="21"/>
              </w:rPr>
            </w:pPr>
            <w:r>
              <w:rPr>
                <w:spacing w:val="-1"/>
                <w:sz w:val="21"/>
                <w:szCs w:val="21"/>
              </w:rPr>
              <w:t>4.严格控制在生态脆弱或环境敏感地</w:t>
            </w:r>
            <w:r>
              <w:rPr>
                <w:spacing w:val="4"/>
                <w:sz w:val="21"/>
                <w:szCs w:val="21"/>
              </w:rPr>
              <w:t xml:space="preserve">  </w:t>
            </w:r>
            <w:r>
              <w:rPr>
                <w:sz w:val="21"/>
                <w:szCs w:val="21"/>
              </w:rPr>
              <w:t>区建设《环境保护综合名录》中“高污</w:t>
            </w:r>
            <w:r>
              <w:rPr>
                <w:spacing w:val="9"/>
                <w:sz w:val="21"/>
                <w:szCs w:val="21"/>
              </w:rPr>
              <w:t xml:space="preserve"> </w:t>
            </w:r>
            <w:r>
              <w:rPr>
                <w:spacing w:val="7"/>
                <w:sz w:val="21"/>
                <w:szCs w:val="21"/>
              </w:rPr>
              <w:t>染、高环境风险”行业项目。</w:t>
            </w:r>
          </w:p>
          <w:p w14:paraId="43B177B7">
            <w:pPr>
              <w:pStyle w:val="6"/>
              <w:spacing w:before="2" w:line="231" w:lineRule="auto"/>
              <w:ind w:left="131" w:hanging="88"/>
              <w:rPr>
                <w:sz w:val="21"/>
                <w:szCs w:val="21"/>
              </w:rPr>
            </w:pPr>
            <w:r>
              <w:rPr>
                <w:spacing w:val="2"/>
                <w:sz w:val="21"/>
                <w:szCs w:val="21"/>
              </w:rPr>
              <w:t>5.禁止在合规园区外新建、扩建钢铁、</w:t>
            </w:r>
            <w:r>
              <w:rPr>
                <w:spacing w:val="15"/>
                <w:sz w:val="21"/>
                <w:szCs w:val="21"/>
              </w:rPr>
              <w:t xml:space="preserve"> </w:t>
            </w:r>
            <w:r>
              <w:rPr>
                <w:spacing w:val="-3"/>
                <w:sz w:val="21"/>
                <w:szCs w:val="21"/>
              </w:rPr>
              <w:t>石化、化工、焦化、建材、有色行业</w:t>
            </w:r>
            <w:r>
              <w:rPr>
                <w:spacing w:val="3"/>
                <w:sz w:val="21"/>
                <w:szCs w:val="21"/>
              </w:rPr>
              <w:t xml:space="preserve">   </w:t>
            </w:r>
            <w:r>
              <w:rPr>
                <w:spacing w:val="-3"/>
                <w:sz w:val="21"/>
                <w:szCs w:val="21"/>
              </w:rPr>
              <w:t>中的高污染项目。</w:t>
            </w:r>
          </w:p>
          <w:p w14:paraId="08C03F00">
            <w:pPr>
              <w:pStyle w:val="6"/>
              <w:spacing w:before="33" w:line="233" w:lineRule="auto"/>
              <w:ind w:left="142" w:right="62" w:hanging="99"/>
              <w:rPr>
                <w:sz w:val="21"/>
                <w:szCs w:val="21"/>
              </w:rPr>
            </w:pPr>
            <w:r>
              <w:rPr>
                <w:spacing w:val="-1"/>
                <w:sz w:val="21"/>
                <w:szCs w:val="21"/>
              </w:rPr>
              <w:t>6.集中式饮用水水源地严格执行《中华</w:t>
            </w:r>
            <w:r>
              <w:rPr>
                <w:spacing w:val="7"/>
                <w:sz w:val="21"/>
                <w:szCs w:val="21"/>
              </w:rPr>
              <w:t xml:space="preserve"> </w:t>
            </w:r>
            <w:r>
              <w:rPr>
                <w:sz w:val="21"/>
                <w:szCs w:val="21"/>
              </w:rPr>
              <w:t xml:space="preserve">人民共和国水污染防治法》《地下水  </w:t>
            </w:r>
            <w:r>
              <w:rPr>
                <w:spacing w:val="1"/>
                <w:sz w:val="21"/>
                <w:szCs w:val="21"/>
              </w:rPr>
              <w:t xml:space="preserve">管理条例》《饮用水水源保护区污染 </w:t>
            </w:r>
            <w:r>
              <w:rPr>
                <w:spacing w:val="2"/>
                <w:sz w:val="21"/>
                <w:szCs w:val="21"/>
              </w:rPr>
              <w:t xml:space="preserve">防治管理规定》《曲靖市集中式饮用 </w:t>
            </w:r>
            <w:r>
              <w:rPr>
                <w:spacing w:val="1"/>
                <w:sz w:val="21"/>
                <w:szCs w:val="21"/>
              </w:rPr>
              <w:t>水水源地保护条例》《云南省曲靖独</w:t>
            </w:r>
            <w:r>
              <w:rPr>
                <w:spacing w:val="4"/>
                <w:sz w:val="21"/>
                <w:szCs w:val="21"/>
              </w:rPr>
              <w:t xml:space="preserve"> </w:t>
            </w:r>
            <w:r>
              <w:rPr>
                <w:spacing w:val="3"/>
                <w:sz w:val="21"/>
                <w:szCs w:val="21"/>
              </w:rPr>
              <w:t>木水库保护条例》,水源地内城镇开</w:t>
            </w:r>
            <w:r>
              <w:rPr>
                <w:sz w:val="21"/>
                <w:szCs w:val="21"/>
              </w:rPr>
              <w:t xml:space="preserve">  </w:t>
            </w:r>
            <w:r>
              <w:rPr>
                <w:spacing w:val="1"/>
                <w:sz w:val="21"/>
                <w:szCs w:val="21"/>
              </w:rPr>
              <w:t>发边界范围已开发区域强化环境基础</w:t>
            </w:r>
            <w:r>
              <w:rPr>
                <w:spacing w:val="4"/>
                <w:sz w:val="21"/>
                <w:szCs w:val="21"/>
              </w:rPr>
              <w:t xml:space="preserve"> </w:t>
            </w:r>
            <w:r>
              <w:rPr>
                <w:spacing w:val="-1"/>
                <w:sz w:val="21"/>
                <w:szCs w:val="21"/>
              </w:rPr>
              <w:t>设施建设与运行维护。</w:t>
            </w:r>
          </w:p>
        </w:tc>
        <w:tc>
          <w:tcPr>
            <w:tcW w:w="2008" w:type="dxa"/>
            <w:vAlign w:val="top"/>
          </w:tcPr>
          <w:p w14:paraId="5C7090A7">
            <w:pPr>
              <w:pStyle w:val="6"/>
              <w:spacing w:before="188" w:line="234" w:lineRule="auto"/>
              <w:ind w:left="107" w:firstLine="9"/>
              <w:rPr>
                <w:sz w:val="21"/>
                <w:szCs w:val="21"/>
              </w:rPr>
            </w:pPr>
            <w:r>
              <w:rPr>
                <w:spacing w:val="-12"/>
                <w:sz w:val="21"/>
                <w:szCs w:val="21"/>
              </w:rPr>
              <w:t>1、项目建设符合《云</w:t>
            </w:r>
            <w:r>
              <w:rPr>
                <w:spacing w:val="4"/>
                <w:sz w:val="21"/>
                <w:szCs w:val="21"/>
              </w:rPr>
              <w:t xml:space="preserve"> </w:t>
            </w:r>
            <w:r>
              <w:rPr>
                <w:spacing w:val="3"/>
                <w:sz w:val="21"/>
                <w:szCs w:val="21"/>
              </w:rPr>
              <w:t>南省长江经济带发</w:t>
            </w:r>
            <w:r>
              <w:rPr>
                <w:spacing w:val="2"/>
                <w:sz w:val="21"/>
                <w:szCs w:val="21"/>
              </w:rPr>
              <w:t xml:space="preserve">  </w:t>
            </w:r>
            <w:r>
              <w:rPr>
                <w:spacing w:val="6"/>
                <w:sz w:val="21"/>
                <w:szCs w:val="21"/>
              </w:rPr>
              <w:t>展负面清单指南实</w:t>
            </w:r>
            <w:r>
              <w:rPr>
                <w:sz w:val="21"/>
                <w:szCs w:val="21"/>
              </w:rPr>
              <w:t xml:space="preserve">  </w:t>
            </w:r>
            <w:r>
              <w:rPr>
                <w:spacing w:val="3"/>
                <w:sz w:val="21"/>
                <w:szCs w:val="21"/>
              </w:rPr>
              <w:t>施细则(试行)》等</w:t>
            </w:r>
            <w:r>
              <w:rPr>
                <w:spacing w:val="2"/>
                <w:sz w:val="21"/>
                <w:szCs w:val="21"/>
              </w:rPr>
              <w:t xml:space="preserve">  </w:t>
            </w:r>
            <w:r>
              <w:rPr>
                <w:spacing w:val="-2"/>
                <w:sz w:val="21"/>
                <w:szCs w:val="21"/>
              </w:rPr>
              <w:t>产业准入有关要求。</w:t>
            </w:r>
          </w:p>
          <w:p w14:paraId="0CF6E79F">
            <w:pPr>
              <w:pStyle w:val="6"/>
              <w:spacing w:before="39" w:line="231" w:lineRule="auto"/>
              <w:ind w:left="57" w:right="38" w:firstLine="50"/>
              <w:rPr>
                <w:sz w:val="21"/>
                <w:szCs w:val="21"/>
              </w:rPr>
            </w:pPr>
            <w:r>
              <w:rPr>
                <w:spacing w:val="-2"/>
                <w:sz w:val="21"/>
                <w:szCs w:val="21"/>
              </w:rPr>
              <w:t>2、项目为几沃梁子</w:t>
            </w:r>
            <w:r>
              <w:rPr>
                <w:spacing w:val="6"/>
                <w:sz w:val="21"/>
                <w:szCs w:val="21"/>
              </w:rPr>
              <w:t xml:space="preserve"> </w:t>
            </w:r>
            <w:r>
              <w:rPr>
                <w:spacing w:val="1"/>
                <w:sz w:val="21"/>
                <w:szCs w:val="21"/>
              </w:rPr>
              <w:t>光伏电站项目，属于</w:t>
            </w:r>
            <w:r>
              <w:rPr>
                <w:spacing w:val="2"/>
                <w:sz w:val="21"/>
                <w:szCs w:val="21"/>
              </w:rPr>
              <w:t xml:space="preserve"> </w:t>
            </w:r>
            <w:r>
              <w:rPr>
                <w:spacing w:val="1"/>
                <w:sz w:val="21"/>
                <w:szCs w:val="21"/>
              </w:rPr>
              <w:t>新能源项目，不属于</w:t>
            </w:r>
            <w:r>
              <w:rPr>
                <w:spacing w:val="2"/>
                <w:sz w:val="21"/>
                <w:szCs w:val="21"/>
              </w:rPr>
              <w:t xml:space="preserve"> </w:t>
            </w:r>
            <w:r>
              <w:rPr>
                <w:spacing w:val="6"/>
                <w:sz w:val="21"/>
                <w:szCs w:val="21"/>
              </w:rPr>
              <w:t>产能过剩项目。</w:t>
            </w:r>
          </w:p>
          <w:p w14:paraId="11EF19B0">
            <w:pPr>
              <w:pStyle w:val="6"/>
              <w:spacing w:before="41" w:line="230" w:lineRule="auto"/>
              <w:ind w:left="57" w:right="32" w:firstLine="50"/>
              <w:rPr>
                <w:sz w:val="21"/>
                <w:szCs w:val="21"/>
              </w:rPr>
            </w:pPr>
            <w:r>
              <w:rPr>
                <w:spacing w:val="-2"/>
                <w:sz w:val="21"/>
                <w:szCs w:val="21"/>
              </w:rPr>
              <w:t>3、项目为几沃梁子</w:t>
            </w:r>
            <w:r>
              <w:rPr>
                <w:spacing w:val="2"/>
                <w:sz w:val="21"/>
                <w:szCs w:val="21"/>
              </w:rPr>
              <w:t xml:space="preserve">  光伏电站项目，不属</w:t>
            </w:r>
            <w:r>
              <w:rPr>
                <w:sz w:val="21"/>
                <w:szCs w:val="21"/>
              </w:rPr>
              <w:t xml:space="preserve"> </w:t>
            </w:r>
            <w:r>
              <w:rPr>
                <w:spacing w:val="1"/>
                <w:sz w:val="21"/>
                <w:szCs w:val="21"/>
              </w:rPr>
              <w:t>于环境污染大、资源</w:t>
            </w:r>
            <w:r>
              <w:rPr>
                <w:sz w:val="21"/>
                <w:szCs w:val="21"/>
              </w:rPr>
              <w:t xml:space="preserve"> </w:t>
            </w:r>
            <w:r>
              <w:rPr>
                <w:spacing w:val="1"/>
                <w:sz w:val="21"/>
                <w:szCs w:val="21"/>
              </w:rPr>
              <w:t>消耗高、技术落后的</w:t>
            </w:r>
            <w:r>
              <w:rPr>
                <w:spacing w:val="6"/>
                <w:sz w:val="21"/>
                <w:szCs w:val="21"/>
              </w:rPr>
              <w:t xml:space="preserve"> </w:t>
            </w:r>
            <w:r>
              <w:rPr>
                <w:spacing w:val="8"/>
                <w:sz w:val="21"/>
                <w:szCs w:val="21"/>
              </w:rPr>
              <w:t>生产项目。</w:t>
            </w:r>
          </w:p>
          <w:p w14:paraId="62DFB113">
            <w:pPr>
              <w:pStyle w:val="6"/>
              <w:spacing w:before="27" w:line="236" w:lineRule="auto"/>
              <w:ind w:left="57" w:right="32" w:firstLine="50"/>
              <w:rPr>
                <w:sz w:val="21"/>
                <w:szCs w:val="21"/>
              </w:rPr>
            </w:pPr>
            <w:r>
              <w:rPr>
                <w:spacing w:val="-1"/>
                <w:sz w:val="21"/>
                <w:szCs w:val="21"/>
              </w:rPr>
              <w:t>4、项目为几沃梁子</w:t>
            </w:r>
            <w:r>
              <w:rPr>
                <w:sz w:val="21"/>
                <w:szCs w:val="21"/>
              </w:rPr>
              <w:t xml:space="preserve"> </w:t>
            </w:r>
            <w:r>
              <w:rPr>
                <w:spacing w:val="2"/>
                <w:sz w:val="21"/>
                <w:szCs w:val="21"/>
              </w:rPr>
              <w:t>光伏电站项目，不属</w:t>
            </w:r>
            <w:r>
              <w:rPr>
                <w:sz w:val="21"/>
                <w:szCs w:val="21"/>
              </w:rPr>
              <w:t xml:space="preserve"> </w:t>
            </w:r>
            <w:r>
              <w:rPr>
                <w:spacing w:val="1"/>
                <w:sz w:val="21"/>
                <w:szCs w:val="21"/>
              </w:rPr>
              <w:t>于“高污染、高环境</w:t>
            </w:r>
            <w:r>
              <w:rPr>
                <w:sz w:val="21"/>
                <w:szCs w:val="21"/>
              </w:rPr>
              <w:t xml:space="preserve"> </w:t>
            </w:r>
            <w:r>
              <w:rPr>
                <w:spacing w:val="7"/>
                <w:sz w:val="21"/>
                <w:szCs w:val="21"/>
              </w:rPr>
              <w:t>风险”行业。</w:t>
            </w:r>
          </w:p>
          <w:p w14:paraId="4DD7A651">
            <w:pPr>
              <w:pStyle w:val="6"/>
              <w:spacing w:before="9" w:line="239" w:lineRule="auto"/>
              <w:ind w:left="57" w:firstLine="47"/>
              <w:rPr>
                <w:sz w:val="21"/>
                <w:szCs w:val="21"/>
              </w:rPr>
            </w:pPr>
            <w:r>
              <w:rPr>
                <w:spacing w:val="-12"/>
                <w:sz w:val="21"/>
                <w:szCs w:val="21"/>
              </w:rPr>
              <w:t>5、项目为几沃梁子</w:t>
            </w:r>
            <w:r>
              <w:rPr>
                <w:spacing w:val="1"/>
                <w:sz w:val="21"/>
                <w:szCs w:val="21"/>
              </w:rPr>
              <w:t xml:space="preserve">   </w:t>
            </w:r>
            <w:r>
              <w:rPr>
                <w:spacing w:val="-9"/>
                <w:sz w:val="21"/>
                <w:szCs w:val="21"/>
              </w:rPr>
              <w:t>光伏电站项目，不属</w:t>
            </w:r>
            <w:r>
              <w:rPr>
                <w:sz w:val="21"/>
                <w:szCs w:val="21"/>
              </w:rPr>
              <w:t xml:space="preserve">  </w:t>
            </w:r>
            <w:r>
              <w:rPr>
                <w:spacing w:val="-16"/>
                <w:sz w:val="21"/>
                <w:szCs w:val="21"/>
              </w:rPr>
              <w:t>于钢铁、石化、化工、</w:t>
            </w:r>
            <w:r>
              <w:rPr>
                <w:sz w:val="21"/>
                <w:szCs w:val="21"/>
              </w:rPr>
              <w:t xml:space="preserve"> </w:t>
            </w:r>
            <w:r>
              <w:rPr>
                <w:spacing w:val="-12"/>
                <w:sz w:val="21"/>
                <w:szCs w:val="21"/>
              </w:rPr>
              <w:t>焦化、建材、有色行</w:t>
            </w:r>
            <w:r>
              <w:rPr>
                <w:spacing w:val="1"/>
                <w:sz w:val="21"/>
                <w:szCs w:val="21"/>
              </w:rPr>
              <w:t xml:space="preserve">  </w:t>
            </w:r>
            <w:r>
              <w:rPr>
                <w:spacing w:val="-5"/>
                <w:sz w:val="21"/>
                <w:szCs w:val="21"/>
              </w:rPr>
              <w:t>业中的高污染项目。</w:t>
            </w:r>
          </w:p>
          <w:p w14:paraId="72B638CD">
            <w:pPr>
              <w:pStyle w:val="6"/>
              <w:spacing w:before="21" w:line="228" w:lineRule="auto"/>
              <w:ind w:left="107" w:right="88"/>
              <w:rPr>
                <w:sz w:val="21"/>
                <w:szCs w:val="21"/>
              </w:rPr>
            </w:pPr>
            <w:r>
              <w:rPr>
                <w:spacing w:val="1"/>
                <w:sz w:val="21"/>
                <w:szCs w:val="21"/>
              </w:rPr>
              <w:t>6、项目不涉及集中</w:t>
            </w:r>
            <w:r>
              <w:rPr>
                <w:spacing w:val="7"/>
                <w:sz w:val="21"/>
                <w:szCs w:val="21"/>
              </w:rPr>
              <w:t xml:space="preserve"> </w:t>
            </w:r>
            <w:r>
              <w:rPr>
                <w:spacing w:val="-2"/>
                <w:sz w:val="21"/>
                <w:szCs w:val="21"/>
              </w:rPr>
              <w:t>式饮用水水源地(详</w:t>
            </w:r>
            <w:r>
              <w:rPr>
                <w:spacing w:val="4"/>
                <w:sz w:val="21"/>
                <w:szCs w:val="21"/>
              </w:rPr>
              <w:t xml:space="preserve"> </w:t>
            </w:r>
            <w:r>
              <w:rPr>
                <w:spacing w:val="-1"/>
                <w:sz w:val="21"/>
                <w:szCs w:val="21"/>
              </w:rPr>
              <w:t>见附件8)。</w:t>
            </w:r>
          </w:p>
        </w:tc>
        <w:tc>
          <w:tcPr>
            <w:tcW w:w="544" w:type="dxa"/>
            <w:textDirection w:val="tbRlV"/>
            <w:vAlign w:val="top"/>
          </w:tcPr>
          <w:p w14:paraId="7491A751">
            <w:pPr>
              <w:pStyle w:val="6"/>
              <w:spacing w:before="163" w:line="200" w:lineRule="auto"/>
              <w:ind w:left="3451"/>
              <w:rPr>
                <w:sz w:val="21"/>
                <w:szCs w:val="21"/>
              </w:rPr>
            </w:pPr>
            <w:r>
              <w:rPr>
                <w:sz w:val="21"/>
                <w:szCs w:val="21"/>
              </w:rPr>
              <w:t>符合</w:t>
            </w:r>
          </w:p>
        </w:tc>
      </w:tr>
      <w:tr w14:paraId="50EB5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2" w:hRule="atLeast"/>
        </w:trPr>
        <w:tc>
          <w:tcPr>
            <w:tcW w:w="1573" w:type="dxa"/>
            <w:vMerge w:val="continue"/>
            <w:tcBorders>
              <w:top w:val="nil"/>
            </w:tcBorders>
            <w:vAlign w:val="top"/>
          </w:tcPr>
          <w:p w14:paraId="4DF4B52A">
            <w:pPr>
              <w:rPr>
                <w:rFonts w:ascii="Arial"/>
                <w:sz w:val="21"/>
              </w:rPr>
            </w:pPr>
          </w:p>
        </w:tc>
        <w:tc>
          <w:tcPr>
            <w:tcW w:w="539" w:type="dxa"/>
            <w:vMerge w:val="continue"/>
            <w:tcBorders>
              <w:top w:val="nil"/>
            </w:tcBorders>
            <w:textDirection w:val="tbRlV"/>
            <w:vAlign w:val="top"/>
          </w:tcPr>
          <w:p w14:paraId="010D7C9F">
            <w:pPr>
              <w:rPr>
                <w:rFonts w:ascii="Arial"/>
                <w:sz w:val="21"/>
              </w:rPr>
            </w:pPr>
          </w:p>
        </w:tc>
        <w:tc>
          <w:tcPr>
            <w:tcW w:w="480" w:type="dxa"/>
            <w:textDirection w:val="tbRlV"/>
            <w:vAlign w:val="top"/>
          </w:tcPr>
          <w:p w14:paraId="23921279">
            <w:pPr>
              <w:pStyle w:val="6"/>
              <w:spacing w:before="124" w:line="202" w:lineRule="auto"/>
              <w:ind w:left="1372"/>
              <w:rPr>
                <w:sz w:val="21"/>
                <w:szCs w:val="21"/>
              </w:rPr>
            </w:pPr>
            <w:r>
              <w:rPr>
                <w:spacing w:val="-1"/>
                <w:sz w:val="21"/>
                <w:szCs w:val="21"/>
              </w:rPr>
              <w:t>污</w:t>
            </w:r>
            <w:r>
              <w:rPr>
                <w:spacing w:val="-31"/>
                <w:sz w:val="21"/>
                <w:szCs w:val="21"/>
              </w:rPr>
              <w:t xml:space="preserve"> </w:t>
            </w:r>
            <w:r>
              <w:rPr>
                <w:spacing w:val="-1"/>
                <w:sz w:val="21"/>
                <w:szCs w:val="21"/>
              </w:rPr>
              <w:t>染</w:t>
            </w:r>
            <w:r>
              <w:rPr>
                <w:spacing w:val="-37"/>
                <w:sz w:val="21"/>
                <w:szCs w:val="21"/>
              </w:rPr>
              <w:t xml:space="preserve"> </w:t>
            </w:r>
            <w:r>
              <w:rPr>
                <w:spacing w:val="-1"/>
                <w:sz w:val="21"/>
                <w:szCs w:val="21"/>
              </w:rPr>
              <w:t>物</w:t>
            </w:r>
            <w:r>
              <w:rPr>
                <w:spacing w:val="-36"/>
                <w:sz w:val="21"/>
                <w:szCs w:val="21"/>
              </w:rPr>
              <w:t xml:space="preserve"> </w:t>
            </w:r>
            <w:r>
              <w:rPr>
                <w:spacing w:val="-1"/>
                <w:sz w:val="21"/>
                <w:szCs w:val="21"/>
              </w:rPr>
              <w:t>排</w:t>
            </w:r>
            <w:r>
              <w:rPr>
                <w:spacing w:val="-37"/>
                <w:sz w:val="21"/>
                <w:szCs w:val="21"/>
              </w:rPr>
              <w:t xml:space="preserve"> </w:t>
            </w:r>
            <w:r>
              <w:rPr>
                <w:spacing w:val="-1"/>
                <w:sz w:val="21"/>
                <w:szCs w:val="21"/>
              </w:rPr>
              <w:t>放</w:t>
            </w:r>
            <w:r>
              <w:rPr>
                <w:spacing w:val="-36"/>
                <w:sz w:val="21"/>
                <w:szCs w:val="21"/>
              </w:rPr>
              <w:t xml:space="preserve"> </w:t>
            </w:r>
            <w:r>
              <w:rPr>
                <w:spacing w:val="-1"/>
                <w:sz w:val="21"/>
                <w:szCs w:val="21"/>
              </w:rPr>
              <w:t>管</w:t>
            </w:r>
            <w:r>
              <w:rPr>
                <w:spacing w:val="-37"/>
                <w:sz w:val="21"/>
                <w:szCs w:val="21"/>
              </w:rPr>
              <w:t xml:space="preserve"> </w:t>
            </w:r>
            <w:r>
              <w:rPr>
                <w:spacing w:val="-1"/>
                <w:sz w:val="21"/>
                <w:szCs w:val="21"/>
              </w:rPr>
              <w:t>控</w:t>
            </w:r>
          </w:p>
        </w:tc>
        <w:tc>
          <w:tcPr>
            <w:tcW w:w="3676" w:type="dxa"/>
            <w:vAlign w:val="top"/>
          </w:tcPr>
          <w:p w14:paraId="703936C1">
            <w:pPr>
              <w:pStyle w:val="6"/>
              <w:spacing w:before="40"/>
              <w:ind w:left="152" w:right="44" w:hanging="109"/>
              <w:rPr>
                <w:sz w:val="21"/>
                <w:szCs w:val="21"/>
              </w:rPr>
            </w:pPr>
            <w:r>
              <w:rPr>
                <w:sz w:val="21"/>
                <w:szCs w:val="21"/>
              </w:rPr>
              <w:t>1.推进以能源、化工、冶金、建材、造</w:t>
            </w:r>
            <w:r>
              <w:rPr>
                <w:spacing w:val="7"/>
                <w:sz w:val="21"/>
                <w:szCs w:val="21"/>
              </w:rPr>
              <w:t xml:space="preserve"> </w:t>
            </w:r>
            <w:r>
              <w:rPr>
                <w:spacing w:val="-1"/>
                <w:sz w:val="21"/>
                <w:szCs w:val="21"/>
              </w:rPr>
              <w:t>纸、农副食品加工、工业涂装和包装</w:t>
            </w:r>
            <w:r>
              <w:rPr>
                <w:spacing w:val="2"/>
                <w:sz w:val="21"/>
                <w:szCs w:val="21"/>
              </w:rPr>
              <w:t xml:space="preserve">  </w:t>
            </w:r>
            <w:r>
              <w:rPr>
                <w:sz w:val="21"/>
                <w:szCs w:val="21"/>
              </w:rPr>
              <w:t>印刷等行业为重点的清洁生产审核工</w:t>
            </w:r>
            <w:r>
              <w:rPr>
                <w:spacing w:val="5"/>
                <w:sz w:val="21"/>
                <w:szCs w:val="21"/>
              </w:rPr>
              <w:t xml:space="preserve">  </w:t>
            </w:r>
            <w:r>
              <w:rPr>
                <w:spacing w:val="-1"/>
                <w:sz w:val="21"/>
                <w:szCs w:val="21"/>
              </w:rPr>
              <w:t>作，具体行业包括但不限于煤矿、火</w:t>
            </w:r>
            <w:r>
              <w:rPr>
                <w:spacing w:val="2"/>
                <w:sz w:val="21"/>
                <w:szCs w:val="21"/>
              </w:rPr>
              <w:t xml:space="preserve">  </w:t>
            </w:r>
            <w:r>
              <w:rPr>
                <w:spacing w:val="6"/>
                <w:sz w:val="21"/>
                <w:szCs w:val="21"/>
              </w:rPr>
              <w:t>力发电，甲醇、焦化、氮肥、磷肥、</w:t>
            </w:r>
            <w:r>
              <w:rPr>
                <w:spacing w:val="8"/>
                <w:sz w:val="21"/>
                <w:szCs w:val="21"/>
              </w:rPr>
              <w:t xml:space="preserve"> </w:t>
            </w:r>
            <w:r>
              <w:rPr>
                <w:sz w:val="21"/>
                <w:szCs w:val="21"/>
              </w:rPr>
              <w:t>氯碱、电石、制药、农药、黄磷、铬</w:t>
            </w:r>
            <w:r>
              <w:rPr>
                <w:spacing w:val="4"/>
                <w:sz w:val="21"/>
                <w:szCs w:val="21"/>
              </w:rPr>
              <w:t xml:space="preserve">  </w:t>
            </w:r>
            <w:r>
              <w:rPr>
                <w:sz w:val="21"/>
                <w:szCs w:val="21"/>
              </w:rPr>
              <w:t>盐生产，钢铁、铁合金铅锌铝冶炼及</w:t>
            </w:r>
            <w:r>
              <w:rPr>
                <w:spacing w:val="5"/>
                <w:sz w:val="21"/>
                <w:szCs w:val="21"/>
              </w:rPr>
              <w:t xml:space="preserve">  </w:t>
            </w:r>
            <w:r>
              <w:rPr>
                <w:spacing w:val="-1"/>
                <w:sz w:val="21"/>
                <w:szCs w:val="21"/>
              </w:rPr>
              <w:t>再生，水泥、石灰、建筑陶瓷、平板</w:t>
            </w:r>
            <w:r>
              <w:rPr>
                <w:spacing w:val="2"/>
                <w:sz w:val="21"/>
                <w:szCs w:val="21"/>
              </w:rPr>
              <w:t xml:space="preserve">  </w:t>
            </w:r>
            <w:r>
              <w:rPr>
                <w:spacing w:val="-1"/>
                <w:sz w:val="21"/>
                <w:szCs w:val="21"/>
              </w:rPr>
              <w:t>玻璃、沥青防水材料，纸浆造纸，酿</w:t>
            </w:r>
            <w:r>
              <w:rPr>
                <w:spacing w:val="1"/>
                <w:sz w:val="21"/>
                <w:szCs w:val="21"/>
              </w:rPr>
              <w:t xml:space="preserve">  </w:t>
            </w:r>
            <w:r>
              <w:rPr>
                <w:spacing w:val="2"/>
                <w:sz w:val="21"/>
                <w:szCs w:val="21"/>
              </w:rPr>
              <w:t>造、味精、柠檬酸、酶制剂、酵母，</w:t>
            </w:r>
            <w:r>
              <w:rPr>
                <w:spacing w:val="12"/>
                <w:sz w:val="21"/>
                <w:szCs w:val="21"/>
              </w:rPr>
              <w:t xml:space="preserve"> </w:t>
            </w:r>
            <w:r>
              <w:rPr>
                <w:spacing w:val="8"/>
                <w:sz w:val="21"/>
                <w:szCs w:val="21"/>
              </w:rPr>
              <w:t>新能源电池(正负极材料),多晶硅、</w:t>
            </w:r>
            <w:r>
              <w:rPr>
                <w:spacing w:val="13"/>
                <w:sz w:val="21"/>
                <w:szCs w:val="21"/>
              </w:rPr>
              <w:t xml:space="preserve"> </w:t>
            </w:r>
            <w:r>
              <w:rPr>
                <w:spacing w:val="1"/>
                <w:sz w:val="21"/>
                <w:szCs w:val="21"/>
              </w:rPr>
              <w:t>单晶硅、有机硅，工业涂装和包装印</w:t>
            </w:r>
          </w:p>
          <w:p w14:paraId="0529886A">
            <w:pPr>
              <w:pStyle w:val="6"/>
              <w:spacing w:line="219" w:lineRule="auto"/>
              <w:ind w:left="123"/>
              <w:rPr>
                <w:sz w:val="21"/>
                <w:szCs w:val="21"/>
              </w:rPr>
            </w:pPr>
            <w:r>
              <w:rPr>
                <w:spacing w:val="-1"/>
                <w:sz w:val="21"/>
                <w:szCs w:val="21"/>
              </w:rPr>
              <w:t>刷等行业。</w:t>
            </w:r>
          </w:p>
          <w:p w14:paraId="6AE301EF">
            <w:pPr>
              <w:pStyle w:val="6"/>
              <w:spacing w:before="10" w:line="232" w:lineRule="auto"/>
              <w:ind w:left="93"/>
              <w:rPr>
                <w:sz w:val="21"/>
                <w:szCs w:val="21"/>
              </w:rPr>
            </w:pPr>
            <w:r>
              <w:rPr>
                <w:sz w:val="21"/>
                <w:szCs w:val="21"/>
              </w:rPr>
              <w:t>2.落实云南省碳达峰碳中和相关要求，</w:t>
            </w:r>
            <w:r>
              <w:rPr>
                <w:spacing w:val="1"/>
                <w:sz w:val="21"/>
                <w:szCs w:val="21"/>
              </w:rPr>
              <w:t xml:space="preserve"> </w:t>
            </w:r>
            <w:r>
              <w:rPr>
                <w:spacing w:val="4"/>
                <w:sz w:val="21"/>
                <w:szCs w:val="21"/>
              </w:rPr>
              <w:t>处理好发展和减排、整体和局部、长</w:t>
            </w:r>
            <w:r>
              <w:rPr>
                <w:spacing w:val="1"/>
                <w:sz w:val="21"/>
                <w:szCs w:val="21"/>
              </w:rPr>
              <w:t xml:space="preserve">  </w:t>
            </w:r>
            <w:r>
              <w:rPr>
                <w:spacing w:val="3"/>
                <w:sz w:val="21"/>
                <w:szCs w:val="21"/>
              </w:rPr>
              <w:t>远目标和短期目标、政府和市场的关</w:t>
            </w:r>
            <w:r>
              <w:rPr>
                <w:sz w:val="21"/>
                <w:szCs w:val="21"/>
              </w:rPr>
              <w:t xml:space="preserve">  系，加快推动减污降碳协同创新试点，</w:t>
            </w:r>
          </w:p>
        </w:tc>
        <w:tc>
          <w:tcPr>
            <w:tcW w:w="2008" w:type="dxa"/>
            <w:vAlign w:val="top"/>
          </w:tcPr>
          <w:p w14:paraId="5691927B">
            <w:pPr>
              <w:pStyle w:val="6"/>
              <w:spacing w:before="29" w:line="238" w:lineRule="auto"/>
              <w:ind w:left="57" w:firstLine="47"/>
              <w:rPr>
                <w:sz w:val="21"/>
                <w:szCs w:val="21"/>
              </w:rPr>
            </w:pPr>
            <w:r>
              <w:rPr>
                <w:spacing w:val="-10"/>
                <w:sz w:val="21"/>
                <w:szCs w:val="21"/>
              </w:rPr>
              <w:t>1、项目为几沃梁子</w:t>
            </w:r>
            <w:r>
              <w:rPr>
                <w:sz w:val="21"/>
                <w:szCs w:val="21"/>
              </w:rPr>
              <w:t xml:space="preserve">   </w:t>
            </w:r>
            <w:r>
              <w:rPr>
                <w:spacing w:val="2"/>
                <w:sz w:val="21"/>
                <w:szCs w:val="21"/>
              </w:rPr>
              <w:t>光伏电站项目，不</w:t>
            </w:r>
            <w:r>
              <w:rPr>
                <w:spacing w:val="1"/>
                <w:sz w:val="21"/>
                <w:szCs w:val="21"/>
              </w:rPr>
              <w:t xml:space="preserve">   </w:t>
            </w:r>
            <w:r>
              <w:rPr>
                <w:spacing w:val="14"/>
                <w:sz w:val="21"/>
                <w:szCs w:val="21"/>
              </w:rPr>
              <w:t>属于化工、冶金、</w:t>
            </w:r>
            <w:r>
              <w:rPr>
                <w:sz w:val="21"/>
                <w:szCs w:val="21"/>
              </w:rPr>
              <w:t xml:space="preserve">  </w:t>
            </w:r>
            <w:r>
              <w:rPr>
                <w:spacing w:val="-10"/>
                <w:sz w:val="21"/>
                <w:szCs w:val="21"/>
              </w:rPr>
              <w:t>建材、造纸、农副食</w:t>
            </w:r>
            <w:r>
              <w:rPr>
                <w:spacing w:val="1"/>
                <w:sz w:val="21"/>
                <w:szCs w:val="21"/>
              </w:rPr>
              <w:t xml:space="preserve">  </w:t>
            </w:r>
            <w:r>
              <w:rPr>
                <w:spacing w:val="-9"/>
                <w:sz w:val="21"/>
                <w:szCs w:val="21"/>
              </w:rPr>
              <w:t>品加工、工业涂装和</w:t>
            </w:r>
            <w:r>
              <w:rPr>
                <w:sz w:val="21"/>
                <w:szCs w:val="21"/>
              </w:rPr>
              <w:t xml:space="preserve">  </w:t>
            </w:r>
            <w:r>
              <w:rPr>
                <w:spacing w:val="-12"/>
                <w:sz w:val="21"/>
                <w:szCs w:val="21"/>
              </w:rPr>
              <w:t>包装印刷、煤矿、火</w:t>
            </w:r>
            <w:r>
              <w:rPr>
                <w:spacing w:val="1"/>
                <w:sz w:val="21"/>
                <w:szCs w:val="21"/>
              </w:rPr>
              <w:t xml:space="preserve">  </w:t>
            </w:r>
            <w:r>
              <w:rPr>
                <w:spacing w:val="-16"/>
                <w:sz w:val="21"/>
                <w:szCs w:val="21"/>
              </w:rPr>
              <w:t>力发电，甲醇、焦化、</w:t>
            </w:r>
            <w:r>
              <w:rPr>
                <w:sz w:val="21"/>
                <w:szCs w:val="21"/>
              </w:rPr>
              <w:t xml:space="preserve"> 氮肥、磷肥、氯碱、</w:t>
            </w:r>
            <w:r>
              <w:rPr>
                <w:spacing w:val="7"/>
                <w:sz w:val="21"/>
                <w:szCs w:val="21"/>
              </w:rPr>
              <w:t xml:space="preserve"> </w:t>
            </w:r>
            <w:r>
              <w:rPr>
                <w:sz w:val="21"/>
                <w:szCs w:val="21"/>
              </w:rPr>
              <w:t>电石、制药、农药、</w:t>
            </w:r>
            <w:r>
              <w:rPr>
                <w:spacing w:val="7"/>
                <w:sz w:val="21"/>
                <w:szCs w:val="21"/>
              </w:rPr>
              <w:t xml:space="preserve"> </w:t>
            </w:r>
            <w:r>
              <w:rPr>
                <w:spacing w:val="-10"/>
                <w:sz w:val="21"/>
                <w:szCs w:val="21"/>
              </w:rPr>
              <w:t>黄磷、铬盐生产，钢</w:t>
            </w:r>
            <w:r>
              <w:rPr>
                <w:spacing w:val="3"/>
                <w:sz w:val="21"/>
                <w:szCs w:val="21"/>
              </w:rPr>
              <w:t xml:space="preserve">  </w:t>
            </w:r>
            <w:r>
              <w:rPr>
                <w:spacing w:val="-10"/>
                <w:sz w:val="21"/>
                <w:szCs w:val="21"/>
              </w:rPr>
              <w:t>铁、铁合金铅锌铝冶</w:t>
            </w:r>
            <w:r>
              <w:rPr>
                <w:spacing w:val="3"/>
                <w:sz w:val="21"/>
                <w:szCs w:val="21"/>
              </w:rPr>
              <w:t xml:space="preserve">  </w:t>
            </w:r>
            <w:r>
              <w:rPr>
                <w:spacing w:val="-10"/>
                <w:sz w:val="21"/>
                <w:szCs w:val="21"/>
              </w:rPr>
              <w:t>炼及再生，水泥、石</w:t>
            </w:r>
            <w:r>
              <w:rPr>
                <w:spacing w:val="1"/>
                <w:sz w:val="21"/>
                <w:szCs w:val="21"/>
              </w:rPr>
              <w:t xml:space="preserve">  </w:t>
            </w:r>
            <w:r>
              <w:rPr>
                <w:spacing w:val="-12"/>
                <w:sz w:val="21"/>
                <w:szCs w:val="21"/>
              </w:rPr>
              <w:t>灰、建筑陶瓷、平板</w:t>
            </w:r>
            <w:r>
              <w:rPr>
                <w:sz w:val="21"/>
                <w:szCs w:val="21"/>
              </w:rPr>
              <w:t xml:space="preserve">  </w:t>
            </w:r>
            <w:r>
              <w:rPr>
                <w:spacing w:val="-1"/>
                <w:sz w:val="21"/>
                <w:szCs w:val="21"/>
              </w:rPr>
              <w:t>玻璃、沥青防水材</w:t>
            </w:r>
            <w:r>
              <w:rPr>
                <w:spacing w:val="1"/>
                <w:sz w:val="21"/>
                <w:szCs w:val="21"/>
              </w:rPr>
              <w:t xml:space="preserve">   </w:t>
            </w:r>
            <w:r>
              <w:rPr>
                <w:spacing w:val="-16"/>
                <w:sz w:val="21"/>
                <w:szCs w:val="21"/>
              </w:rPr>
              <w:t>料，纸浆造纸，酿造、</w:t>
            </w:r>
            <w:r>
              <w:rPr>
                <w:sz w:val="21"/>
                <w:szCs w:val="21"/>
              </w:rPr>
              <w:t xml:space="preserve"> </w:t>
            </w:r>
            <w:r>
              <w:rPr>
                <w:spacing w:val="-9"/>
                <w:sz w:val="21"/>
                <w:szCs w:val="21"/>
              </w:rPr>
              <w:t>味精、柠檬酸、酶制</w:t>
            </w:r>
            <w:r>
              <w:rPr>
                <w:sz w:val="21"/>
                <w:szCs w:val="21"/>
              </w:rPr>
              <w:t xml:space="preserve">  </w:t>
            </w:r>
            <w:r>
              <w:rPr>
                <w:spacing w:val="-9"/>
                <w:sz w:val="21"/>
                <w:szCs w:val="21"/>
              </w:rPr>
              <w:t>剂、酵母，新能源电</w:t>
            </w:r>
          </w:p>
        </w:tc>
        <w:tc>
          <w:tcPr>
            <w:tcW w:w="544" w:type="dxa"/>
            <w:textDirection w:val="tbRlV"/>
            <w:vAlign w:val="top"/>
          </w:tcPr>
          <w:p w14:paraId="63371712">
            <w:pPr>
              <w:pStyle w:val="6"/>
              <w:spacing w:before="173" w:line="200" w:lineRule="auto"/>
              <w:ind w:left="2047"/>
              <w:rPr>
                <w:sz w:val="21"/>
                <w:szCs w:val="21"/>
              </w:rPr>
            </w:pPr>
            <w:r>
              <w:rPr>
                <w:sz w:val="21"/>
                <w:szCs w:val="21"/>
              </w:rPr>
              <w:t>符</w:t>
            </w:r>
            <w:r>
              <w:rPr>
                <w:spacing w:val="13"/>
                <w:sz w:val="21"/>
                <w:szCs w:val="21"/>
              </w:rPr>
              <w:t xml:space="preserve"> </w:t>
            </w:r>
            <w:r>
              <w:rPr>
                <w:sz w:val="21"/>
                <w:szCs w:val="21"/>
              </w:rPr>
              <w:t>合</w:t>
            </w:r>
          </w:p>
        </w:tc>
      </w:tr>
    </w:tbl>
    <w:p w14:paraId="2BA5CABB">
      <w:pPr>
        <w:pStyle w:val="2"/>
      </w:pPr>
    </w:p>
    <w:p w14:paraId="3AE9B2D8">
      <w:pPr>
        <w:sectPr>
          <w:footerReference r:id="rId14" w:type="default"/>
          <w:pgSz w:w="11910" w:h="16840"/>
          <w:pgMar w:top="1431" w:right="1584" w:bottom="1234" w:left="1494" w:header="0" w:footer="1099" w:gutter="0"/>
          <w:cols w:space="720" w:num="1"/>
        </w:sectPr>
      </w:pPr>
    </w:p>
    <w:p w14:paraId="0A956273">
      <w:pPr>
        <w:spacing w:line="93" w:lineRule="exact"/>
      </w:pPr>
    </w:p>
    <w:tbl>
      <w:tblPr>
        <w:tblStyle w:val="5"/>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549"/>
        <w:gridCol w:w="490"/>
        <w:gridCol w:w="3656"/>
        <w:gridCol w:w="2028"/>
        <w:gridCol w:w="534"/>
      </w:tblGrid>
      <w:tr w14:paraId="14307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7" w:hRule="atLeast"/>
        </w:trPr>
        <w:tc>
          <w:tcPr>
            <w:tcW w:w="1573" w:type="dxa"/>
            <w:vMerge w:val="restart"/>
            <w:tcBorders>
              <w:bottom w:val="nil"/>
            </w:tcBorders>
            <w:vAlign w:val="top"/>
          </w:tcPr>
          <w:p w14:paraId="298C1A03">
            <w:pPr>
              <w:rPr>
                <w:rFonts w:ascii="Arial"/>
                <w:sz w:val="21"/>
              </w:rPr>
            </w:pPr>
          </w:p>
        </w:tc>
        <w:tc>
          <w:tcPr>
            <w:tcW w:w="549" w:type="dxa"/>
            <w:vMerge w:val="restart"/>
            <w:tcBorders>
              <w:bottom w:val="nil"/>
            </w:tcBorders>
            <w:vAlign w:val="top"/>
          </w:tcPr>
          <w:p w14:paraId="4F5DBEC2">
            <w:pPr>
              <w:rPr>
                <w:rFonts w:ascii="Arial"/>
                <w:sz w:val="21"/>
              </w:rPr>
            </w:pPr>
          </w:p>
        </w:tc>
        <w:tc>
          <w:tcPr>
            <w:tcW w:w="490" w:type="dxa"/>
            <w:vAlign w:val="top"/>
          </w:tcPr>
          <w:p w14:paraId="392CDB52">
            <w:pPr>
              <w:rPr>
                <w:rFonts w:ascii="Arial"/>
                <w:sz w:val="21"/>
              </w:rPr>
            </w:pPr>
          </w:p>
        </w:tc>
        <w:tc>
          <w:tcPr>
            <w:tcW w:w="3656" w:type="dxa"/>
            <w:vAlign w:val="top"/>
          </w:tcPr>
          <w:p w14:paraId="58C9835A">
            <w:pPr>
              <w:pStyle w:val="6"/>
              <w:spacing w:before="44" w:line="239" w:lineRule="auto"/>
              <w:ind w:left="103" w:right="133" w:firstLine="40"/>
              <w:rPr>
                <w:sz w:val="21"/>
                <w:szCs w:val="21"/>
              </w:rPr>
            </w:pPr>
            <w:r>
              <w:rPr>
                <w:sz w:val="21"/>
                <w:szCs w:val="21"/>
              </w:rPr>
              <w:t>坚定不移走生态优先、绿色低碳的高</w:t>
            </w:r>
            <w:r>
              <w:rPr>
                <w:spacing w:val="8"/>
                <w:sz w:val="21"/>
                <w:szCs w:val="21"/>
              </w:rPr>
              <w:t xml:space="preserve"> </w:t>
            </w:r>
            <w:r>
              <w:rPr>
                <w:spacing w:val="-1"/>
                <w:sz w:val="21"/>
                <w:szCs w:val="21"/>
              </w:rPr>
              <w:t>质量发展道路。</w:t>
            </w:r>
          </w:p>
          <w:p w14:paraId="6BC1FB12">
            <w:pPr>
              <w:pStyle w:val="6"/>
              <w:spacing w:before="9" w:line="238" w:lineRule="auto"/>
              <w:ind w:left="102" w:right="19" w:hanging="69"/>
              <w:rPr>
                <w:sz w:val="21"/>
                <w:szCs w:val="21"/>
              </w:rPr>
            </w:pPr>
            <w:r>
              <w:rPr>
                <w:spacing w:val="1"/>
                <w:sz w:val="21"/>
                <w:szCs w:val="21"/>
              </w:rPr>
              <w:t>3.加大重点流域水污染防治，确保水质</w:t>
            </w:r>
            <w:r>
              <w:rPr>
                <w:spacing w:val="4"/>
                <w:sz w:val="21"/>
                <w:szCs w:val="21"/>
              </w:rPr>
              <w:t xml:space="preserve"> 如期达标。南盘江龚家坝、北盘江旧</w:t>
            </w:r>
            <w:r>
              <w:rPr>
                <w:sz w:val="21"/>
                <w:szCs w:val="21"/>
              </w:rPr>
              <w:t xml:space="preserve">  </w:t>
            </w:r>
            <w:r>
              <w:rPr>
                <w:spacing w:val="3"/>
                <w:sz w:val="21"/>
                <w:szCs w:val="21"/>
              </w:rPr>
              <w:t>营桥等断面汇水区，新建、改建、扩</w:t>
            </w:r>
            <w:r>
              <w:rPr>
                <w:sz w:val="21"/>
                <w:szCs w:val="21"/>
              </w:rPr>
              <w:t xml:space="preserve">  </w:t>
            </w:r>
            <w:r>
              <w:rPr>
                <w:spacing w:val="3"/>
                <w:sz w:val="21"/>
                <w:szCs w:val="21"/>
              </w:rPr>
              <w:t>建重点行业建设项目实行主要污染物</w:t>
            </w:r>
            <w:r>
              <w:rPr>
                <w:sz w:val="21"/>
                <w:szCs w:val="21"/>
              </w:rPr>
              <w:t xml:space="preserve">  </w:t>
            </w:r>
            <w:r>
              <w:rPr>
                <w:spacing w:val="8"/>
                <w:sz w:val="21"/>
                <w:szCs w:val="21"/>
              </w:rPr>
              <w:t>排放减量置换。到2025年，牛栏江、</w:t>
            </w:r>
            <w:r>
              <w:rPr>
                <w:sz w:val="21"/>
                <w:szCs w:val="21"/>
              </w:rPr>
              <w:t xml:space="preserve"> </w:t>
            </w:r>
            <w:r>
              <w:rPr>
                <w:spacing w:val="1"/>
                <w:sz w:val="21"/>
                <w:szCs w:val="21"/>
              </w:rPr>
              <w:t>南盘江、北盘江流域内所有城镇区域</w:t>
            </w:r>
            <w:r>
              <w:rPr>
                <w:spacing w:val="6"/>
                <w:sz w:val="21"/>
                <w:szCs w:val="21"/>
              </w:rPr>
              <w:t xml:space="preserve">  </w:t>
            </w:r>
            <w:r>
              <w:rPr>
                <w:spacing w:val="3"/>
                <w:sz w:val="21"/>
                <w:szCs w:val="21"/>
              </w:rPr>
              <w:t>内实现生活污水处理设施全覆盖、生</w:t>
            </w:r>
            <w:r>
              <w:rPr>
                <w:sz w:val="21"/>
                <w:szCs w:val="21"/>
              </w:rPr>
              <w:t xml:space="preserve">  </w:t>
            </w:r>
            <w:r>
              <w:rPr>
                <w:spacing w:val="-1"/>
                <w:sz w:val="21"/>
                <w:szCs w:val="21"/>
              </w:rPr>
              <w:t>活污水全处理。</w:t>
            </w:r>
          </w:p>
          <w:p w14:paraId="22946758">
            <w:pPr>
              <w:pStyle w:val="6"/>
              <w:spacing w:before="15" w:line="237" w:lineRule="auto"/>
              <w:ind w:left="102" w:right="24" w:hanging="69"/>
              <w:rPr>
                <w:sz w:val="21"/>
                <w:szCs w:val="21"/>
              </w:rPr>
            </w:pPr>
            <w:r>
              <w:rPr>
                <w:spacing w:val="1"/>
                <w:sz w:val="21"/>
                <w:szCs w:val="21"/>
              </w:rPr>
              <w:t>4.牛栏江等流域内，严格按照《云南省</w:t>
            </w:r>
            <w:r>
              <w:rPr>
                <w:sz w:val="21"/>
                <w:szCs w:val="21"/>
              </w:rPr>
              <w:t xml:space="preserve"> </w:t>
            </w:r>
            <w:r>
              <w:rPr>
                <w:spacing w:val="6"/>
                <w:sz w:val="21"/>
                <w:szCs w:val="21"/>
              </w:rPr>
              <w:t>牛栏江保护条例》《牛栏江流域(云</w:t>
            </w:r>
            <w:r>
              <w:rPr>
                <w:sz w:val="21"/>
                <w:szCs w:val="21"/>
              </w:rPr>
              <w:t xml:space="preserve">  </w:t>
            </w:r>
            <w:r>
              <w:rPr>
                <w:spacing w:val="4"/>
                <w:sz w:val="21"/>
                <w:szCs w:val="21"/>
              </w:rPr>
              <w:t>南部分)水环境保护规划报告》及其</w:t>
            </w:r>
            <w:r>
              <w:rPr>
                <w:spacing w:val="7"/>
                <w:sz w:val="21"/>
                <w:szCs w:val="21"/>
              </w:rPr>
              <w:t xml:space="preserve">  </w:t>
            </w:r>
            <w:r>
              <w:rPr>
                <w:spacing w:val="3"/>
                <w:sz w:val="21"/>
                <w:szCs w:val="21"/>
              </w:rPr>
              <w:t>中期评估报告有关要求，禁止在牛栏</w:t>
            </w:r>
            <w:r>
              <w:rPr>
                <w:sz w:val="21"/>
                <w:szCs w:val="21"/>
              </w:rPr>
              <w:t xml:space="preserve">  </w:t>
            </w:r>
            <w:r>
              <w:rPr>
                <w:spacing w:val="1"/>
                <w:sz w:val="21"/>
                <w:szCs w:val="21"/>
              </w:rPr>
              <w:t>江水源保护区核心区新建、改建、扩</w:t>
            </w:r>
            <w:r>
              <w:rPr>
                <w:spacing w:val="6"/>
                <w:sz w:val="21"/>
                <w:szCs w:val="21"/>
              </w:rPr>
              <w:t xml:space="preserve">  </w:t>
            </w:r>
            <w:r>
              <w:rPr>
                <w:spacing w:val="4"/>
                <w:sz w:val="21"/>
                <w:szCs w:val="21"/>
              </w:rPr>
              <w:t>建排污口。牛栏江流域上游保护区内</w:t>
            </w:r>
            <w:r>
              <w:rPr>
                <w:spacing w:val="1"/>
                <w:sz w:val="21"/>
                <w:szCs w:val="21"/>
              </w:rPr>
              <w:t xml:space="preserve">  </w:t>
            </w:r>
            <w:r>
              <w:rPr>
                <w:spacing w:val="3"/>
                <w:sz w:val="21"/>
                <w:szCs w:val="21"/>
              </w:rPr>
              <w:t>已设置排污口的生产企业，排放水污</w:t>
            </w:r>
            <w:r>
              <w:rPr>
                <w:sz w:val="21"/>
                <w:szCs w:val="21"/>
              </w:rPr>
              <w:t xml:space="preserve">  </w:t>
            </w:r>
            <w:r>
              <w:rPr>
                <w:spacing w:val="3"/>
                <w:sz w:val="21"/>
                <w:szCs w:val="21"/>
              </w:rPr>
              <w:t>染物应当符合国家或者地方规定的水</w:t>
            </w:r>
            <w:r>
              <w:rPr>
                <w:sz w:val="21"/>
                <w:szCs w:val="21"/>
              </w:rPr>
              <w:t xml:space="preserve">  </w:t>
            </w:r>
            <w:r>
              <w:rPr>
                <w:spacing w:val="1"/>
                <w:sz w:val="21"/>
                <w:szCs w:val="21"/>
              </w:rPr>
              <w:t>污染物排放标准和重点水污染物排放</w:t>
            </w:r>
            <w:r>
              <w:rPr>
                <w:spacing w:val="6"/>
                <w:sz w:val="21"/>
                <w:szCs w:val="21"/>
              </w:rPr>
              <w:t xml:space="preserve">  </w:t>
            </w:r>
            <w:r>
              <w:rPr>
                <w:spacing w:val="-1"/>
                <w:sz w:val="21"/>
                <w:szCs w:val="21"/>
              </w:rPr>
              <w:t>总量控制指标。</w:t>
            </w:r>
          </w:p>
          <w:p w14:paraId="6D0345E9">
            <w:pPr>
              <w:pStyle w:val="6"/>
              <w:spacing w:before="30" w:line="228" w:lineRule="auto"/>
              <w:ind w:left="102" w:right="25" w:hanging="69"/>
              <w:rPr>
                <w:sz w:val="21"/>
                <w:szCs w:val="21"/>
              </w:rPr>
            </w:pPr>
            <w:r>
              <w:rPr>
                <w:sz w:val="21"/>
                <w:szCs w:val="21"/>
              </w:rPr>
              <w:t>5.严格保护集中式饮用水水源地，整治</w:t>
            </w:r>
            <w:r>
              <w:rPr>
                <w:spacing w:val="16"/>
                <w:sz w:val="21"/>
                <w:szCs w:val="21"/>
              </w:rPr>
              <w:t xml:space="preserve"> </w:t>
            </w:r>
            <w:r>
              <w:rPr>
                <w:spacing w:val="1"/>
                <w:sz w:val="21"/>
                <w:szCs w:val="21"/>
              </w:rPr>
              <w:t>饮用水源保护区内的污染源，确保饮</w:t>
            </w:r>
            <w:r>
              <w:rPr>
                <w:spacing w:val="7"/>
                <w:sz w:val="21"/>
                <w:szCs w:val="21"/>
              </w:rPr>
              <w:t xml:space="preserve">  </w:t>
            </w:r>
            <w:r>
              <w:rPr>
                <w:spacing w:val="-1"/>
                <w:sz w:val="21"/>
                <w:szCs w:val="21"/>
              </w:rPr>
              <w:t>水安全。</w:t>
            </w:r>
          </w:p>
          <w:p w14:paraId="38D9D205">
            <w:pPr>
              <w:pStyle w:val="6"/>
              <w:spacing w:before="40" w:line="236" w:lineRule="auto"/>
              <w:ind w:left="33" w:right="25"/>
              <w:rPr>
                <w:sz w:val="21"/>
                <w:szCs w:val="21"/>
              </w:rPr>
            </w:pPr>
            <w:r>
              <w:rPr>
                <w:spacing w:val="-1"/>
                <w:sz w:val="21"/>
                <w:szCs w:val="21"/>
              </w:rPr>
              <w:t>6.严把新建、改扩建涉重金属重点行业</w:t>
            </w:r>
            <w:r>
              <w:rPr>
                <w:spacing w:val="7"/>
                <w:sz w:val="21"/>
                <w:szCs w:val="21"/>
              </w:rPr>
              <w:t xml:space="preserve"> </w:t>
            </w:r>
            <w:r>
              <w:rPr>
                <w:spacing w:val="6"/>
                <w:sz w:val="21"/>
                <w:szCs w:val="21"/>
              </w:rPr>
              <w:t>建设项目审批关，切实降低区域重金</w:t>
            </w:r>
            <w:r>
              <w:rPr>
                <w:spacing w:val="1"/>
                <w:sz w:val="21"/>
                <w:szCs w:val="21"/>
              </w:rPr>
              <w:t xml:space="preserve">  </w:t>
            </w:r>
            <w:r>
              <w:rPr>
                <w:spacing w:val="6"/>
                <w:sz w:val="21"/>
                <w:szCs w:val="21"/>
              </w:rPr>
              <w:t>属排放总量。会泽县新、改、扩建涉</w:t>
            </w:r>
            <w:r>
              <w:rPr>
                <w:spacing w:val="1"/>
                <w:sz w:val="21"/>
                <w:szCs w:val="21"/>
              </w:rPr>
              <w:t xml:space="preserve">  </w:t>
            </w:r>
            <w:r>
              <w:rPr>
                <w:spacing w:val="7"/>
                <w:sz w:val="21"/>
                <w:szCs w:val="21"/>
              </w:rPr>
              <w:t xml:space="preserve">重金属重点行业建设项目重点重金属  </w:t>
            </w:r>
            <w:r>
              <w:rPr>
                <w:spacing w:val="1"/>
                <w:sz w:val="21"/>
                <w:szCs w:val="21"/>
              </w:rPr>
              <w:t>污染物排放遵循“减量替代”原则，替</w:t>
            </w:r>
            <w:r>
              <w:rPr>
                <w:sz w:val="21"/>
                <w:szCs w:val="21"/>
              </w:rPr>
              <w:t xml:space="preserve"> </w:t>
            </w:r>
            <w:r>
              <w:rPr>
                <w:spacing w:val="7"/>
                <w:sz w:val="21"/>
                <w:szCs w:val="21"/>
              </w:rPr>
              <w:t>代比例不低于1.2:1;其他县(市、区)</w:t>
            </w:r>
            <w:r>
              <w:rPr>
                <w:spacing w:val="14"/>
                <w:sz w:val="21"/>
                <w:szCs w:val="21"/>
              </w:rPr>
              <w:t xml:space="preserve"> </w:t>
            </w:r>
            <w:r>
              <w:rPr>
                <w:spacing w:val="5"/>
                <w:sz w:val="21"/>
                <w:szCs w:val="21"/>
              </w:rPr>
              <w:t>遵循“等量替代”原则。</w:t>
            </w:r>
          </w:p>
          <w:p w14:paraId="27017088">
            <w:pPr>
              <w:pStyle w:val="6"/>
              <w:spacing w:before="30" w:line="232" w:lineRule="auto"/>
              <w:ind w:left="33" w:firstLine="108"/>
              <w:rPr>
                <w:sz w:val="21"/>
                <w:szCs w:val="21"/>
              </w:rPr>
            </w:pPr>
            <w:r>
              <w:rPr>
                <w:spacing w:val="-3"/>
                <w:sz w:val="21"/>
                <w:szCs w:val="21"/>
              </w:rPr>
              <w:t>7.到2025年，曲靖市重点行业重点重</w:t>
            </w:r>
            <w:r>
              <w:rPr>
                <w:spacing w:val="2"/>
                <w:sz w:val="21"/>
                <w:szCs w:val="21"/>
              </w:rPr>
              <w:t xml:space="preserve">   </w:t>
            </w:r>
            <w:r>
              <w:rPr>
                <w:spacing w:val="5"/>
                <w:sz w:val="21"/>
                <w:szCs w:val="21"/>
              </w:rPr>
              <w:t>金属污染物排放量比2020年下降6%。</w:t>
            </w:r>
            <w:r>
              <w:rPr>
                <w:sz w:val="21"/>
                <w:szCs w:val="21"/>
              </w:rPr>
              <w:t xml:space="preserve">  </w:t>
            </w:r>
            <w:r>
              <w:rPr>
                <w:spacing w:val="2"/>
                <w:sz w:val="21"/>
                <w:szCs w:val="21"/>
              </w:rPr>
              <w:t>8.到2025年，全市化学需氧量、氨氮、</w:t>
            </w:r>
            <w:r>
              <w:rPr>
                <w:spacing w:val="1"/>
                <w:sz w:val="21"/>
                <w:szCs w:val="21"/>
              </w:rPr>
              <w:t xml:space="preserve"> </w:t>
            </w:r>
            <w:r>
              <w:rPr>
                <w:spacing w:val="2"/>
                <w:sz w:val="21"/>
                <w:szCs w:val="21"/>
              </w:rPr>
              <w:t>氮氧化物、挥发性有机物排放总量等</w:t>
            </w:r>
            <w:r>
              <w:rPr>
                <w:spacing w:val="3"/>
                <w:sz w:val="21"/>
                <w:szCs w:val="21"/>
              </w:rPr>
              <w:t xml:space="preserve">   </w:t>
            </w:r>
            <w:r>
              <w:rPr>
                <w:sz w:val="21"/>
                <w:szCs w:val="21"/>
              </w:rPr>
              <w:t>重点工程减排量分别达到7984吨、496</w:t>
            </w:r>
            <w:r>
              <w:rPr>
                <w:spacing w:val="2"/>
                <w:sz w:val="21"/>
                <w:szCs w:val="21"/>
              </w:rPr>
              <w:t xml:space="preserve">  吨、3611吨、1181吨。</w:t>
            </w:r>
          </w:p>
        </w:tc>
        <w:tc>
          <w:tcPr>
            <w:tcW w:w="2028" w:type="dxa"/>
            <w:vAlign w:val="top"/>
          </w:tcPr>
          <w:p w14:paraId="0884CCDA">
            <w:pPr>
              <w:pStyle w:val="6"/>
              <w:spacing w:before="40" w:line="216" w:lineRule="auto"/>
              <w:ind w:left="216"/>
              <w:rPr>
                <w:sz w:val="21"/>
                <w:szCs w:val="21"/>
              </w:rPr>
            </w:pPr>
            <w:r>
              <w:rPr>
                <w:spacing w:val="7"/>
                <w:sz w:val="21"/>
                <w:szCs w:val="21"/>
              </w:rPr>
              <w:t>池(正负极材料),</w:t>
            </w:r>
          </w:p>
          <w:p w14:paraId="0BA757E4">
            <w:pPr>
              <w:pStyle w:val="6"/>
              <w:spacing w:before="27" w:line="220" w:lineRule="auto"/>
              <w:ind w:left="67"/>
              <w:rPr>
                <w:sz w:val="21"/>
                <w:szCs w:val="21"/>
              </w:rPr>
            </w:pPr>
            <w:r>
              <w:rPr>
                <w:spacing w:val="1"/>
                <w:sz w:val="21"/>
                <w:szCs w:val="21"/>
              </w:rPr>
              <w:t>多晶硅、单晶硅、有</w:t>
            </w:r>
          </w:p>
          <w:p w14:paraId="31FD71E1">
            <w:pPr>
              <w:pStyle w:val="6"/>
              <w:spacing w:before="17" w:line="219" w:lineRule="auto"/>
              <w:ind w:left="67"/>
              <w:rPr>
                <w:sz w:val="21"/>
                <w:szCs w:val="21"/>
              </w:rPr>
            </w:pPr>
            <w:r>
              <w:rPr>
                <w:spacing w:val="-1"/>
                <w:sz w:val="21"/>
                <w:szCs w:val="21"/>
              </w:rPr>
              <w:t>机硅，工业涂装和包</w:t>
            </w:r>
          </w:p>
          <w:p w14:paraId="747B2479">
            <w:pPr>
              <w:pStyle w:val="6"/>
              <w:spacing w:before="32" w:line="219" w:lineRule="auto"/>
              <w:ind w:left="327"/>
              <w:rPr>
                <w:sz w:val="21"/>
                <w:szCs w:val="21"/>
              </w:rPr>
            </w:pPr>
            <w:r>
              <w:rPr>
                <w:spacing w:val="-1"/>
                <w:sz w:val="21"/>
                <w:szCs w:val="21"/>
              </w:rPr>
              <w:t>装印刷等行业。</w:t>
            </w:r>
          </w:p>
          <w:p w14:paraId="294C2D57">
            <w:pPr>
              <w:pStyle w:val="6"/>
              <w:spacing w:before="21"/>
              <w:ind w:left="117" w:right="126"/>
              <w:jc w:val="both"/>
              <w:rPr>
                <w:sz w:val="21"/>
                <w:szCs w:val="21"/>
              </w:rPr>
            </w:pPr>
            <w:r>
              <w:rPr>
                <w:spacing w:val="-2"/>
                <w:sz w:val="21"/>
                <w:szCs w:val="21"/>
              </w:rPr>
              <w:t>2、项目为几沃梁子</w:t>
            </w:r>
            <w:r>
              <w:rPr>
                <w:spacing w:val="6"/>
                <w:sz w:val="21"/>
                <w:szCs w:val="21"/>
              </w:rPr>
              <w:t xml:space="preserve"> </w:t>
            </w:r>
            <w:r>
              <w:rPr>
                <w:spacing w:val="7"/>
                <w:sz w:val="21"/>
                <w:szCs w:val="21"/>
              </w:rPr>
              <w:t>光伏电站项目，不</w:t>
            </w:r>
            <w:r>
              <w:rPr>
                <w:spacing w:val="4"/>
                <w:sz w:val="21"/>
                <w:szCs w:val="21"/>
              </w:rPr>
              <w:t xml:space="preserve"> </w:t>
            </w:r>
            <w:r>
              <w:rPr>
                <w:spacing w:val="-1"/>
                <w:sz w:val="21"/>
                <w:szCs w:val="21"/>
              </w:rPr>
              <w:t>属于排碳类项目。</w:t>
            </w:r>
          </w:p>
          <w:p w14:paraId="74896421">
            <w:pPr>
              <w:pStyle w:val="6"/>
              <w:spacing w:before="8" w:line="239" w:lineRule="auto"/>
              <w:ind w:left="67" w:firstLine="48"/>
              <w:rPr>
                <w:sz w:val="21"/>
                <w:szCs w:val="21"/>
              </w:rPr>
            </w:pPr>
            <w:r>
              <w:rPr>
                <w:spacing w:val="-6"/>
                <w:sz w:val="21"/>
                <w:szCs w:val="21"/>
              </w:rPr>
              <w:t>3、光伏板清洗废水</w:t>
            </w:r>
            <w:r>
              <w:rPr>
                <w:sz w:val="21"/>
                <w:szCs w:val="21"/>
              </w:rPr>
              <w:t xml:space="preserve">  </w:t>
            </w:r>
            <w:r>
              <w:rPr>
                <w:spacing w:val="6"/>
                <w:sz w:val="21"/>
                <w:szCs w:val="21"/>
              </w:rPr>
              <w:t>用于板下植物浇洒；</w:t>
            </w:r>
            <w:r>
              <w:rPr>
                <w:spacing w:val="5"/>
                <w:sz w:val="21"/>
                <w:szCs w:val="21"/>
              </w:rPr>
              <w:t xml:space="preserve"> </w:t>
            </w:r>
            <w:r>
              <w:rPr>
                <w:spacing w:val="6"/>
                <w:sz w:val="21"/>
                <w:szCs w:val="21"/>
              </w:rPr>
              <w:t>升压站生活污水经</w:t>
            </w:r>
            <w:r>
              <w:rPr>
                <w:sz w:val="21"/>
                <w:szCs w:val="21"/>
              </w:rPr>
              <w:t xml:space="preserve">   </w:t>
            </w:r>
            <w:r>
              <w:rPr>
                <w:spacing w:val="8"/>
                <w:sz w:val="21"/>
                <w:szCs w:val="21"/>
              </w:rPr>
              <w:t>一体化污水处理站</w:t>
            </w:r>
            <w:r>
              <w:rPr>
                <w:spacing w:val="2"/>
                <w:sz w:val="21"/>
                <w:szCs w:val="21"/>
              </w:rPr>
              <w:t xml:space="preserve">   </w:t>
            </w:r>
            <w:r>
              <w:rPr>
                <w:spacing w:val="10"/>
                <w:sz w:val="21"/>
                <w:szCs w:val="21"/>
              </w:rPr>
              <w:t>处理达标后全部回</w:t>
            </w:r>
            <w:r>
              <w:rPr>
                <w:sz w:val="21"/>
                <w:szCs w:val="21"/>
              </w:rPr>
              <w:t xml:space="preserve">  </w:t>
            </w:r>
            <w:r>
              <w:rPr>
                <w:spacing w:val="-6"/>
                <w:sz w:val="21"/>
                <w:szCs w:val="21"/>
              </w:rPr>
              <w:t>用于项目区绿化。对</w:t>
            </w:r>
            <w:r>
              <w:rPr>
                <w:sz w:val="21"/>
                <w:szCs w:val="21"/>
              </w:rPr>
              <w:t xml:space="preserve">  </w:t>
            </w:r>
            <w:r>
              <w:rPr>
                <w:spacing w:val="1"/>
                <w:sz w:val="21"/>
                <w:szCs w:val="21"/>
              </w:rPr>
              <w:t>水环境影响较小。</w:t>
            </w:r>
          </w:p>
          <w:p w14:paraId="2A63C7C5">
            <w:pPr>
              <w:pStyle w:val="6"/>
              <w:spacing w:before="1" w:line="229" w:lineRule="auto"/>
              <w:ind w:left="97" w:right="123" w:firstLine="20"/>
              <w:rPr>
                <w:sz w:val="21"/>
                <w:szCs w:val="21"/>
              </w:rPr>
            </w:pPr>
            <w:r>
              <w:rPr>
                <w:spacing w:val="-1"/>
                <w:sz w:val="21"/>
                <w:szCs w:val="21"/>
              </w:rPr>
              <w:t>4、项目不设污水排</w:t>
            </w:r>
            <w:r>
              <w:rPr>
                <w:sz w:val="21"/>
                <w:szCs w:val="21"/>
              </w:rPr>
              <w:t xml:space="preserve"> </w:t>
            </w:r>
            <w:r>
              <w:rPr>
                <w:spacing w:val="-2"/>
                <w:sz w:val="21"/>
                <w:szCs w:val="21"/>
              </w:rPr>
              <w:t>放口。</w:t>
            </w:r>
          </w:p>
          <w:p w14:paraId="0F47CA4A">
            <w:pPr>
              <w:pStyle w:val="6"/>
              <w:spacing w:before="17" w:line="233" w:lineRule="auto"/>
              <w:ind w:left="117" w:right="98"/>
              <w:rPr>
                <w:sz w:val="21"/>
                <w:szCs w:val="21"/>
              </w:rPr>
            </w:pPr>
            <w:r>
              <w:rPr>
                <w:spacing w:val="1"/>
                <w:sz w:val="21"/>
                <w:szCs w:val="21"/>
              </w:rPr>
              <w:t>5、项目不涉及集中</w:t>
            </w:r>
            <w:r>
              <w:rPr>
                <w:spacing w:val="7"/>
                <w:sz w:val="21"/>
                <w:szCs w:val="21"/>
              </w:rPr>
              <w:t xml:space="preserve"> </w:t>
            </w:r>
            <w:r>
              <w:rPr>
                <w:spacing w:val="-1"/>
                <w:sz w:val="21"/>
                <w:szCs w:val="21"/>
              </w:rPr>
              <w:t>式饮用水水源地。</w:t>
            </w:r>
          </w:p>
          <w:p w14:paraId="10ACE7C1">
            <w:pPr>
              <w:pStyle w:val="6"/>
              <w:spacing w:before="20" w:line="228" w:lineRule="auto"/>
              <w:ind w:left="67" w:right="70" w:firstLine="50"/>
              <w:rPr>
                <w:sz w:val="21"/>
                <w:szCs w:val="21"/>
              </w:rPr>
            </w:pPr>
            <w:r>
              <w:rPr>
                <w:spacing w:val="-2"/>
                <w:sz w:val="21"/>
                <w:szCs w:val="21"/>
              </w:rPr>
              <w:t>6、项目为几沃梁子</w:t>
            </w:r>
            <w:r>
              <w:rPr>
                <w:spacing w:val="7"/>
                <w:sz w:val="21"/>
                <w:szCs w:val="21"/>
              </w:rPr>
              <w:t xml:space="preserve"> </w:t>
            </w:r>
            <w:r>
              <w:rPr>
                <w:spacing w:val="-2"/>
                <w:sz w:val="21"/>
                <w:szCs w:val="21"/>
              </w:rPr>
              <w:t>光伏电站项目，非涉</w:t>
            </w:r>
          </w:p>
          <w:p w14:paraId="57CCD813">
            <w:pPr>
              <w:pStyle w:val="6"/>
              <w:spacing w:before="33" w:line="231" w:lineRule="auto"/>
              <w:ind w:left="117" w:right="179" w:firstLine="50"/>
              <w:rPr>
                <w:sz w:val="21"/>
                <w:szCs w:val="21"/>
              </w:rPr>
            </w:pPr>
            <w:r>
              <w:rPr>
                <w:spacing w:val="-2"/>
                <w:sz w:val="21"/>
                <w:szCs w:val="21"/>
              </w:rPr>
              <w:t>重金属重点行业建</w:t>
            </w:r>
            <w:r>
              <w:rPr>
                <w:spacing w:val="5"/>
                <w:sz w:val="21"/>
                <w:szCs w:val="21"/>
              </w:rPr>
              <w:t xml:space="preserve"> </w:t>
            </w:r>
            <w:r>
              <w:rPr>
                <w:spacing w:val="-1"/>
                <w:sz w:val="21"/>
                <w:szCs w:val="21"/>
              </w:rPr>
              <w:t>设项目。</w:t>
            </w:r>
          </w:p>
        </w:tc>
        <w:tc>
          <w:tcPr>
            <w:tcW w:w="534" w:type="dxa"/>
            <w:vAlign w:val="top"/>
          </w:tcPr>
          <w:p w14:paraId="7D6DD6DC">
            <w:pPr>
              <w:rPr>
                <w:rFonts w:ascii="Arial"/>
                <w:sz w:val="21"/>
              </w:rPr>
            </w:pPr>
          </w:p>
        </w:tc>
      </w:tr>
      <w:tr w14:paraId="49A9E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2" w:hRule="atLeast"/>
        </w:trPr>
        <w:tc>
          <w:tcPr>
            <w:tcW w:w="1573" w:type="dxa"/>
            <w:vMerge w:val="continue"/>
            <w:tcBorders>
              <w:top w:val="nil"/>
            </w:tcBorders>
            <w:vAlign w:val="top"/>
          </w:tcPr>
          <w:p w14:paraId="34697647">
            <w:pPr>
              <w:rPr>
                <w:rFonts w:ascii="Arial"/>
                <w:sz w:val="21"/>
              </w:rPr>
            </w:pPr>
          </w:p>
        </w:tc>
        <w:tc>
          <w:tcPr>
            <w:tcW w:w="549" w:type="dxa"/>
            <w:vMerge w:val="continue"/>
            <w:tcBorders>
              <w:top w:val="nil"/>
            </w:tcBorders>
            <w:vAlign w:val="top"/>
          </w:tcPr>
          <w:p w14:paraId="6C38DA78">
            <w:pPr>
              <w:rPr>
                <w:rFonts w:ascii="Arial"/>
                <w:sz w:val="21"/>
              </w:rPr>
            </w:pPr>
          </w:p>
        </w:tc>
        <w:tc>
          <w:tcPr>
            <w:tcW w:w="490" w:type="dxa"/>
            <w:textDirection w:val="tbRlV"/>
            <w:vAlign w:val="top"/>
          </w:tcPr>
          <w:p w14:paraId="63C89E34">
            <w:pPr>
              <w:pStyle w:val="6"/>
              <w:spacing w:before="165" w:line="202" w:lineRule="auto"/>
              <w:ind w:left="1089"/>
              <w:rPr>
                <w:sz w:val="21"/>
                <w:szCs w:val="21"/>
              </w:rPr>
            </w:pPr>
            <w:r>
              <w:rPr>
                <w:color w:val="404040"/>
                <w:sz w:val="21"/>
                <w:szCs w:val="21"/>
              </w:rPr>
              <w:t>环</w:t>
            </w:r>
            <w:r>
              <w:rPr>
                <w:color w:val="404040"/>
                <w:spacing w:val="-33"/>
                <w:sz w:val="21"/>
                <w:szCs w:val="21"/>
              </w:rPr>
              <w:t xml:space="preserve"> </w:t>
            </w:r>
            <w:r>
              <w:rPr>
                <w:color w:val="404040"/>
                <w:sz w:val="21"/>
                <w:szCs w:val="21"/>
              </w:rPr>
              <w:t>境</w:t>
            </w:r>
            <w:r>
              <w:rPr>
                <w:color w:val="404040"/>
                <w:spacing w:val="-33"/>
                <w:sz w:val="21"/>
                <w:szCs w:val="21"/>
              </w:rPr>
              <w:t xml:space="preserve"> </w:t>
            </w:r>
            <w:r>
              <w:rPr>
                <w:color w:val="404040"/>
                <w:sz w:val="21"/>
                <w:szCs w:val="21"/>
              </w:rPr>
              <w:t>风</w:t>
            </w:r>
            <w:r>
              <w:rPr>
                <w:color w:val="404040"/>
                <w:spacing w:val="-33"/>
                <w:sz w:val="21"/>
                <w:szCs w:val="21"/>
              </w:rPr>
              <w:t xml:space="preserve"> </w:t>
            </w:r>
            <w:r>
              <w:rPr>
                <w:color w:val="404040"/>
                <w:sz w:val="21"/>
                <w:szCs w:val="21"/>
              </w:rPr>
              <w:t>险</w:t>
            </w:r>
            <w:r>
              <w:rPr>
                <w:color w:val="404040"/>
                <w:spacing w:val="-32"/>
                <w:sz w:val="21"/>
                <w:szCs w:val="21"/>
              </w:rPr>
              <w:t xml:space="preserve"> </w:t>
            </w:r>
            <w:r>
              <w:rPr>
                <w:color w:val="404040"/>
                <w:sz w:val="21"/>
                <w:szCs w:val="21"/>
              </w:rPr>
              <w:t>防</w:t>
            </w:r>
            <w:r>
              <w:rPr>
                <w:color w:val="404040"/>
                <w:spacing w:val="-32"/>
                <w:sz w:val="21"/>
                <w:szCs w:val="21"/>
              </w:rPr>
              <w:t xml:space="preserve"> </w:t>
            </w:r>
            <w:r>
              <w:rPr>
                <w:color w:val="404040"/>
                <w:sz w:val="21"/>
                <w:szCs w:val="21"/>
              </w:rPr>
              <w:t>控</w:t>
            </w:r>
          </w:p>
        </w:tc>
        <w:tc>
          <w:tcPr>
            <w:tcW w:w="3656" w:type="dxa"/>
            <w:vAlign w:val="top"/>
          </w:tcPr>
          <w:p w14:paraId="1528992C">
            <w:pPr>
              <w:pStyle w:val="6"/>
              <w:spacing w:before="47" w:line="233" w:lineRule="auto"/>
              <w:ind w:left="82" w:hanging="49"/>
              <w:rPr>
                <w:sz w:val="21"/>
                <w:szCs w:val="21"/>
              </w:rPr>
            </w:pPr>
            <w:r>
              <w:rPr>
                <w:spacing w:val="-1"/>
                <w:sz w:val="21"/>
                <w:szCs w:val="21"/>
              </w:rPr>
              <w:t>1.以南盘江、北盘江、牛栏江流域为重</w:t>
            </w:r>
            <w:r>
              <w:rPr>
                <w:spacing w:val="14"/>
                <w:sz w:val="21"/>
                <w:szCs w:val="21"/>
              </w:rPr>
              <w:t xml:space="preserve"> </w:t>
            </w:r>
            <w:r>
              <w:rPr>
                <w:spacing w:val="3"/>
                <w:sz w:val="21"/>
                <w:szCs w:val="21"/>
              </w:rPr>
              <w:t xml:space="preserve">点，按规范开展流域工业企业、工业  </w:t>
            </w:r>
            <w:r>
              <w:rPr>
                <w:spacing w:val="-1"/>
                <w:sz w:val="21"/>
                <w:szCs w:val="21"/>
              </w:rPr>
              <w:t>集聚区环境风险评估，落实防控措施。</w:t>
            </w:r>
          </w:p>
          <w:p w14:paraId="06F6D50C">
            <w:pPr>
              <w:pStyle w:val="6"/>
              <w:spacing w:before="26" w:line="235" w:lineRule="auto"/>
              <w:ind w:left="102" w:right="29" w:hanging="69"/>
              <w:rPr>
                <w:sz w:val="21"/>
                <w:szCs w:val="21"/>
              </w:rPr>
            </w:pPr>
            <w:r>
              <w:rPr>
                <w:sz w:val="21"/>
                <w:szCs w:val="21"/>
              </w:rPr>
              <w:t>2.加强环境风险防控和应急管理，制定</w:t>
            </w:r>
            <w:r>
              <w:rPr>
                <w:spacing w:val="12"/>
                <w:sz w:val="21"/>
                <w:szCs w:val="21"/>
              </w:rPr>
              <w:t xml:space="preserve"> </w:t>
            </w:r>
            <w:r>
              <w:rPr>
                <w:spacing w:val="1"/>
                <w:sz w:val="21"/>
                <w:szCs w:val="21"/>
              </w:rPr>
              <w:t>和完善突发环境事件和集中式饮用水</w:t>
            </w:r>
            <w:r>
              <w:rPr>
                <w:spacing w:val="6"/>
                <w:sz w:val="21"/>
                <w:szCs w:val="21"/>
              </w:rPr>
              <w:t xml:space="preserve">  </w:t>
            </w:r>
            <w:r>
              <w:rPr>
                <w:spacing w:val="3"/>
                <w:sz w:val="21"/>
                <w:szCs w:val="21"/>
              </w:rPr>
              <w:t>水源地突发环境事件应急预案，加强</w:t>
            </w:r>
            <w:r>
              <w:rPr>
                <w:sz w:val="21"/>
                <w:szCs w:val="21"/>
              </w:rPr>
              <w:t xml:space="preserve">  </w:t>
            </w:r>
            <w:r>
              <w:rPr>
                <w:spacing w:val="1"/>
                <w:sz w:val="21"/>
                <w:szCs w:val="21"/>
              </w:rPr>
              <w:t>风险防控和突发环境事件应急处理处</w:t>
            </w:r>
            <w:r>
              <w:rPr>
                <w:spacing w:val="6"/>
                <w:sz w:val="21"/>
                <w:szCs w:val="21"/>
              </w:rPr>
              <w:t xml:space="preserve">  </w:t>
            </w:r>
            <w:r>
              <w:rPr>
                <w:spacing w:val="-1"/>
                <w:sz w:val="21"/>
                <w:szCs w:val="21"/>
              </w:rPr>
              <w:t>置能力。</w:t>
            </w:r>
          </w:p>
          <w:p w14:paraId="0F55EB38">
            <w:pPr>
              <w:pStyle w:val="6"/>
              <w:spacing w:before="22" w:line="232" w:lineRule="auto"/>
              <w:ind w:left="33"/>
              <w:rPr>
                <w:sz w:val="21"/>
                <w:szCs w:val="21"/>
              </w:rPr>
            </w:pPr>
            <w:r>
              <w:rPr>
                <w:spacing w:val="-3"/>
                <w:sz w:val="21"/>
                <w:szCs w:val="21"/>
              </w:rPr>
              <w:t>3.严格管控类农用地，重金属超标区域</w:t>
            </w:r>
            <w:r>
              <w:rPr>
                <w:sz w:val="21"/>
                <w:szCs w:val="21"/>
              </w:rPr>
              <w:t xml:space="preserve">  </w:t>
            </w:r>
            <w:r>
              <w:rPr>
                <w:spacing w:val="2"/>
                <w:sz w:val="21"/>
                <w:szCs w:val="21"/>
              </w:rPr>
              <w:t>严禁种植食用农产品；涉重金属、持</w:t>
            </w:r>
            <w:r>
              <w:rPr>
                <w:spacing w:val="3"/>
                <w:sz w:val="21"/>
                <w:szCs w:val="21"/>
              </w:rPr>
              <w:t xml:space="preserve">   </w:t>
            </w:r>
            <w:r>
              <w:rPr>
                <w:spacing w:val="2"/>
                <w:sz w:val="21"/>
                <w:szCs w:val="21"/>
              </w:rPr>
              <w:t>久性有机物等有毒有害污染物工业企   业退出用地，须经评估符合建设用地、</w:t>
            </w:r>
            <w:r>
              <w:rPr>
                <w:spacing w:val="7"/>
                <w:sz w:val="21"/>
                <w:szCs w:val="21"/>
              </w:rPr>
              <w:t xml:space="preserve"> </w:t>
            </w:r>
            <w:r>
              <w:rPr>
                <w:spacing w:val="2"/>
                <w:sz w:val="21"/>
                <w:szCs w:val="21"/>
              </w:rPr>
              <w:t>农用地土壤环境质量相关要求后，方</w:t>
            </w:r>
            <w:r>
              <w:rPr>
                <w:spacing w:val="3"/>
                <w:sz w:val="21"/>
                <w:szCs w:val="21"/>
              </w:rPr>
              <w:t xml:space="preserve">   可用于居住或农业用地。</w:t>
            </w:r>
          </w:p>
        </w:tc>
        <w:tc>
          <w:tcPr>
            <w:tcW w:w="2028" w:type="dxa"/>
            <w:vAlign w:val="top"/>
          </w:tcPr>
          <w:p w14:paraId="510CF715">
            <w:pPr>
              <w:pStyle w:val="6"/>
              <w:spacing w:before="45" w:line="233" w:lineRule="auto"/>
              <w:ind w:left="67" w:right="69" w:firstLine="50"/>
              <w:rPr>
                <w:sz w:val="21"/>
                <w:szCs w:val="21"/>
              </w:rPr>
            </w:pPr>
            <w:r>
              <w:rPr>
                <w:sz w:val="21"/>
                <w:szCs w:val="21"/>
              </w:rPr>
              <w:t>1、项目为几沃梁子</w:t>
            </w:r>
            <w:r>
              <w:rPr>
                <w:spacing w:val="3"/>
                <w:sz w:val="21"/>
                <w:szCs w:val="21"/>
              </w:rPr>
              <w:t xml:space="preserve"> </w:t>
            </w:r>
            <w:r>
              <w:rPr>
                <w:spacing w:val="-2"/>
                <w:sz w:val="21"/>
                <w:szCs w:val="21"/>
              </w:rPr>
              <w:t>光伏电站项目，为生</w:t>
            </w:r>
            <w:r>
              <w:rPr>
                <w:spacing w:val="7"/>
                <w:sz w:val="21"/>
                <w:szCs w:val="21"/>
              </w:rPr>
              <w:t xml:space="preserve"> </w:t>
            </w:r>
            <w:r>
              <w:rPr>
                <w:spacing w:val="-1"/>
                <w:sz w:val="21"/>
                <w:szCs w:val="21"/>
              </w:rPr>
              <w:t>态类项目，不属于工</w:t>
            </w:r>
            <w:r>
              <w:rPr>
                <w:sz w:val="21"/>
                <w:szCs w:val="21"/>
              </w:rPr>
              <w:t xml:space="preserve"> </w:t>
            </w:r>
            <w:r>
              <w:rPr>
                <w:spacing w:val="8"/>
                <w:sz w:val="21"/>
                <w:szCs w:val="21"/>
              </w:rPr>
              <w:t>业类项目。</w:t>
            </w:r>
          </w:p>
          <w:p w14:paraId="1DC1F0E6">
            <w:pPr>
              <w:pStyle w:val="6"/>
              <w:spacing w:before="17" w:line="239" w:lineRule="auto"/>
              <w:ind w:left="67" w:right="43" w:firstLine="50"/>
              <w:rPr>
                <w:sz w:val="21"/>
                <w:szCs w:val="21"/>
              </w:rPr>
            </w:pPr>
            <w:r>
              <w:rPr>
                <w:spacing w:val="-2"/>
                <w:sz w:val="21"/>
                <w:szCs w:val="21"/>
              </w:rPr>
              <w:t>2、本评价要求建设</w:t>
            </w:r>
            <w:r>
              <w:rPr>
                <w:spacing w:val="6"/>
                <w:sz w:val="21"/>
                <w:szCs w:val="21"/>
              </w:rPr>
              <w:t xml:space="preserve"> </w:t>
            </w:r>
            <w:r>
              <w:rPr>
                <w:spacing w:val="11"/>
                <w:sz w:val="21"/>
                <w:szCs w:val="21"/>
              </w:rPr>
              <w:t>单位采取严格的风</w:t>
            </w:r>
            <w:r>
              <w:rPr>
                <w:sz w:val="21"/>
                <w:szCs w:val="21"/>
              </w:rPr>
              <w:t xml:space="preserve">  </w:t>
            </w:r>
            <w:r>
              <w:rPr>
                <w:spacing w:val="1"/>
                <w:sz w:val="21"/>
                <w:szCs w:val="21"/>
              </w:rPr>
              <w:t>险防范措施，建立有</w:t>
            </w:r>
            <w:r>
              <w:rPr>
                <w:sz w:val="21"/>
                <w:szCs w:val="21"/>
              </w:rPr>
              <w:t xml:space="preserve"> </w:t>
            </w:r>
            <w:r>
              <w:rPr>
                <w:spacing w:val="1"/>
                <w:sz w:val="21"/>
                <w:szCs w:val="21"/>
              </w:rPr>
              <w:t>效的应急预案，加强</w:t>
            </w:r>
            <w:r>
              <w:rPr>
                <w:sz w:val="21"/>
                <w:szCs w:val="21"/>
              </w:rPr>
              <w:t xml:space="preserve"> </w:t>
            </w:r>
            <w:r>
              <w:rPr>
                <w:spacing w:val="-2"/>
                <w:sz w:val="21"/>
                <w:szCs w:val="21"/>
              </w:rPr>
              <w:t>风险管理，防止事故</w:t>
            </w:r>
            <w:r>
              <w:rPr>
                <w:spacing w:val="7"/>
                <w:sz w:val="21"/>
                <w:szCs w:val="21"/>
              </w:rPr>
              <w:t xml:space="preserve"> </w:t>
            </w:r>
            <w:r>
              <w:rPr>
                <w:spacing w:val="1"/>
                <w:sz w:val="21"/>
                <w:szCs w:val="21"/>
              </w:rPr>
              <w:t>的发生，将事故影响</w:t>
            </w:r>
            <w:r>
              <w:rPr>
                <w:spacing w:val="7"/>
                <w:sz w:val="21"/>
                <w:szCs w:val="21"/>
              </w:rPr>
              <w:t xml:space="preserve"> </w:t>
            </w:r>
            <w:r>
              <w:rPr>
                <w:spacing w:val="5"/>
                <w:sz w:val="21"/>
                <w:szCs w:val="21"/>
              </w:rPr>
              <w:t>程度减少到最低。</w:t>
            </w:r>
          </w:p>
          <w:p w14:paraId="55489FF4">
            <w:pPr>
              <w:pStyle w:val="6"/>
              <w:spacing w:before="11" w:line="227" w:lineRule="auto"/>
              <w:ind w:left="67" w:right="70" w:firstLine="50"/>
              <w:rPr>
                <w:sz w:val="21"/>
                <w:szCs w:val="21"/>
              </w:rPr>
            </w:pPr>
            <w:r>
              <w:rPr>
                <w:spacing w:val="-2"/>
                <w:sz w:val="21"/>
                <w:szCs w:val="21"/>
              </w:rPr>
              <w:t>3、项目不涉及重金</w:t>
            </w:r>
            <w:r>
              <w:rPr>
                <w:spacing w:val="4"/>
                <w:sz w:val="21"/>
                <w:szCs w:val="21"/>
              </w:rPr>
              <w:t xml:space="preserve"> </w:t>
            </w:r>
            <w:r>
              <w:rPr>
                <w:spacing w:val="-2"/>
                <w:sz w:val="21"/>
                <w:szCs w:val="21"/>
              </w:rPr>
              <w:t>属、持久性有机物等</w:t>
            </w:r>
            <w:r>
              <w:rPr>
                <w:spacing w:val="7"/>
                <w:sz w:val="21"/>
                <w:szCs w:val="21"/>
              </w:rPr>
              <w:t xml:space="preserve"> </w:t>
            </w:r>
            <w:r>
              <w:rPr>
                <w:spacing w:val="5"/>
                <w:sz w:val="21"/>
                <w:szCs w:val="21"/>
              </w:rPr>
              <w:t>有毒有害污染物。</w:t>
            </w:r>
          </w:p>
        </w:tc>
        <w:tc>
          <w:tcPr>
            <w:tcW w:w="534" w:type="dxa"/>
            <w:textDirection w:val="tbRlV"/>
            <w:vAlign w:val="top"/>
          </w:tcPr>
          <w:p w14:paraId="188C5C4F">
            <w:pPr>
              <w:pStyle w:val="6"/>
              <w:spacing w:before="173" w:line="200" w:lineRule="auto"/>
              <w:ind w:left="1637"/>
              <w:rPr>
                <w:sz w:val="21"/>
                <w:szCs w:val="21"/>
              </w:rPr>
            </w:pPr>
            <w:r>
              <w:rPr>
                <w:sz w:val="21"/>
                <w:szCs w:val="21"/>
              </w:rPr>
              <w:t>符</w:t>
            </w:r>
            <w:r>
              <w:rPr>
                <w:spacing w:val="13"/>
                <w:sz w:val="21"/>
                <w:szCs w:val="21"/>
              </w:rPr>
              <w:t xml:space="preserve"> </w:t>
            </w:r>
            <w:r>
              <w:rPr>
                <w:sz w:val="21"/>
                <w:szCs w:val="21"/>
              </w:rPr>
              <w:t>合</w:t>
            </w:r>
          </w:p>
        </w:tc>
      </w:tr>
    </w:tbl>
    <w:p w14:paraId="2AF5F2C7">
      <w:pPr>
        <w:pStyle w:val="2"/>
      </w:pPr>
    </w:p>
    <w:p w14:paraId="4C0D361F">
      <w:pPr>
        <w:sectPr>
          <w:footerReference r:id="rId15" w:type="default"/>
          <w:pgSz w:w="11910" w:h="16840"/>
          <w:pgMar w:top="1431" w:right="1574" w:bottom="1255" w:left="1494" w:header="0" w:footer="1093" w:gutter="0"/>
          <w:cols w:space="720" w:num="1"/>
        </w:sectPr>
      </w:pPr>
    </w:p>
    <w:p w14:paraId="4520BAAB">
      <w:pPr>
        <w:spacing w:line="93" w:lineRule="exact"/>
      </w:pPr>
    </w:p>
    <w:tbl>
      <w:tblPr>
        <w:tblStyle w:val="5"/>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3"/>
        <w:gridCol w:w="529"/>
        <w:gridCol w:w="320"/>
        <w:gridCol w:w="170"/>
        <w:gridCol w:w="3136"/>
        <w:gridCol w:w="520"/>
        <w:gridCol w:w="1748"/>
        <w:gridCol w:w="300"/>
        <w:gridCol w:w="524"/>
      </w:tblGrid>
      <w:tr w14:paraId="1A81A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0" w:hRule="atLeast"/>
        </w:trPr>
        <w:tc>
          <w:tcPr>
            <w:tcW w:w="1583" w:type="dxa"/>
            <w:vMerge w:val="restart"/>
            <w:tcBorders>
              <w:bottom w:val="nil"/>
            </w:tcBorders>
            <w:vAlign w:val="top"/>
          </w:tcPr>
          <w:p w14:paraId="6E9A7345">
            <w:pPr>
              <w:rPr>
                <w:rFonts w:ascii="Arial"/>
                <w:sz w:val="21"/>
              </w:rPr>
            </w:pPr>
          </w:p>
        </w:tc>
        <w:tc>
          <w:tcPr>
            <w:tcW w:w="529" w:type="dxa"/>
            <w:vAlign w:val="top"/>
          </w:tcPr>
          <w:p w14:paraId="281AEC54">
            <w:pPr>
              <w:rPr>
                <w:rFonts w:ascii="Arial"/>
                <w:sz w:val="21"/>
              </w:rPr>
            </w:pPr>
          </w:p>
        </w:tc>
        <w:tc>
          <w:tcPr>
            <w:tcW w:w="490" w:type="dxa"/>
            <w:gridSpan w:val="2"/>
            <w:textDirection w:val="tbRlV"/>
            <w:vAlign w:val="top"/>
          </w:tcPr>
          <w:p w14:paraId="27F830FD">
            <w:pPr>
              <w:pStyle w:val="6"/>
              <w:spacing w:before="125" w:line="201" w:lineRule="auto"/>
              <w:ind w:left="2724"/>
              <w:rPr>
                <w:sz w:val="21"/>
                <w:szCs w:val="21"/>
              </w:rPr>
            </w:pPr>
            <w:r>
              <w:rPr>
                <w:color w:val="504050"/>
                <w:sz w:val="21"/>
                <w:szCs w:val="21"/>
              </w:rPr>
              <w:t>资</w:t>
            </w:r>
            <w:r>
              <w:rPr>
                <w:color w:val="504050"/>
                <w:spacing w:val="-35"/>
                <w:sz w:val="21"/>
                <w:szCs w:val="21"/>
              </w:rPr>
              <w:t xml:space="preserve"> </w:t>
            </w:r>
            <w:r>
              <w:rPr>
                <w:color w:val="504050"/>
                <w:sz w:val="21"/>
                <w:szCs w:val="21"/>
              </w:rPr>
              <w:t>源</w:t>
            </w:r>
            <w:r>
              <w:rPr>
                <w:color w:val="504050"/>
                <w:spacing w:val="-35"/>
                <w:sz w:val="21"/>
                <w:szCs w:val="21"/>
              </w:rPr>
              <w:t xml:space="preserve"> </w:t>
            </w:r>
            <w:r>
              <w:rPr>
                <w:color w:val="504050"/>
                <w:sz w:val="21"/>
                <w:szCs w:val="21"/>
              </w:rPr>
              <w:t>利</w:t>
            </w:r>
            <w:r>
              <w:rPr>
                <w:color w:val="504050"/>
                <w:spacing w:val="-34"/>
                <w:sz w:val="21"/>
                <w:szCs w:val="21"/>
              </w:rPr>
              <w:t xml:space="preserve"> </w:t>
            </w:r>
            <w:r>
              <w:rPr>
                <w:color w:val="504050"/>
                <w:sz w:val="21"/>
                <w:szCs w:val="21"/>
              </w:rPr>
              <w:t>用</w:t>
            </w:r>
            <w:r>
              <w:rPr>
                <w:color w:val="504050"/>
                <w:spacing w:val="-34"/>
                <w:sz w:val="21"/>
                <w:szCs w:val="21"/>
              </w:rPr>
              <w:t xml:space="preserve"> </w:t>
            </w:r>
            <w:r>
              <w:rPr>
                <w:color w:val="504050"/>
                <w:sz w:val="21"/>
                <w:szCs w:val="21"/>
              </w:rPr>
              <w:t>效</w:t>
            </w:r>
            <w:r>
              <w:rPr>
                <w:color w:val="504050"/>
                <w:spacing w:val="-34"/>
                <w:sz w:val="21"/>
                <w:szCs w:val="21"/>
              </w:rPr>
              <w:t xml:space="preserve"> </w:t>
            </w:r>
            <w:r>
              <w:rPr>
                <w:color w:val="504050"/>
                <w:sz w:val="21"/>
                <w:szCs w:val="21"/>
              </w:rPr>
              <w:t>率</w:t>
            </w:r>
          </w:p>
        </w:tc>
        <w:tc>
          <w:tcPr>
            <w:tcW w:w="3656" w:type="dxa"/>
            <w:gridSpan w:val="2"/>
            <w:vAlign w:val="top"/>
          </w:tcPr>
          <w:p w14:paraId="06D2CA2B">
            <w:pPr>
              <w:pStyle w:val="6"/>
              <w:spacing w:before="45" w:line="237" w:lineRule="auto"/>
              <w:ind w:left="132" w:right="37" w:hanging="49"/>
              <w:rPr>
                <w:sz w:val="21"/>
                <w:szCs w:val="21"/>
              </w:rPr>
            </w:pPr>
            <w:r>
              <w:rPr>
                <w:sz w:val="21"/>
                <w:szCs w:val="21"/>
              </w:rPr>
              <w:t>1、建立水资源刚性约束制度，实行水</w:t>
            </w:r>
            <w:r>
              <w:rPr>
                <w:spacing w:val="13"/>
                <w:sz w:val="21"/>
                <w:szCs w:val="21"/>
              </w:rPr>
              <w:t xml:space="preserve"> </w:t>
            </w:r>
            <w:r>
              <w:rPr>
                <w:spacing w:val="1"/>
                <w:sz w:val="21"/>
                <w:szCs w:val="21"/>
              </w:rPr>
              <w:t xml:space="preserve">资源消耗总量和强度双控，严格实施  取水许可和水资源有偿使用制度，强  </w:t>
            </w:r>
            <w:r>
              <w:rPr>
                <w:spacing w:val="7"/>
                <w:sz w:val="21"/>
                <w:szCs w:val="21"/>
              </w:rPr>
              <w:t>化用水全过程管理，深入抓好工业、</w:t>
            </w:r>
            <w:r>
              <w:rPr>
                <w:spacing w:val="2"/>
                <w:sz w:val="21"/>
                <w:szCs w:val="21"/>
              </w:rPr>
              <w:t xml:space="preserve"> </w:t>
            </w:r>
            <w:r>
              <w:rPr>
                <w:sz w:val="21"/>
                <w:szCs w:val="21"/>
              </w:rPr>
              <w:t xml:space="preserve">城镇、农业等方面用水量控制，严格  </w:t>
            </w:r>
            <w:r>
              <w:rPr>
                <w:spacing w:val="-1"/>
                <w:sz w:val="21"/>
                <w:szCs w:val="21"/>
              </w:rPr>
              <w:t>规范取水许可审批管理。</w:t>
            </w:r>
          </w:p>
          <w:p w14:paraId="3802D59C">
            <w:pPr>
              <w:pStyle w:val="6"/>
              <w:spacing w:before="20" w:line="224" w:lineRule="auto"/>
              <w:ind w:left="133" w:right="184" w:firstLine="60"/>
              <w:rPr>
                <w:sz w:val="21"/>
                <w:szCs w:val="21"/>
              </w:rPr>
            </w:pPr>
            <w:r>
              <w:rPr>
                <w:sz w:val="21"/>
                <w:szCs w:val="21"/>
              </w:rPr>
              <w:t>2、到2025年，曲靖市用水总量控制</w:t>
            </w:r>
            <w:r>
              <w:rPr>
                <w:spacing w:val="12"/>
                <w:sz w:val="21"/>
                <w:szCs w:val="21"/>
              </w:rPr>
              <w:t xml:space="preserve"> </w:t>
            </w:r>
            <w:r>
              <w:rPr>
                <w:spacing w:val="1"/>
                <w:sz w:val="21"/>
                <w:szCs w:val="21"/>
              </w:rPr>
              <w:t>在18.68亿立方米以内，万元</w:t>
            </w:r>
            <w:r>
              <w:rPr>
                <w:sz w:val="21"/>
                <w:szCs w:val="21"/>
              </w:rPr>
              <w:t>GDP</w:t>
            </w:r>
            <w:r>
              <w:rPr>
                <w:spacing w:val="1"/>
                <w:sz w:val="21"/>
                <w:szCs w:val="21"/>
              </w:rPr>
              <w:t>用</w:t>
            </w:r>
          </w:p>
          <w:p w14:paraId="3451BE77">
            <w:pPr>
              <w:pStyle w:val="6"/>
              <w:spacing w:before="41" w:line="225" w:lineRule="auto"/>
              <w:ind w:left="133" w:right="132" w:firstLine="10"/>
              <w:rPr>
                <w:sz w:val="21"/>
                <w:szCs w:val="21"/>
              </w:rPr>
            </w:pPr>
            <w:r>
              <w:rPr>
                <w:sz w:val="21"/>
                <w:szCs w:val="21"/>
              </w:rPr>
              <w:t>水量、万元工业增加值用水量比2020</w:t>
            </w:r>
            <w:r>
              <w:rPr>
                <w:spacing w:val="9"/>
                <w:sz w:val="21"/>
                <w:szCs w:val="21"/>
              </w:rPr>
              <w:t xml:space="preserve"> </w:t>
            </w:r>
            <w:r>
              <w:rPr>
                <w:spacing w:val="-1"/>
                <w:sz w:val="21"/>
                <w:szCs w:val="21"/>
              </w:rPr>
              <w:t>年分别不低于20%和16%,农田灌溉</w:t>
            </w:r>
          </w:p>
          <w:p w14:paraId="5E291AB9">
            <w:pPr>
              <w:pStyle w:val="6"/>
              <w:spacing w:before="17" w:line="219" w:lineRule="auto"/>
              <w:ind w:left="133"/>
              <w:rPr>
                <w:sz w:val="21"/>
                <w:szCs w:val="21"/>
              </w:rPr>
            </w:pPr>
            <w:r>
              <w:rPr>
                <w:sz w:val="21"/>
                <w:szCs w:val="21"/>
              </w:rPr>
              <w:t>水利用系数不低于0.545。</w:t>
            </w:r>
          </w:p>
          <w:p w14:paraId="5E44100A">
            <w:pPr>
              <w:pStyle w:val="6"/>
              <w:spacing w:before="21" w:line="237" w:lineRule="auto"/>
              <w:ind w:left="121" w:hanging="38"/>
              <w:rPr>
                <w:sz w:val="21"/>
                <w:szCs w:val="21"/>
              </w:rPr>
            </w:pPr>
            <w:r>
              <w:rPr>
                <w:spacing w:val="-5"/>
                <w:sz w:val="21"/>
                <w:szCs w:val="21"/>
              </w:rPr>
              <w:t>3、坚持最严格的耕地保护制度，坚决</w:t>
            </w:r>
            <w:r>
              <w:rPr>
                <w:sz w:val="21"/>
                <w:szCs w:val="21"/>
              </w:rPr>
              <w:t xml:space="preserve">  </w:t>
            </w:r>
            <w:r>
              <w:rPr>
                <w:spacing w:val="-25"/>
                <w:sz w:val="21"/>
                <w:szCs w:val="21"/>
              </w:rPr>
              <w:t>制止耕地“非农化”防止耕地“非粮化”。</w:t>
            </w:r>
            <w:r>
              <w:rPr>
                <w:spacing w:val="8"/>
                <w:sz w:val="21"/>
                <w:szCs w:val="21"/>
              </w:rPr>
              <w:t xml:space="preserve"> </w:t>
            </w:r>
            <w:r>
              <w:rPr>
                <w:spacing w:val="-5"/>
                <w:sz w:val="21"/>
                <w:szCs w:val="21"/>
              </w:rPr>
              <w:t>坚持节约用地，严格执行耕地占补平</w:t>
            </w:r>
            <w:r>
              <w:rPr>
                <w:spacing w:val="4"/>
                <w:sz w:val="21"/>
                <w:szCs w:val="21"/>
              </w:rPr>
              <w:t xml:space="preserve">   </w:t>
            </w:r>
            <w:r>
              <w:rPr>
                <w:spacing w:val="-6"/>
                <w:sz w:val="21"/>
                <w:szCs w:val="21"/>
              </w:rPr>
              <w:t>衡等制度，提高土地投资强度和单位</w:t>
            </w:r>
            <w:r>
              <w:rPr>
                <w:spacing w:val="4"/>
                <w:sz w:val="21"/>
                <w:szCs w:val="21"/>
              </w:rPr>
              <w:t xml:space="preserve">   </w:t>
            </w:r>
            <w:r>
              <w:rPr>
                <w:spacing w:val="-6"/>
                <w:sz w:val="21"/>
                <w:szCs w:val="21"/>
              </w:rPr>
              <w:t>面积产出水平。</w:t>
            </w:r>
          </w:p>
          <w:p w14:paraId="0FBA9697">
            <w:pPr>
              <w:pStyle w:val="6"/>
              <w:spacing w:before="41" w:line="228" w:lineRule="auto"/>
              <w:ind w:left="133" w:right="38" w:firstLine="10"/>
              <w:rPr>
                <w:sz w:val="21"/>
                <w:szCs w:val="21"/>
              </w:rPr>
            </w:pPr>
            <w:r>
              <w:rPr>
                <w:spacing w:val="-1"/>
                <w:sz w:val="21"/>
                <w:szCs w:val="21"/>
              </w:rPr>
              <w:t>4、加强南盘江、牛栏江等岸线保护，</w:t>
            </w:r>
            <w:r>
              <w:rPr>
                <w:spacing w:val="15"/>
                <w:sz w:val="21"/>
                <w:szCs w:val="21"/>
              </w:rPr>
              <w:t xml:space="preserve"> </w:t>
            </w:r>
            <w:r>
              <w:rPr>
                <w:spacing w:val="4"/>
                <w:sz w:val="21"/>
                <w:szCs w:val="21"/>
              </w:rPr>
              <w:t>强化九龙河(麒麟段、罗平段、陆良</w:t>
            </w:r>
            <w:r>
              <w:rPr>
                <w:spacing w:val="3"/>
                <w:sz w:val="21"/>
                <w:szCs w:val="21"/>
              </w:rPr>
              <w:t xml:space="preserve">  </w:t>
            </w:r>
            <w:r>
              <w:rPr>
                <w:spacing w:val="-1"/>
                <w:sz w:val="21"/>
                <w:szCs w:val="21"/>
              </w:rPr>
              <w:t>段、富源段)、牛栏江(会泽段、沾</w:t>
            </w:r>
          </w:p>
          <w:p w14:paraId="50CEA1F2">
            <w:pPr>
              <w:pStyle w:val="6"/>
              <w:spacing w:before="32" w:line="219" w:lineRule="auto"/>
              <w:ind w:left="123"/>
              <w:rPr>
                <w:sz w:val="21"/>
                <w:szCs w:val="21"/>
              </w:rPr>
            </w:pPr>
            <w:r>
              <w:rPr>
                <w:spacing w:val="6"/>
                <w:sz w:val="21"/>
                <w:szCs w:val="21"/>
              </w:rPr>
              <w:t>益段、宣威段)、清水江(罗平段、</w:t>
            </w:r>
          </w:p>
          <w:p w14:paraId="3327A6CE">
            <w:pPr>
              <w:pStyle w:val="6"/>
              <w:spacing w:before="18" w:line="230" w:lineRule="auto"/>
              <w:ind w:left="113" w:right="37" w:firstLine="30"/>
              <w:rPr>
                <w:sz w:val="21"/>
                <w:szCs w:val="21"/>
              </w:rPr>
            </w:pPr>
            <w:r>
              <w:rPr>
                <w:spacing w:val="6"/>
                <w:sz w:val="21"/>
                <w:szCs w:val="21"/>
              </w:rPr>
              <w:t>师宗段),宣威市窑上海子、北盘江、</w:t>
            </w:r>
            <w:r>
              <w:rPr>
                <w:spacing w:val="2"/>
                <w:sz w:val="21"/>
                <w:szCs w:val="21"/>
              </w:rPr>
              <w:t xml:space="preserve"> </w:t>
            </w:r>
            <w:r>
              <w:rPr>
                <w:spacing w:val="4"/>
                <w:sz w:val="21"/>
                <w:szCs w:val="21"/>
              </w:rPr>
              <w:t>可渡河、拖长江、西泽河、以那河，</w:t>
            </w:r>
            <w:r>
              <w:rPr>
                <w:spacing w:val="9"/>
                <w:sz w:val="21"/>
                <w:szCs w:val="21"/>
              </w:rPr>
              <w:t xml:space="preserve"> </w:t>
            </w:r>
            <w:r>
              <w:rPr>
                <w:spacing w:val="2"/>
                <w:sz w:val="21"/>
                <w:szCs w:val="21"/>
              </w:rPr>
              <w:t>马龙区马龙河，师宗县甸溪河、篆长</w:t>
            </w:r>
            <w:r>
              <w:rPr>
                <w:spacing w:val="3"/>
                <w:sz w:val="21"/>
                <w:szCs w:val="21"/>
              </w:rPr>
              <w:t xml:space="preserve">  </w:t>
            </w:r>
            <w:r>
              <w:rPr>
                <w:spacing w:val="1"/>
                <w:sz w:val="21"/>
                <w:szCs w:val="21"/>
              </w:rPr>
              <w:t>河，富源县、小黄泥河，会泽县以礼</w:t>
            </w:r>
            <w:r>
              <w:rPr>
                <w:spacing w:val="2"/>
                <w:sz w:val="21"/>
                <w:szCs w:val="21"/>
              </w:rPr>
              <w:t xml:space="preserve">  河、硝厂河、小江等河湖岸线保护与</w:t>
            </w:r>
            <w:r>
              <w:rPr>
                <w:spacing w:val="7"/>
                <w:sz w:val="21"/>
                <w:szCs w:val="21"/>
              </w:rPr>
              <w:t xml:space="preserve">  </w:t>
            </w:r>
            <w:r>
              <w:rPr>
                <w:spacing w:val="-2"/>
                <w:sz w:val="21"/>
                <w:szCs w:val="21"/>
              </w:rPr>
              <w:t>管控。</w:t>
            </w:r>
          </w:p>
        </w:tc>
        <w:tc>
          <w:tcPr>
            <w:tcW w:w="2048" w:type="dxa"/>
            <w:gridSpan w:val="2"/>
            <w:vAlign w:val="top"/>
          </w:tcPr>
          <w:p w14:paraId="2D2073E1">
            <w:pPr>
              <w:spacing w:line="256" w:lineRule="auto"/>
              <w:rPr>
                <w:rFonts w:ascii="Arial"/>
                <w:sz w:val="21"/>
              </w:rPr>
            </w:pPr>
          </w:p>
          <w:p w14:paraId="070B03D6">
            <w:pPr>
              <w:spacing w:line="257" w:lineRule="auto"/>
              <w:rPr>
                <w:rFonts w:ascii="Arial"/>
                <w:sz w:val="21"/>
              </w:rPr>
            </w:pPr>
          </w:p>
          <w:p w14:paraId="586F309B">
            <w:pPr>
              <w:pStyle w:val="6"/>
              <w:spacing w:before="68"/>
              <w:ind w:left="77" w:firstLine="98"/>
              <w:rPr>
                <w:sz w:val="21"/>
                <w:szCs w:val="21"/>
              </w:rPr>
            </w:pPr>
            <w:r>
              <w:rPr>
                <w:spacing w:val="-5"/>
                <w:sz w:val="21"/>
                <w:szCs w:val="21"/>
              </w:rPr>
              <w:t>本项目施工期主要</w:t>
            </w:r>
            <w:r>
              <w:rPr>
                <w:sz w:val="21"/>
                <w:szCs w:val="21"/>
              </w:rPr>
              <w:t xml:space="preserve">   </w:t>
            </w:r>
            <w:r>
              <w:rPr>
                <w:spacing w:val="11"/>
                <w:sz w:val="21"/>
                <w:szCs w:val="21"/>
              </w:rPr>
              <w:t>用水为施工生产用</w:t>
            </w:r>
            <w:r>
              <w:rPr>
                <w:spacing w:val="2"/>
                <w:sz w:val="21"/>
                <w:szCs w:val="21"/>
              </w:rPr>
              <w:t xml:space="preserve">  </w:t>
            </w:r>
            <w:r>
              <w:rPr>
                <w:spacing w:val="-3"/>
                <w:sz w:val="21"/>
                <w:szCs w:val="21"/>
              </w:rPr>
              <w:t>水，运行期为少量光</w:t>
            </w:r>
            <w:r>
              <w:rPr>
                <w:spacing w:val="1"/>
                <w:sz w:val="21"/>
                <w:szCs w:val="21"/>
              </w:rPr>
              <w:t xml:space="preserve">  </w:t>
            </w:r>
            <w:r>
              <w:rPr>
                <w:spacing w:val="-5"/>
                <w:sz w:val="21"/>
                <w:szCs w:val="21"/>
              </w:rPr>
              <w:t>伏板清洁用水，用水</w:t>
            </w:r>
            <w:r>
              <w:rPr>
                <w:spacing w:val="1"/>
                <w:sz w:val="21"/>
                <w:szCs w:val="21"/>
              </w:rPr>
              <w:t xml:space="preserve">  </w:t>
            </w:r>
            <w:r>
              <w:rPr>
                <w:spacing w:val="-5"/>
                <w:sz w:val="21"/>
                <w:szCs w:val="21"/>
              </w:rPr>
              <w:t>量较小，不会给区域</w:t>
            </w:r>
            <w:r>
              <w:rPr>
                <w:spacing w:val="1"/>
                <w:sz w:val="21"/>
                <w:szCs w:val="21"/>
              </w:rPr>
              <w:t xml:space="preserve">  </w:t>
            </w:r>
            <w:r>
              <w:rPr>
                <w:spacing w:val="11"/>
                <w:sz w:val="21"/>
                <w:szCs w:val="21"/>
              </w:rPr>
              <w:t>水资源利用造成明</w:t>
            </w:r>
            <w:r>
              <w:rPr>
                <w:spacing w:val="1"/>
                <w:sz w:val="21"/>
                <w:szCs w:val="21"/>
              </w:rPr>
              <w:t xml:space="preserve">  </w:t>
            </w:r>
            <w:r>
              <w:rPr>
                <w:spacing w:val="-3"/>
                <w:sz w:val="21"/>
                <w:szCs w:val="21"/>
              </w:rPr>
              <w:t>显影响；项目位于城</w:t>
            </w:r>
            <w:r>
              <w:rPr>
                <w:spacing w:val="1"/>
                <w:sz w:val="21"/>
                <w:szCs w:val="21"/>
              </w:rPr>
              <w:t xml:space="preserve">  </w:t>
            </w:r>
            <w:r>
              <w:rPr>
                <w:spacing w:val="-3"/>
                <w:sz w:val="21"/>
                <w:szCs w:val="21"/>
              </w:rPr>
              <w:t>镇开发边界线外，项</w:t>
            </w:r>
            <w:r>
              <w:rPr>
                <w:spacing w:val="3"/>
                <w:sz w:val="21"/>
                <w:szCs w:val="21"/>
              </w:rPr>
              <w:t xml:space="preserve">  </w:t>
            </w:r>
            <w:r>
              <w:rPr>
                <w:spacing w:val="10"/>
                <w:sz w:val="21"/>
                <w:szCs w:val="21"/>
              </w:rPr>
              <w:t>目永久占地类型主</w:t>
            </w:r>
            <w:r>
              <w:rPr>
                <w:sz w:val="21"/>
                <w:szCs w:val="21"/>
              </w:rPr>
              <w:t xml:space="preserve">   </w:t>
            </w:r>
            <w:r>
              <w:rPr>
                <w:spacing w:val="-5"/>
                <w:sz w:val="21"/>
                <w:szCs w:val="21"/>
              </w:rPr>
              <w:t>要为其它草地、裸土</w:t>
            </w:r>
            <w:r>
              <w:rPr>
                <w:spacing w:val="1"/>
                <w:sz w:val="21"/>
                <w:szCs w:val="21"/>
              </w:rPr>
              <w:t xml:space="preserve">  </w:t>
            </w:r>
            <w:r>
              <w:rPr>
                <w:spacing w:val="-5"/>
                <w:sz w:val="21"/>
                <w:szCs w:val="21"/>
              </w:rPr>
              <w:t>地、裸岩石砾地，不</w:t>
            </w:r>
            <w:r>
              <w:rPr>
                <w:spacing w:val="1"/>
                <w:sz w:val="21"/>
                <w:szCs w:val="21"/>
              </w:rPr>
              <w:t xml:space="preserve">  </w:t>
            </w:r>
            <w:r>
              <w:rPr>
                <w:spacing w:val="10"/>
                <w:sz w:val="21"/>
                <w:szCs w:val="21"/>
              </w:rPr>
              <w:t>占用基本农田等农</w:t>
            </w:r>
            <w:r>
              <w:rPr>
                <w:sz w:val="21"/>
                <w:szCs w:val="21"/>
              </w:rPr>
              <w:t xml:space="preserve">   </w:t>
            </w:r>
            <w:r>
              <w:rPr>
                <w:spacing w:val="-5"/>
                <w:sz w:val="21"/>
                <w:szCs w:val="21"/>
              </w:rPr>
              <w:t>用地，项目建设不会</w:t>
            </w:r>
            <w:r>
              <w:rPr>
                <w:spacing w:val="1"/>
                <w:sz w:val="21"/>
                <w:szCs w:val="21"/>
              </w:rPr>
              <w:t xml:space="preserve">  </w:t>
            </w:r>
            <w:r>
              <w:rPr>
                <w:spacing w:val="7"/>
                <w:sz w:val="21"/>
                <w:szCs w:val="21"/>
              </w:rPr>
              <w:t>突破土地资源上线；</w:t>
            </w:r>
            <w:r>
              <w:rPr>
                <w:spacing w:val="6"/>
                <w:sz w:val="21"/>
                <w:szCs w:val="21"/>
              </w:rPr>
              <w:t xml:space="preserve"> </w:t>
            </w:r>
            <w:r>
              <w:rPr>
                <w:spacing w:val="10"/>
                <w:sz w:val="21"/>
                <w:szCs w:val="21"/>
              </w:rPr>
              <w:t>项目属于新能源项</w:t>
            </w:r>
            <w:r>
              <w:rPr>
                <w:sz w:val="21"/>
                <w:szCs w:val="21"/>
              </w:rPr>
              <w:t xml:space="preserve">   </w:t>
            </w:r>
            <w:r>
              <w:rPr>
                <w:spacing w:val="-3"/>
                <w:sz w:val="21"/>
                <w:szCs w:val="21"/>
              </w:rPr>
              <w:t>目，在施工过程中会</w:t>
            </w:r>
            <w:r>
              <w:rPr>
                <w:spacing w:val="1"/>
                <w:sz w:val="21"/>
                <w:szCs w:val="21"/>
              </w:rPr>
              <w:t xml:space="preserve">  有一定的电力消耗，</w:t>
            </w:r>
            <w:r>
              <w:rPr>
                <w:spacing w:val="3"/>
                <w:sz w:val="21"/>
                <w:szCs w:val="21"/>
              </w:rPr>
              <w:t xml:space="preserve"> </w:t>
            </w:r>
            <w:r>
              <w:rPr>
                <w:spacing w:val="-2"/>
                <w:sz w:val="21"/>
                <w:szCs w:val="21"/>
              </w:rPr>
              <w:t>但施工周期短，电力</w:t>
            </w:r>
            <w:r>
              <w:rPr>
                <w:spacing w:val="1"/>
                <w:sz w:val="21"/>
                <w:szCs w:val="21"/>
              </w:rPr>
              <w:t xml:space="preserve">  </w:t>
            </w:r>
            <w:r>
              <w:rPr>
                <w:spacing w:val="-3"/>
                <w:sz w:val="21"/>
                <w:szCs w:val="21"/>
              </w:rPr>
              <w:t>消耗少，待本工程投</w:t>
            </w:r>
            <w:r>
              <w:rPr>
                <w:spacing w:val="1"/>
                <w:sz w:val="21"/>
                <w:szCs w:val="21"/>
              </w:rPr>
              <w:t xml:space="preserve">  </w:t>
            </w:r>
            <w:r>
              <w:rPr>
                <w:spacing w:val="-5"/>
                <w:sz w:val="21"/>
                <w:szCs w:val="21"/>
              </w:rPr>
              <w:t>产后，产生的电量足</w:t>
            </w:r>
            <w:r>
              <w:rPr>
                <w:spacing w:val="1"/>
                <w:sz w:val="21"/>
                <w:szCs w:val="21"/>
              </w:rPr>
              <w:t xml:space="preserve">  </w:t>
            </w:r>
            <w:r>
              <w:rPr>
                <w:spacing w:val="10"/>
                <w:sz w:val="21"/>
                <w:szCs w:val="21"/>
              </w:rPr>
              <w:t>以抵消本工程的实</w:t>
            </w:r>
            <w:r>
              <w:rPr>
                <w:sz w:val="21"/>
                <w:szCs w:val="21"/>
              </w:rPr>
              <w:t xml:space="preserve">   </w:t>
            </w:r>
            <w:r>
              <w:rPr>
                <w:spacing w:val="5"/>
                <w:sz w:val="21"/>
                <w:szCs w:val="21"/>
              </w:rPr>
              <w:t>际消耗。</w:t>
            </w:r>
          </w:p>
        </w:tc>
        <w:tc>
          <w:tcPr>
            <w:tcW w:w="524" w:type="dxa"/>
            <w:textDirection w:val="tbRlV"/>
            <w:vAlign w:val="top"/>
          </w:tcPr>
          <w:p w14:paraId="3436D7DC">
            <w:pPr>
              <w:pStyle w:val="6"/>
              <w:spacing w:before="173" w:line="200" w:lineRule="auto"/>
              <w:ind w:left="3314"/>
              <w:rPr>
                <w:sz w:val="21"/>
                <w:szCs w:val="21"/>
              </w:rPr>
            </w:pPr>
            <w:r>
              <w:rPr>
                <w:sz w:val="21"/>
                <w:szCs w:val="21"/>
              </w:rPr>
              <w:t>符合</w:t>
            </w:r>
          </w:p>
        </w:tc>
      </w:tr>
      <w:tr w14:paraId="60DC2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1583" w:type="dxa"/>
            <w:vMerge w:val="continue"/>
            <w:tcBorders>
              <w:top w:val="nil"/>
              <w:bottom w:val="nil"/>
            </w:tcBorders>
            <w:vAlign w:val="top"/>
          </w:tcPr>
          <w:p w14:paraId="0B76FE2F">
            <w:pPr>
              <w:rPr>
                <w:rFonts w:ascii="Arial"/>
                <w:sz w:val="21"/>
              </w:rPr>
            </w:pPr>
          </w:p>
        </w:tc>
        <w:tc>
          <w:tcPr>
            <w:tcW w:w="7247" w:type="dxa"/>
            <w:gridSpan w:val="8"/>
            <w:vAlign w:val="top"/>
          </w:tcPr>
          <w:p w14:paraId="5F474BDB">
            <w:pPr>
              <w:pStyle w:val="6"/>
              <w:spacing w:before="42" w:line="416" w:lineRule="auto"/>
              <w:ind w:left="12" w:right="910" w:firstLine="419"/>
              <w:rPr>
                <w:sz w:val="21"/>
                <w:szCs w:val="21"/>
              </w:rPr>
            </w:pPr>
            <w:r>
              <w:rPr>
                <w:sz w:val="21"/>
                <w:szCs w:val="21"/>
              </w:rPr>
              <w:t>根据以上分析，本项目的建设符合《曲靖市生态环境分区管控动</w:t>
            </w:r>
            <w:r>
              <w:rPr>
                <w:spacing w:val="13"/>
                <w:sz w:val="21"/>
                <w:szCs w:val="21"/>
              </w:rPr>
              <w:t xml:space="preserve"> </w:t>
            </w:r>
            <w:r>
              <w:rPr>
                <w:spacing w:val="37"/>
                <w:sz w:val="21"/>
                <w:szCs w:val="21"/>
              </w:rPr>
              <w:t>态更新方案(2023年)》的相关要求。</w:t>
            </w:r>
          </w:p>
          <w:p w14:paraId="0FD8F9E7">
            <w:pPr>
              <w:pStyle w:val="6"/>
              <w:spacing w:before="10" w:line="219" w:lineRule="auto"/>
              <w:ind w:left="15"/>
              <w:rPr>
                <w:sz w:val="21"/>
                <w:szCs w:val="21"/>
              </w:rPr>
            </w:pPr>
            <w:r>
              <w:rPr>
                <w:b/>
                <w:bCs/>
                <w:spacing w:val="-3"/>
                <w:sz w:val="21"/>
                <w:szCs w:val="21"/>
              </w:rPr>
              <w:t>表1-4本项目与曲靖市优先保护单元生态环境准入清单符合性分析</w:t>
            </w:r>
          </w:p>
        </w:tc>
      </w:tr>
      <w:tr w14:paraId="21A8F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583" w:type="dxa"/>
            <w:vMerge w:val="continue"/>
            <w:tcBorders>
              <w:top w:val="nil"/>
              <w:bottom w:val="nil"/>
            </w:tcBorders>
            <w:vAlign w:val="top"/>
          </w:tcPr>
          <w:p w14:paraId="4143A37F">
            <w:pPr>
              <w:rPr>
                <w:rFonts w:ascii="Arial"/>
                <w:sz w:val="21"/>
              </w:rPr>
            </w:pPr>
          </w:p>
        </w:tc>
        <w:tc>
          <w:tcPr>
            <w:tcW w:w="849" w:type="dxa"/>
            <w:gridSpan w:val="2"/>
            <w:vAlign w:val="top"/>
          </w:tcPr>
          <w:p w14:paraId="665FB7E8">
            <w:pPr>
              <w:pStyle w:val="6"/>
              <w:spacing w:before="185" w:line="220" w:lineRule="auto"/>
              <w:ind w:left="202"/>
              <w:rPr>
                <w:sz w:val="21"/>
                <w:szCs w:val="21"/>
              </w:rPr>
            </w:pPr>
            <w:r>
              <w:rPr>
                <w:spacing w:val="-6"/>
                <w:sz w:val="21"/>
                <w:szCs w:val="21"/>
              </w:rPr>
              <w:t>项 目</w:t>
            </w:r>
          </w:p>
        </w:tc>
        <w:tc>
          <w:tcPr>
            <w:tcW w:w="3306" w:type="dxa"/>
            <w:gridSpan w:val="2"/>
            <w:vAlign w:val="top"/>
          </w:tcPr>
          <w:p w14:paraId="2C1A0D0C">
            <w:pPr>
              <w:pStyle w:val="6"/>
              <w:spacing w:before="184" w:line="219" w:lineRule="auto"/>
              <w:ind w:left="1223"/>
              <w:rPr>
                <w:sz w:val="21"/>
                <w:szCs w:val="21"/>
              </w:rPr>
            </w:pPr>
            <w:r>
              <w:rPr>
                <w:spacing w:val="2"/>
                <w:sz w:val="21"/>
                <w:szCs w:val="21"/>
              </w:rPr>
              <w:t>管控要求</w:t>
            </w:r>
          </w:p>
        </w:tc>
        <w:tc>
          <w:tcPr>
            <w:tcW w:w="2268" w:type="dxa"/>
            <w:gridSpan w:val="2"/>
            <w:vAlign w:val="top"/>
          </w:tcPr>
          <w:p w14:paraId="3559CCBB">
            <w:pPr>
              <w:pStyle w:val="6"/>
              <w:spacing w:before="185" w:line="220" w:lineRule="auto"/>
              <w:ind w:left="707"/>
              <w:rPr>
                <w:sz w:val="21"/>
                <w:szCs w:val="21"/>
              </w:rPr>
            </w:pPr>
            <w:r>
              <w:rPr>
                <w:spacing w:val="2"/>
                <w:sz w:val="21"/>
                <w:szCs w:val="21"/>
              </w:rPr>
              <w:t>项目情况</w:t>
            </w:r>
          </w:p>
        </w:tc>
        <w:tc>
          <w:tcPr>
            <w:tcW w:w="824" w:type="dxa"/>
            <w:gridSpan w:val="2"/>
            <w:vAlign w:val="top"/>
          </w:tcPr>
          <w:p w14:paraId="57A65AA3">
            <w:pPr>
              <w:pStyle w:val="6"/>
              <w:spacing w:before="34" w:line="226" w:lineRule="auto"/>
              <w:ind w:left="299" w:right="204" w:hanging="100"/>
              <w:rPr>
                <w:sz w:val="21"/>
                <w:szCs w:val="21"/>
              </w:rPr>
            </w:pPr>
            <w:r>
              <w:rPr>
                <w:spacing w:val="-5"/>
                <w:sz w:val="21"/>
                <w:szCs w:val="21"/>
              </w:rPr>
              <w:t>符合</w:t>
            </w:r>
            <w:r>
              <w:rPr>
                <w:sz w:val="21"/>
                <w:szCs w:val="21"/>
              </w:rPr>
              <w:t xml:space="preserve"> 性</w:t>
            </w:r>
          </w:p>
        </w:tc>
      </w:tr>
      <w:tr w14:paraId="2B6DD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1" w:hRule="atLeast"/>
        </w:trPr>
        <w:tc>
          <w:tcPr>
            <w:tcW w:w="1583" w:type="dxa"/>
            <w:vMerge w:val="continue"/>
            <w:tcBorders>
              <w:top w:val="nil"/>
            </w:tcBorders>
            <w:vAlign w:val="top"/>
          </w:tcPr>
          <w:p w14:paraId="56871134">
            <w:pPr>
              <w:rPr>
                <w:rFonts w:ascii="Arial"/>
                <w:sz w:val="21"/>
              </w:rPr>
            </w:pPr>
          </w:p>
        </w:tc>
        <w:tc>
          <w:tcPr>
            <w:tcW w:w="849" w:type="dxa"/>
            <w:gridSpan w:val="2"/>
            <w:vAlign w:val="top"/>
          </w:tcPr>
          <w:p w14:paraId="4323D5F1">
            <w:pPr>
              <w:spacing w:line="264" w:lineRule="auto"/>
              <w:rPr>
                <w:rFonts w:ascii="Arial"/>
                <w:sz w:val="21"/>
              </w:rPr>
            </w:pPr>
          </w:p>
          <w:p w14:paraId="2A47B3EA">
            <w:pPr>
              <w:spacing w:line="264" w:lineRule="auto"/>
              <w:rPr>
                <w:rFonts w:ascii="Arial"/>
                <w:sz w:val="21"/>
              </w:rPr>
            </w:pPr>
          </w:p>
          <w:p w14:paraId="0FB6D907">
            <w:pPr>
              <w:spacing w:line="264" w:lineRule="auto"/>
              <w:rPr>
                <w:rFonts w:ascii="Arial"/>
                <w:sz w:val="21"/>
              </w:rPr>
            </w:pPr>
          </w:p>
          <w:p w14:paraId="7B432F8C">
            <w:pPr>
              <w:spacing w:line="264" w:lineRule="auto"/>
              <w:rPr>
                <w:rFonts w:ascii="Arial"/>
                <w:sz w:val="21"/>
              </w:rPr>
            </w:pPr>
          </w:p>
          <w:p w14:paraId="714A8E87">
            <w:pPr>
              <w:spacing w:line="265" w:lineRule="auto"/>
              <w:rPr>
                <w:rFonts w:ascii="Arial"/>
                <w:sz w:val="21"/>
              </w:rPr>
            </w:pPr>
          </w:p>
          <w:p w14:paraId="4153A8D0">
            <w:pPr>
              <w:pStyle w:val="6"/>
              <w:spacing w:before="68" w:line="243" w:lineRule="auto"/>
              <w:ind w:left="82" w:right="61" w:firstLine="120"/>
              <w:rPr>
                <w:sz w:val="21"/>
                <w:szCs w:val="21"/>
              </w:rPr>
            </w:pPr>
            <w:r>
              <w:rPr>
                <w:spacing w:val="4"/>
                <w:sz w:val="21"/>
                <w:szCs w:val="21"/>
              </w:rPr>
              <w:t>各县</w:t>
            </w:r>
            <w:r>
              <w:rPr>
                <w:sz w:val="21"/>
                <w:szCs w:val="21"/>
              </w:rPr>
              <w:t xml:space="preserve">  </w:t>
            </w:r>
            <w:r>
              <w:rPr>
                <w:spacing w:val="-6"/>
                <w:sz w:val="21"/>
                <w:szCs w:val="21"/>
              </w:rPr>
              <w:t>( 市</w:t>
            </w:r>
            <w:r>
              <w:rPr>
                <w:spacing w:val="-17"/>
                <w:sz w:val="21"/>
                <w:szCs w:val="21"/>
              </w:rPr>
              <w:t xml:space="preserve"> </w:t>
            </w:r>
            <w:r>
              <w:rPr>
                <w:spacing w:val="-6"/>
                <w:sz w:val="21"/>
                <w:szCs w:val="21"/>
              </w:rPr>
              <w:t>、</w:t>
            </w:r>
            <w:r>
              <w:rPr>
                <w:sz w:val="21"/>
                <w:szCs w:val="21"/>
              </w:rPr>
              <w:t xml:space="preserve"> </w:t>
            </w:r>
            <w:r>
              <w:rPr>
                <w:spacing w:val="-11"/>
                <w:sz w:val="21"/>
                <w:szCs w:val="21"/>
              </w:rPr>
              <w:t>区</w:t>
            </w:r>
            <w:r>
              <w:rPr>
                <w:spacing w:val="-9"/>
                <w:sz w:val="21"/>
                <w:szCs w:val="21"/>
              </w:rPr>
              <w:t xml:space="preserve"> </w:t>
            </w:r>
            <w:r>
              <w:rPr>
                <w:spacing w:val="-11"/>
                <w:sz w:val="21"/>
                <w:szCs w:val="21"/>
              </w:rPr>
              <w:t>) 一</w:t>
            </w:r>
          </w:p>
          <w:p w14:paraId="1AEF62DF">
            <w:pPr>
              <w:pStyle w:val="6"/>
              <w:spacing w:line="220" w:lineRule="auto"/>
              <w:ind w:left="102"/>
              <w:rPr>
                <w:sz w:val="21"/>
                <w:szCs w:val="21"/>
              </w:rPr>
            </w:pPr>
            <w:r>
              <w:rPr>
                <w:spacing w:val="-2"/>
                <w:sz w:val="21"/>
                <w:szCs w:val="21"/>
              </w:rPr>
              <w:t>般生态</w:t>
            </w:r>
          </w:p>
          <w:p w14:paraId="76FA5607">
            <w:pPr>
              <w:pStyle w:val="6"/>
              <w:spacing w:before="27" w:line="219" w:lineRule="auto"/>
              <w:ind w:left="102"/>
              <w:rPr>
                <w:sz w:val="21"/>
                <w:szCs w:val="21"/>
              </w:rPr>
            </w:pPr>
            <w:r>
              <w:rPr>
                <w:spacing w:val="3"/>
                <w:sz w:val="21"/>
                <w:szCs w:val="21"/>
              </w:rPr>
              <w:t>空间优</w:t>
            </w:r>
          </w:p>
          <w:p w14:paraId="0B818542">
            <w:pPr>
              <w:pStyle w:val="6"/>
              <w:spacing w:before="9" w:line="241" w:lineRule="auto"/>
              <w:ind w:left="202" w:right="91" w:hanging="100"/>
              <w:rPr>
                <w:sz w:val="21"/>
                <w:szCs w:val="21"/>
              </w:rPr>
            </w:pPr>
            <w:r>
              <w:rPr>
                <w:spacing w:val="5"/>
                <w:sz w:val="21"/>
                <w:szCs w:val="21"/>
              </w:rPr>
              <w:t>先保护</w:t>
            </w:r>
            <w:r>
              <w:rPr>
                <w:sz w:val="21"/>
                <w:szCs w:val="21"/>
              </w:rPr>
              <w:t xml:space="preserve"> </w:t>
            </w:r>
            <w:r>
              <w:rPr>
                <w:spacing w:val="-3"/>
                <w:sz w:val="21"/>
                <w:szCs w:val="21"/>
              </w:rPr>
              <w:t>单元</w:t>
            </w:r>
          </w:p>
        </w:tc>
        <w:tc>
          <w:tcPr>
            <w:tcW w:w="3306" w:type="dxa"/>
            <w:gridSpan w:val="2"/>
            <w:vAlign w:val="top"/>
          </w:tcPr>
          <w:p w14:paraId="15B99B1F">
            <w:pPr>
              <w:pStyle w:val="6"/>
              <w:spacing w:before="50" w:line="237" w:lineRule="auto"/>
              <w:ind w:left="73" w:firstLine="96"/>
              <w:rPr>
                <w:sz w:val="21"/>
                <w:szCs w:val="21"/>
              </w:rPr>
            </w:pPr>
            <w:r>
              <w:rPr>
                <w:spacing w:val="-5"/>
                <w:sz w:val="21"/>
                <w:szCs w:val="21"/>
              </w:rPr>
              <w:t>1.一般生态空间优先保护单元以</w:t>
            </w:r>
            <w:r>
              <w:rPr>
                <w:sz w:val="21"/>
                <w:szCs w:val="21"/>
              </w:rPr>
              <w:t xml:space="preserve">   </w:t>
            </w:r>
            <w:r>
              <w:rPr>
                <w:spacing w:val="-6"/>
                <w:sz w:val="21"/>
                <w:szCs w:val="21"/>
              </w:rPr>
              <w:t>保护和修复生态环境、提供生态产</w:t>
            </w:r>
            <w:r>
              <w:rPr>
                <w:spacing w:val="2"/>
                <w:sz w:val="21"/>
                <w:szCs w:val="21"/>
              </w:rPr>
              <w:t xml:space="preserve">  </w:t>
            </w:r>
            <w:r>
              <w:rPr>
                <w:spacing w:val="-5"/>
                <w:sz w:val="21"/>
                <w:szCs w:val="21"/>
              </w:rPr>
              <w:t>品为首要任务，参照主体功能区中</w:t>
            </w:r>
            <w:r>
              <w:rPr>
                <w:sz w:val="21"/>
                <w:szCs w:val="21"/>
              </w:rPr>
              <w:t xml:space="preserve">  </w:t>
            </w:r>
            <w:r>
              <w:rPr>
                <w:spacing w:val="1"/>
                <w:sz w:val="21"/>
                <w:szCs w:val="21"/>
              </w:rPr>
              <w:t>重点生态功能区的开发和管制原</w:t>
            </w:r>
            <w:r>
              <w:rPr>
                <w:spacing w:val="2"/>
                <w:sz w:val="21"/>
                <w:szCs w:val="21"/>
              </w:rPr>
              <w:t xml:space="preserve">   </w:t>
            </w:r>
            <w:r>
              <w:rPr>
                <w:spacing w:val="-6"/>
                <w:sz w:val="21"/>
                <w:szCs w:val="21"/>
              </w:rPr>
              <w:t>则进行管控，加强资源环境承载力</w:t>
            </w:r>
            <w:r>
              <w:rPr>
                <w:spacing w:val="4"/>
                <w:sz w:val="21"/>
                <w:szCs w:val="21"/>
              </w:rPr>
              <w:t xml:space="preserve">  </w:t>
            </w:r>
            <w:r>
              <w:rPr>
                <w:spacing w:val="-9"/>
                <w:sz w:val="21"/>
                <w:szCs w:val="21"/>
              </w:rPr>
              <w:t>控制，防止过度垦殖、放牧、采伐、</w:t>
            </w:r>
            <w:r>
              <w:rPr>
                <w:spacing w:val="5"/>
                <w:sz w:val="21"/>
                <w:szCs w:val="21"/>
              </w:rPr>
              <w:t xml:space="preserve"> </w:t>
            </w:r>
            <w:r>
              <w:rPr>
                <w:spacing w:val="-8"/>
                <w:sz w:val="21"/>
                <w:szCs w:val="21"/>
              </w:rPr>
              <w:t>取水、渔猎、旅游等对生态功能造</w:t>
            </w:r>
            <w:r>
              <w:rPr>
                <w:spacing w:val="5"/>
                <w:sz w:val="21"/>
                <w:szCs w:val="21"/>
              </w:rPr>
              <w:t xml:space="preserve">  </w:t>
            </w:r>
            <w:r>
              <w:rPr>
                <w:spacing w:val="-1"/>
                <w:sz w:val="21"/>
                <w:szCs w:val="21"/>
              </w:rPr>
              <w:t>成损害，确保自然生态系统稳定。</w:t>
            </w:r>
            <w:r>
              <w:rPr>
                <w:spacing w:val="13"/>
                <w:sz w:val="21"/>
                <w:szCs w:val="21"/>
              </w:rPr>
              <w:t xml:space="preserve"> </w:t>
            </w:r>
            <w:r>
              <w:rPr>
                <w:sz w:val="21"/>
                <w:szCs w:val="21"/>
              </w:rPr>
              <w:t>涉及占用一般生态空间的开发活</w:t>
            </w:r>
          </w:p>
          <w:p w14:paraId="3FC2CDEB">
            <w:pPr>
              <w:pStyle w:val="6"/>
              <w:spacing w:before="39" w:line="228" w:lineRule="auto"/>
              <w:ind w:left="113" w:right="81" w:hanging="40"/>
              <w:rPr>
                <w:sz w:val="21"/>
                <w:szCs w:val="21"/>
              </w:rPr>
            </w:pPr>
            <w:r>
              <w:rPr>
                <w:spacing w:val="-1"/>
                <w:sz w:val="21"/>
                <w:szCs w:val="21"/>
              </w:rPr>
              <w:t>动应符合相关法律法规规定，没有</w:t>
            </w:r>
            <w:r>
              <w:rPr>
                <w:spacing w:val="4"/>
                <w:sz w:val="21"/>
                <w:szCs w:val="21"/>
              </w:rPr>
              <w:t xml:space="preserve"> </w:t>
            </w:r>
            <w:r>
              <w:rPr>
                <w:spacing w:val="-1"/>
                <w:sz w:val="21"/>
                <w:szCs w:val="21"/>
              </w:rPr>
              <w:t>明确规定的，加强论证和管理。</w:t>
            </w:r>
          </w:p>
          <w:p w14:paraId="3AE3BEDC">
            <w:pPr>
              <w:pStyle w:val="6"/>
              <w:spacing w:before="1" w:line="228" w:lineRule="auto"/>
              <w:ind w:left="173" w:right="172"/>
              <w:rPr>
                <w:sz w:val="21"/>
                <w:szCs w:val="21"/>
              </w:rPr>
            </w:pPr>
            <w:r>
              <w:rPr>
                <w:sz w:val="21"/>
                <w:szCs w:val="21"/>
              </w:rPr>
              <w:t>2.暂未纳入生态保护红线的自然</w:t>
            </w:r>
            <w:r>
              <w:rPr>
                <w:spacing w:val="9"/>
                <w:sz w:val="21"/>
                <w:szCs w:val="21"/>
              </w:rPr>
              <w:t xml:space="preserve"> </w:t>
            </w:r>
            <w:r>
              <w:rPr>
                <w:spacing w:val="-1"/>
                <w:sz w:val="21"/>
                <w:szCs w:val="21"/>
              </w:rPr>
              <w:t>保护地按照相关保护地法律法规</w:t>
            </w:r>
          </w:p>
          <w:p w14:paraId="38A7E06B">
            <w:pPr>
              <w:pStyle w:val="6"/>
              <w:spacing w:before="39" w:line="230" w:lineRule="auto"/>
              <w:ind w:left="73"/>
              <w:rPr>
                <w:sz w:val="21"/>
                <w:szCs w:val="21"/>
              </w:rPr>
            </w:pPr>
            <w:r>
              <w:rPr>
                <w:spacing w:val="-2"/>
                <w:sz w:val="21"/>
                <w:szCs w:val="21"/>
              </w:rPr>
              <w:t>进行管理；自然保护地优化整合成</w:t>
            </w:r>
            <w:r>
              <w:rPr>
                <w:spacing w:val="6"/>
                <w:sz w:val="21"/>
                <w:szCs w:val="21"/>
              </w:rPr>
              <w:t xml:space="preserve">  </w:t>
            </w:r>
            <w:r>
              <w:rPr>
                <w:sz w:val="21"/>
                <w:szCs w:val="21"/>
              </w:rPr>
              <w:t>果获批前，按现行有效法律法规管</w:t>
            </w:r>
            <w:r>
              <w:rPr>
                <w:spacing w:val="2"/>
                <w:sz w:val="21"/>
                <w:szCs w:val="21"/>
              </w:rPr>
              <w:t xml:space="preserve"> </w:t>
            </w:r>
            <w:r>
              <w:rPr>
                <w:spacing w:val="-2"/>
                <w:sz w:val="21"/>
                <w:szCs w:val="21"/>
              </w:rPr>
              <w:t>理。重要湿地依据《湿地保护管理</w:t>
            </w:r>
            <w:r>
              <w:rPr>
                <w:spacing w:val="4"/>
                <w:sz w:val="21"/>
                <w:szCs w:val="21"/>
              </w:rPr>
              <w:t xml:space="preserve">  </w:t>
            </w:r>
            <w:r>
              <w:rPr>
                <w:spacing w:val="-9"/>
                <w:sz w:val="21"/>
                <w:szCs w:val="21"/>
              </w:rPr>
              <w:t>规定》《云南省湿地保护条例》《云</w:t>
            </w:r>
          </w:p>
        </w:tc>
        <w:tc>
          <w:tcPr>
            <w:tcW w:w="2268" w:type="dxa"/>
            <w:gridSpan w:val="2"/>
            <w:vAlign w:val="top"/>
          </w:tcPr>
          <w:p w14:paraId="6A88121B">
            <w:pPr>
              <w:pStyle w:val="6"/>
              <w:spacing w:before="44" w:line="219" w:lineRule="auto"/>
              <w:ind w:left="127"/>
              <w:rPr>
                <w:sz w:val="21"/>
                <w:szCs w:val="21"/>
              </w:rPr>
            </w:pPr>
            <w:r>
              <w:rPr>
                <w:spacing w:val="1"/>
                <w:sz w:val="21"/>
                <w:szCs w:val="21"/>
              </w:rPr>
              <w:t>1、根据曲靖市生态环</w:t>
            </w:r>
          </w:p>
          <w:p w14:paraId="0DDFB616">
            <w:pPr>
              <w:pStyle w:val="6"/>
              <w:spacing w:before="10" w:line="219" w:lineRule="auto"/>
              <w:ind w:left="77"/>
              <w:rPr>
                <w:sz w:val="21"/>
                <w:szCs w:val="21"/>
              </w:rPr>
            </w:pPr>
            <w:r>
              <w:rPr>
                <w:spacing w:val="4"/>
                <w:sz w:val="21"/>
                <w:szCs w:val="21"/>
              </w:rPr>
              <w:t>境局查询结果：本项目</w:t>
            </w:r>
          </w:p>
          <w:p w14:paraId="396AEA46">
            <w:pPr>
              <w:pStyle w:val="6"/>
              <w:spacing w:before="32" w:line="220" w:lineRule="auto"/>
              <w:ind w:left="77"/>
              <w:rPr>
                <w:sz w:val="21"/>
                <w:szCs w:val="21"/>
              </w:rPr>
            </w:pPr>
            <w:r>
              <w:rPr>
                <w:spacing w:val="12"/>
                <w:sz w:val="21"/>
                <w:szCs w:val="21"/>
              </w:rPr>
              <w:t>占地面积中76.095</w:t>
            </w:r>
            <w:r>
              <w:rPr>
                <w:sz w:val="21"/>
                <w:szCs w:val="21"/>
              </w:rPr>
              <w:t>hm</w:t>
            </w:r>
            <w:r>
              <w:rPr>
                <w:spacing w:val="12"/>
                <w:sz w:val="21"/>
                <w:szCs w:val="21"/>
              </w:rPr>
              <w:t>²</w:t>
            </w:r>
          </w:p>
          <w:p w14:paraId="0ACC41F8">
            <w:pPr>
              <w:pStyle w:val="6"/>
              <w:spacing w:before="29" w:line="219" w:lineRule="auto"/>
              <w:ind w:left="187"/>
              <w:rPr>
                <w:sz w:val="21"/>
                <w:szCs w:val="21"/>
              </w:rPr>
            </w:pPr>
            <w:r>
              <w:rPr>
                <w:spacing w:val="1"/>
                <w:sz w:val="21"/>
                <w:szCs w:val="21"/>
              </w:rPr>
              <w:t>属于马龙区一般生态</w:t>
            </w:r>
          </w:p>
          <w:p w14:paraId="3F7E084A">
            <w:pPr>
              <w:pStyle w:val="6"/>
              <w:spacing w:before="21" w:line="219" w:lineRule="auto"/>
              <w:ind w:left="77"/>
              <w:rPr>
                <w:sz w:val="21"/>
                <w:szCs w:val="21"/>
              </w:rPr>
            </w:pPr>
            <w:r>
              <w:rPr>
                <w:spacing w:val="1"/>
                <w:sz w:val="21"/>
                <w:szCs w:val="21"/>
              </w:rPr>
              <w:t>空间优先保护单元，占</w:t>
            </w:r>
          </w:p>
          <w:p w14:paraId="5354AC98">
            <w:pPr>
              <w:pStyle w:val="6"/>
              <w:spacing w:before="31" w:line="219" w:lineRule="auto"/>
              <w:ind w:left="77"/>
              <w:rPr>
                <w:sz w:val="21"/>
                <w:szCs w:val="21"/>
              </w:rPr>
            </w:pPr>
            <w:r>
              <w:rPr>
                <w:spacing w:val="-1"/>
                <w:sz w:val="21"/>
                <w:szCs w:val="21"/>
              </w:rPr>
              <w:t>用类型为天然林、公益</w:t>
            </w:r>
          </w:p>
          <w:p w14:paraId="3897D407">
            <w:pPr>
              <w:pStyle w:val="6"/>
              <w:spacing w:before="20" w:line="219" w:lineRule="auto"/>
              <w:ind w:left="77"/>
              <w:rPr>
                <w:sz w:val="21"/>
                <w:szCs w:val="21"/>
              </w:rPr>
            </w:pPr>
            <w:r>
              <w:rPr>
                <w:spacing w:val="1"/>
                <w:sz w:val="21"/>
                <w:szCs w:val="21"/>
              </w:rPr>
              <w:t>林、生态控制区。根据</w:t>
            </w:r>
          </w:p>
          <w:p w14:paraId="74487553">
            <w:pPr>
              <w:pStyle w:val="6"/>
              <w:spacing w:before="10" w:line="219" w:lineRule="auto"/>
              <w:ind w:left="132"/>
              <w:rPr>
                <w:sz w:val="21"/>
                <w:szCs w:val="21"/>
              </w:rPr>
            </w:pPr>
            <w:r>
              <w:rPr>
                <w:spacing w:val="-3"/>
                <w:sz w:val="21"/>
                <w:szCs w:val="21"/>
              </w:rPr>
              <w:t>《几沃梁子农光互补</w:t>
            </w:r>
          </w:p>
          <w:p w14:paraId="662EC9EF">
            <w:pPr>
              <w:pStyle w:val="6"/>
              <w:spacing w:before="31" w:line="219" w:lineRule="auto"/>
              <w:ind w:left="187"/>
              <w:rPr>
                <w:sz w:val="21"/>
                <w:szCs w:val="21"/>
              </w:rPr>
            </w:pPr>
            <w:r>
              <w:rPr>
                <w:spacing w:val="-1"/>
                <w:sz w:val="21"/>
                <w:szCs w:val="21"/>
              </w:rPr>
              <w:t>光伏发电项目使用林</w:t>
            </w:r>
          </w:p>
          <w:p w14:paraId="095BD0ED">
            <w:pPr>
              <w:pStyle w:val="6"/>
              <w:spacing w:before="40" w:line="218" w:lineRule="auto"/>
              <w:ind w:left="77"/>
              <w:rPr>
                <w:sz w:val="21"/>
                <w:szCs w:val="21"/>
              </w:rPr>
            </w:pPr>
            <w:r>
              <w:rPr>
                <w:spacing w:val="1"/>
                <w:sz w:val="21"/>
                <w:szCs w:val="21"/>
              </w:rPr>
              <w:t>地可行性报告》及与项</w:t>
            </w:r>
          </w:p>
          <w:p w14:paraId="6B91B3A1">
            <w:pPr>
              <w:pStyle w:val="6"/>
              <w:spacing w:before="4" w:line="219" w:lineRule="auto"/>
              <w:ind w:left="187"/>
              <w:rPr>
                <w:sz w:val="21"/>
                <w:szCs w:val="21"/>
              </w:rPr>
            </w:pPr>
            <w:r>
              <w:rPr>
                <w:spacing w:val="1"/>
                <w:sz w:val="21"/>
                <w:szCs w:val="21"/>
              </w:rPr>
              <w:t>目与公益林矢量数据</w:t>
            </w:r>
          </w:p>
          <w:p w14:paraId="2904B6EF">
            <w:pPr>
              <w:pStyle w:val="6"/>
              <w:spacing w:before="31" w:line="219" w:lineRule="auto"/>
              <w:ind w:left="77"/>
              <w:rPr>
                <w:sz w:val="21"/>
                <w:szCs w:val="21"/>
              </w:rPr>
            </w:pPr>
            <w:r>
              <w:rPr>
                <w:spacing w:val="2"/>
                <w:sz w:val="21"/>
                <w:szCs w:val="21"/>
              </w:rPr>
              <w:t>叠图，项目选址内使用</w:t>
            </w:r>
          </w:p>
          <w:p w14:paraId="60126A87">
            <w:pPr>
              <w:pStyle w:val="6"/>
              <w:spacing w:before="11" w:line="219" w:lineRule="auto"/>
              <w:ind w:left="187"/>
              <w:rPr>
                <w:sz w:val="21"/>
                <w:szCs w:val="21"/>
              </w:rPr>
            </w:pPr>
            <w:r>
              <w:rPr>
                <w:spacing w:val="-2"/>
                <w:sz w:val="21"/>
                <w:szCs w:val="21"/>
              </w:rPr>
              <w:t>林地地类为一般灌木</w:t>
            </w:r>
          </w:p>
          <w:p w14:paraId="425AB15B">
            <w:pPr>
              <w:pStyle w:val="6"/>
              <w:spacing w:before="41" w:line="219" w:lineRule="auto"/>
              <w:ind w:left="77"/>
              <w:rPr>
                <w:sz w:val="21"/>
                <w:szCs w:val="21"/>
              </w:rPr>
            </w:pPr>
            <w:r>
              <w:rPr>
                <w:spacing w:val="2"/>
                <w:sz w:val="21"/>
                <w:szCs w:val="21"/>
              </w:rPr>
              <w:t>林地和其他林地，占用</w:t>
            </w:r>
          </w:p>
          <w:p w14:paraId="37704992">
            <w:pPr>
              <w:pStyle w:val="6"/>
              <w:spacing w:before="19" w:line="219" w:lineRule="auto"/>
              <w:ind w:left="77"/>
              <w:rPr>
                <w:sz w:val="21"/>
                <w:szCs w:val="21"/>
              </w:rPr>
            </w:pPr>
            <w:r>
              <w:rPr>
                <w:spacing w:val="-1"/>
                <w:sz w:val="21"/>
                <w:szCs w:val="21"/>
              </w:rPr>
              <w:t>林地起源为人工。几沃</w:t>
            </w:r>
          </w:p>
          <w:p w14:paraId="1273979E">
            <w:pPr>
              <w:pStyle w:val="6"/>
              <w:spacing w:before="11" w:line="219" w:lineRule="auto"/>
              <w:ind w:left="187"/>
              <w:rPr>
                <w:sz w:val="21"/>
                <w:szCs w:val="21"/>
              </w:rPr>
            </w:pPr>
            <w:r>
              <w:rPr>
                <w:spacing w:val="-1"/>
                <w:sz w:val="21"/>
                <w:szCs w:val="21"/>
              </w:rPr>
              <w:t>梁子农光互补光伏发</w:t>
            </w:r>
          </w:p>
          <w:p w14:paraId="437D5056">
            <w:pPr>
              <w:pStyle w:val="6"/>
              <w:spacing w:before="42" w:line="198" w:lineRule="auto"/>
              <w:ind w:left="127"/>
              <w:rPr>
                <w:sz w:val="21"/>
                <w:szCs w:val="21"/>
              </w:rPr>
            </w:pPr>
            <w:r>
              <w:rPr>
                <w:spacing w:val="1"/>
                <w:sz w:val="21"/>
                <w:szCs w:val="21"/>
              </w:rPr>
              <w:t>电项目用地规模208.8</w:t>
            </w:r>
          </w:p>
        </w:tc>
        <w:tc>
          <w:tcPr>
            <w:tcW w:w="824" w:type="dxa"/>
            <w:gridSpan w:val="2"/>
            <w:vAlign w:val="top"/>
          </w:tcPr>
          <w:p w14:paraId="7289F251">
            <w:pPr>
              <w:spacing w:line="268" w:lineRule="auto"/>
              <w:rPr>
                <w:rFonts w:ascii="Arial"/>
                <w:sz w:val="21"/>
              </w:rPr>
            </w:pPr>
          </w:p>
          <w:p w14:paraId="3E986448">
            <w:pPr>
              <w:spacing w:line="268" w:lineRule="auto"/>
              <w:rPr>
                <w:rFonts w:ascii="Arial"/>
                <w:sz w:val="21"/>
              </w:rPr>
            </w:pPr>
          </w:p>
          <w:p w14:paraId="4E47A7A0">
            <w:pPr>
              <w:spacing w:line="268" w:lineRule="auto"/>
              <w:rPr>
                <w:rFonts w:ascii="Arial"/>
                <w:sz w:val="21"/>
              </w:rPr>
            </w:pPr>
          </w:p>
          <w:p w14:paraId="7BCA50AC">
            <w:pPr>
              <w:spacing w:line="268" w:lineRule="auto"/>
              <w:rPr>
                <w:rFonts w:ascii="Arial"/>
                <w:sz w:val="21"/>
              </w:rPr>
            </w:pPr>
          </w:p>
          <w:p w14:paraId="2FB825F5">
            <w:pPr>
              <w:spacing w:line="268" w:lineRule="auto"/>
              <w:rPr>
                <w:rFonts w:ascii="Arial"/>
                <w:sz w:val="21"/>
              </w:rPr>
            </w:pPr>
          </w:p>
          <w:p w14:paraId="3F027558">
            <w:pPr>
              <w:spacing w:line="268" w:lineRule="auto"/>
              <w:rPr>
                <w:rFonts w:ascii="Arial"/>
                <w:sz w:val="21"/>
              </w:rPr>
            </w:pPr>
          </w:p>
          <w:p w14:paraId="2FB3498C">
            <w:pPr>
              <w:spacing w:line="268" w:lineRule="auto"/>
              <w:rPr>
                <w:rFonts w:ascii="Arial"/>
                <w:sz w:val="21"/>
              </w:rPr>
            </w:pPr>
          </w:p>
          <w:p w14:paraId="598A51DB">
            <w:pPr>
              <w:spacing w:line="268" w:lineRule="auto"/>
              <w:rPr>
                <w:rFonts w:ascii="Arial"/>
                <w:sz w:val="21"/>
              </w:rPr>
            </w:pPr>
          </w:p>
          <w:p w14:paraId="0E9217E7">
            <w:pPr>
              <w:pStyle w:val="6"/>
              <w:spacing w:before="68" w:line="219" w:lineRule="auto"/>
              <w:ind w:left="199"/>
              <w:rPr>
                <w:sz w:val="21"/>
                <w:szCs w:val="21"/>
              </w:rPr>
            </w:pPr>
            <w:r>
              <w:rPr>
                <w:spacing w:val="-3"/>
                <w:sz w:val="21"/>
                <w:szCs w:val="21"/>
              </w:rPr>
              <w:t>符合</w:t>
            </w:r>
          </w:p>
        </w:tc>
      </w:tr>
    </w:tbl>
    <w:p w14:paraId="1E37F9D6">
      <w:pPr>
        <w:pStyle w:val="2"/>
      </w:pPr>
    </w:p>
    <w:p w14:paraId="27CC0521">
      <w:pPr>
        <w:sectPr>
          <w:footerReference r:id="rId16" w:type="default"/>
          <w:pgSz w:w="11910" w:h="16840"/>
          <w:pgMar w:top="1431" w:right="1574" w:bottom="1253" w:left="1494" w:header="0" w:footer="1091" w:gutter="0"/>
          <w:cols w:space="720" w:num="1"/>
        </w:sectPr>
      </w:pPr>
    </w:p>
    <w:p w14:paraId="4C36B1DA">
      <w:pPr>
        <w:spacing w:line="93" w:lineRule="exact"/>
      </w:pPr>
    </w:p>
    <w:tbl>
      <w:tblPr>
        <w:tblStyle w:val="5"/>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3"/>
        <w:gridCol w:w="459"/>
        <w:gridCol w:w="390"/>
        <w:gridCol w:w="2857"/>
        <w:gridCol w:w="449"/>
        <w:gridCol w:w="2258"/>
        <w:gridCol w:w="350"/>
        <w:gridCol w:w="484"/>
      </w:tblGrid>
      <w:tr w14:paraId="2B136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2" w:hRule="atLeast"/>
        </w:trPr>
        <w:tc>
          <w:tcPr>
            <w:tcW w:w="1583" w:type="dxa"/>
            <w:vMerge w:val="restart"/>
            <w:tcBorders>
              <w:bottom w:val="nil"/>
            </w:tcBorders>
            <w:vAlign w:val="top"/>
          </w:tcPr>
          <w:p w14:paraId="244DD12F">
            <w:pPr>
              <w:rPr>
                <w:rFonts w:ascii="Arial"/>
                <w:sz w:val="21"/>
              </w:rPr>
            </w:pPr>
          </w:p>
        </w:tc>
        <w:tc>
          <w:tcPr>
            <w:tcW w:w="849" w:type="dxa"/>
            <w:gridSpan w:val="2"/>
            <w:vAlign w:val="top"/>
          </w:tcPr>
          <w:p w14:paraId="3D436D34">
            <w:pPr>
              <w:rPr>
                <w:rFonts w:ascii="Arial"/>
                <w:sz w:val="21"/>
              </w:rPr>
            </w:pPr>
          </w:p>
        </w:tc>
        <w:tc>
          <w:tcPr>
            <w:tcW w:w="3306" w:type="dxa"/>
            <w:gridSpan w:val="2"/>
            <w:vAlign w:val="top"/>
          </w:tcPr>
          <w:p w14:paraId="2D00CC5F">
            <w:pPr>
              <w:pStyle w:val="6"/>
              <w:spacing w:before="42" w:line="219" w:lineRule="auto"/>
              <w:ind w:left="173"/>
              <w:rPr>
                <w:sz w:val="21"/>
                <w:szCs w:val="21"/>
              </w:rPr>
            </w:pPr>
            <w:r>
              <w:rPr>
                <w:spacing w:val="1"/>
                <w:sz w:val="21"/>
                <w:szCs w:val="21"/>
              </w:rPr>
              <w:t>南省人民政府关于加强湿地保护</w:t>
            </w:r>
          </w:p>
          <w:p w14:paraId="54D5E47E">
            <w:pPr>
              <w:pStyle w:val="6"/>
              <w:spacing w:before="12" w:line="219" w:lineRule="auto"/>
              <w:ind w:left="73"/>
              <w:rPr>
                <w:sz w:val="21"/>
                <w:szCs w:val="21"/>
              </w:rPr>
            </w:pPr>
            <w:r>
              <w:rPr>
                <w:sz w:val="21"/>
                <w:szCs w:val="21"/>
              </w:rPr>
              <w:t>工作的意见》等进行管理；生态公</w:t>
            </w:r>
          </w:p>
          <w:p w14:paraId="351F4303">
            <w:pPr>
              <w:pStyle w:val="6"/>
              <w:spacing w:before="39" w:line="219" w:lineRule="auto"/>
              <w:ind w:left="173"/>
              <w:rPr>
                <w:sz w:val="21"/>
                <w:szCs w:val="21"/>
              </w:rPr>
            </w:pPr>
            <w:r>
              <w:rPr>
                <w:sz w:val="21"/>
                <w:szCs w:val="21"/>
              </w:rPr>
              <w:t>益林依据《国家级公益林管理办</w:t>
            </w:r>
          </w:p>
          <w:p w14:paraId="7CB41079">
            <w:pPr>
              <w:pStyle w:val="6"/>
              <w:spacing w:before="32" w:line="219" w:lineRule="auto"/>
              <w:jc w:val="right"/>
              <w:rPr>
                <w:sz w:val="21"/>
                <w:szCs w:val="21"/>
              </w:rPr>
            </w:pPr>
            <w:r>
              <w:rPr>
                <w:spacing w:val="-5"/>
                <w:sz w:val="21"/>
                <w:szCs w:val="21"/>
              </w:rPr>
              <w:t>法》《云南省地方公益林管理办法》</w:t>
            </w:r>
          </w:p>
          <w:p w14:paraId="7391D901">
            <w:pPr>
              <w:pStyle w:val="6"/>
              <w:spacing w:before="9" w:line="219" w:lineRule="auto"/>
              <w:ind w:left="73"/>
              <w:rPr>
                <w:sz w:val="21"/>
                <w:szCs w:val="21"/>
              </w:rPr>
            </w:pPr>
            <w:r>
              <w:rPr>
                <w:spacing w:val="-1"/>
                <w:sz w:val="21"/>
                <w:szCs w:val="21"/>
              </w:rPr>
              <w:t>进行管理；天然林依据《国家林业</w:t>
            </w:r>
          </w:p>
          <w:p w14:paraId="7A51EC67">
            <w:pPr>
              <w:pStyle w:val="6"/>
              <w:spacing w:before="42" w:line="219" w:lineRule="auto"/>
              <w:ind w:left="123"/>
              <w:rPr>
                <w:sz w:val="21"/>
                <w:szCs w:val="21"/>
              </w:rPr>
            </w:pPr>
            <w:r>
              <w:rPr>
                <w:spacing w:val="-2"/>
                <w:sz w:val="21"/>
                <w:szCs w:val="21"/>
              </w:rPr>
              <w:t>局关于严格保护天然林的通知》</w:t>
            </w:r>
          </w:p>
          <w:p w14:paraId="528C63F5">
            <w:pPr>
              <w:pStyle w:val="6"/>
              <w:spacing w:before="20" w:line="219" w:lineRule="auto"/>
              <w:ind w:left="223"/>
              <w:rPr>
                <w:sz w:val="21"/>
                <w:szCs w:val="21"/>
              </w:rPr>
            </w:pPr>
            <w:r>
              <w:rPr>
                <w:spacing w:val="1"/>
                <w:sz w:val="21"/>
                <w:szCs w:val="21"/>
              </w:rPr>
              <w:t>(林资发〔2015〕181号)、《中</w:t>
            </w:r>
          </w:p>
          <w:p w14:paraId="5505181A">
            <w:pPr>
              <w:pStyle w:val="6"/>
              <w:spacing w:before="11" w:line="219" w:lineRule="auto"/>
              <w:ind w:left="173"/>
              <w:rPr>
                <w:sz w:val="21"/>
                <w:szCs w:val="21"/>
              </w:rPr>
            </w:pPr>
            <w:r>
              <w:rPr>
                <w:spacing w:val="-1"/>
                <w:sz w:val="21"/>
                <w:szCs w:val="21"/>
              </w:rPr>
              <w:t>共中央办公厅国务院办公厅关于</w:t>
            </w:r>
          </w:p>
          <w:p w14:paraId="5859ADDA">
            <w:pPr>
              <w:pStyle w:val="6"/>
              <w:spacing w:before="51" w:line="219" w:lineRule="auto"/>
              <w:jc w:val="right"/>
              <w:rPr>
                <w:sz w:val="21"/>
                <w:szCs w:val="21"/>
              </w:rPr>
            </w:pPr>
            <w:r>
              <w:rPr>
                <w:spacing w:val="4"/>
                <w:sz w:val="21"/>
                <w:szCs w:val="21"/>
              </w:rPr>
              <w:t>印发〈天然林保护修复制度方案〉</w:t>
            </w:r>
          </w:p>
          <w:p w14:paraId="2C7E97A7">
            <w:pPr>
              <w:pStyle w:val="6"/>
              <w:spacing w:before="20" w:line="231" w:lineRule="auto"/>
              <w:ind w:left="103" w:right="396" w:firstLine="20"/>
              <w:rPr>
                <w:sz w:val="21"/>
                <w:szCs w:val="21"/>
              </w:rPr>
            </w:pPr>
            <w:r>
              <w:rPr>
                <w:spacing w:val="2"/>
                <w:sz w:val="21"/>
                <w:szCs w:val="21"/>
              </w:rPr>
              <w:t>的通知》(厅字〔2019〕39号)</w:t>
            </w:r>
            <w:r>
              <w:rPr>
                <w:spacing w:val="10"/>
                <w:sz w:val="21"/>
                <w:szCs w:val="21"/>
              </w:rPr>
              <w:t xml:space="preserve"> </w:t>
            </w:r>
            <w:r>
              <w:rPr>
                <w:spacing w:val="-1"/>
                <w:sz w:val="21"/>
                <w:szCs w:val="21"/>
              </w:rPr>
              <w:t>等进行管理。</w:t>
            </w:r>
          </w:p>
        </w:tc>
        <w:tc>
          <w:tcPr>
            <w:tcW w:w="2258" w:type="dxa"/>
            <w:vAlign w:val="top"/>
          </w:tcPr>
          <w:p w14:paraId="718F0374">
            <w:pPr>
              <w:pStyle w:val="6"/>
              <w:spacing w:before="40" w:line="241" w:lineRule="auto"/>
              <w:ind w:left="77" w:right="57"/>
              <w:rPr>
                <w:sz w:val="21"/>
                <w:szCs w:val="21"/>
              </w:rPr>
            </w:pPr>
            <w:r>
              <w:rPr>
                <w:spacing w:val="10"/>
                <w:sz w:val="21"/>
                <w:szCs w:val="21"/>
              </w:rPr>
              <w:t>715</w:t>
            </w:r>
            <w:r>
              <w:rPr>
                <w:sz w:val="21"/>
                <w:szCs w:val="21"/>
              </w:rPr>
              <w:t>hm</w:t>
            </w:r>
            <w:r>
              <w:rPr>
                <w:spacing w:val="10"/>
                <w:sz w:val="21"/>
                <w:szCs w:val="21"/>
              </w:rPr>
              <w:t>²,其中林地面积</w:t>
            </w:r>
            <w:r>
              <w:rPr>
                <w:spacing w:val="7"/>
                <w:sz w:val="21"/>
                <w:szCs w:val="21"/>
              </w:rPr>
              <w:t xml:space="preserve"> </w:t>
            </w:r>
            <w:r>
              <w:rPr>
                <w:spacing w:val="8"/>
                <w:sz w:val="21"/>
                <w:szCs w:val="21"/>
              </w:rPr>
              <w:t>51.3563</w:t>
            </w:r>
            <w:r>
              <w:rPr>
                <w:sz w:val="21"/>
                <w:szCs w:val="21"/>
              </w:rPr>
              <w:t>hm</w:t>
            </w:r>
            <w:r>
              <w:rPr>
                <w:spacing w:val="8"/>
                <w:sz w:val="21"/>
                <w:szCs w:val="21"/>
              </w:rPr>
              <w:t xml:space="preserve">²,非林地面 </w:t>
            </w:r>
            <w:r>
              <w:rPr>
                <w:spacing w:val="13"/>
                <w:sz w:val="21"/>
                <w:szCs w:val="21"/>
              </w:rPr>
              <w:t>积157.5152</w:t>
            </w:r>
            <w:r>
              <w:rPr>
                <w:sz w:val="21"/>
                <w:szCs w:val="21"/>
              </w:rPr>
              <w:t>hm</w:t>
            </w:r>
            <w:r>
              <w:rPr>
                <w:spacing w:val="13"/>
                <w:sz w:val="21"/>
                <w:szCs w:val="21"/>
              </w:rPr>
              <w:t>²,使用</w:t>
            </w:r>
            <w:r>
              <w:rPr>
                <w:spacing w:val="5"/>
                <w:sz w:val="21"/>
                <w:szCs w:val="21"/>
              </w:rPr>
              <w:t xml:space="preserve"> </w:t>
            </w:r>
            <w:r>
              <w:rPr>
                <w:spacing w:val="10"/>
                <w:sz w:val="21"/>
                <w:szCs w:val="21"/>
              </w:rPr>
              <w:t>林地性质为永久性使</w:t>
            </w:r>
            <w:r>
              <w:rPr>
                <w:sz w:val="21"/>
                <w:szCs w:val="21"/>
              </w:rPr>
              <w:t xml:space="preserve">  </w:t>
            </w:r>
            <w:r>
              <w:rPr>
                <w:spacing w:val="8"/>
                <w:sz w:val="21"/>
                <w:szCs w:val="21"/>
              </w:rPr>
              <w:t>用林地面积1.4147</w:t>
            </w:r>
            <w:r>
              <w:rPr>
                <w:sz w:val="21"/>
                <w:szCs w:val="21"/>
              </w:rPr>
              <w:t>hm</w:t>
            </w:r>
          </w:p>
          <w:p w14:paraId="16F08CA7">
            <w:pPr>
              <w:pStyle w:val="6"/>
              <w:spacing w:before="5" w:line="238" w:lineRule="auto"/>
              <w:ind w:left="17" w:right="10" w:firstLine="160"/>
              <w:rPr>
                <w:sz w:val="21"/>
                <w:szCs w:val="21"/>
              </w:rPr>
            </w:pPr>
            <w:r>
              <w:rPr>
                <w:spacing w:val="-2"/>
                <w:sz w:val="21"/>
                <w:szCs w:val="21"/>
              </w:rPr>
              <w:t>2,临时性使用林地面</w:t>
            </w:r>
            <w:r>
              <w:rPr>
                <w:spacing w:val="4"/>
                <w:sz w:val="21"/>
                <w:szCs w:val="21"/>
              </w:rPr>
              <w:t xml:space="preserve">  </w:t>
            </w:r>
            <w:r>
              <w:rPr>
                <w:spacing w:val="9"/>
                <w:sz w:val="21"/>
                <w:szCs w:val="21"/>
              </w:rPr>
              <w:t>积49.9416</w:t>
            </w:r>
            <w:r>
              <w:rPr>
                <w:sz w:val="21"/>
                <w:szCs w:val="21"/>
              </w:rPr>
              <w:t>hm</w:t>
            </w:r>
            <w:r>
              <w:rPr>
                <w:spacing w:val="9"/>
                <w:sz w:val="21"/>
                <w:szCs w:val="21"/>
              </w:rPr>
              <w:t>²。项目为</w:t>
            </w:r>
            <w:r>
              <w:rPr>
                <w:spacing w:val="2"/>
                <w:sz w:val="21"/>
                <w:szCs w:val="21"/>
              </w:rPr>
              <w:t xml:space="preserve"> </w:t>
            </w:r>
            <w:r>
              <w:rPr>
                <w:spacing w:val="5"/>
                <w:sz w:val="21"/>
                <w:szCs w:val="21"/>
              </w:rPr>
              <w:t>光伏发电项目，项目建</w:t>
            </w:r>
            <w:r>
              <w:rPr>
                <w:sz w:val="21"/>
                <w:szCs w:val="21"/>
              </w:rPr>
              <w:t xml:space="preserve"> </w:t>
            </w:r>
            <w:r>
              <w:rPr>
                <w:spacing w:val="18"/>
                <w:sz w:val="21"/>
                <w:szCs w:val="21"/>
              </w:rPr>
              <w:t>设不会对区域的动植</w:t>
            </w:r>
            <w:r>
              <w:rPr>
                <w:spacing w:val="3"/>
                <w:sz w:val="21"/>
                <w:szCs w:val="21"/>
              </w:rPr>
              <w:t xml:space="preserve">  </w:t>
            </w:r>
            <w:r>
              <w:rPr>
                <w:spacing w:val="16"/>
                <w:sz w:val="21"/>
                <w:szCs w:val="21"/>
              </w:rPr>
              <w:t>物资源和物种多样性</w:t>
            </w:r>
            <w:r>
              <w:rPr>
                <w:spacing w:val="3"/>
                <w:sz w:val="21"/>
                <w:szCs w:val="21"/>
              </w:rPr>
              <w:t xml:space="preserve">  </w:t>
            </w:r>
            <w:r>
              <w:rPr>
                <w:spacing w:val="10"/>
                <w:sz w:val="21"/>
                <w:szCs w:val="21"/>
              </w:rPr>
              <w:t>产生明显的不良影响，</w:t>
            </w:r>
            <w:r>
              <w:rPr>
                <w:spacing w:val="3"/>
                <w:sz w:val="21"/>
                <w:szCs w:val="21"/>
              </w:rPr>
              <w:t xml:space="preserve"> </w:t>
            </w:r>
            <w:r>
              <w:rPr>
                <w:spacing w:val="19"/>
                <w:sz w:val="21"/>
                <w:szCs w:val="21"/>
              </w:rPr>
              <w:t>不会破坏自然生态系</w:t>
            </w:r>
            <w:r>
              <w:rPr>
                <w:spacing w:val="3"/>
                <w:sz w:val="21"/>
                <w:szCs w:val="21"/>
              </w:rPr>
              <w:t xml:space="preserve">  </w:t>
            </w:r>
            <w:r>
              <w:rPr>
                <w:spacing w:val="21"/>
                <w:sz w:val="21"/>
                <w:szCs w:val="21"/>
              </w:rPr>
              <w:t>统稳定。</w:t>
            </w:r>
          </w:p>
          <w:p w14:paraId="0DD5C8FC">
            <w:pPr>
              <w:pStyle w:val="6"/>
              <w:spacing w:before="21" w:line="225" w:lineRule="auto"/>
              <w:ind w:left="97" w:right="136" w:firstLine="30"/>
              <w:rPr>
                <w:sz w:val="21"/>
                <w:szCs w:val="21"/>
              </w:rPr>
            </w:pPr>
            <w:r>
              <w:rPr>
                <w:spacing w:val="-2"/>
                <w:sz w:val="21"/>
                <w:szCs w:val="21"/>
              </w:rPr>
              <w:t>2、项目不涉及自然保</w:t>
            </w:r>
            <w:r>
              <w:rPr>
                <w:spacing w:val="8"/>
                <w:sz w:val="21"/>
                <w:szCs w:val="21"/>
              </w:rPr>
              <w:t xml:space="preserve"> </w:t>
            </w:r>
            <w:r>
              <w:rPr>
                <w:spacing w:val="7"/>
                <w:sz w:val="21"/>
                <w:szCs w:val="21"/>
              </w:rPr>
              <w:t xml:space="preserve">护地，不涉及重要湿 </w:t>
            </w:r>
            <w:r>
              <w:rPr>
                <w:spacing w:val="-2"/>
                <w:sz w:val="21"/>
                <w:szCs w:val="21"/>
              </w:rPr>
              <w:t>地。</w:t>
            </w:r>
          </w:p>
        </w:tc>
        <w:tc>
          <w:tcPr>
            <w:tcW w:w="834" w:type="dxa"/>
            <w:gridSpan w:val="2"/>
            <w:vAlign w:val="top"/>
          </w:tcPr>
          <w:p w14:paraId="4BC69FC1">
            <w:pPr>
              <w:rPr>
                <w:rFonts w:ascii="Arial"/>
                <w:sz w:val="21"/>
              </w:rPr>
            </w:pPr>
          </w:p>
        </w:tc>
      </w:tr>
      <w:tr w14:paraId="4A459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583" w:type="dxa"/>
            <w:vMerge w:val="continue"/>
            <w:tcBorders>
              <w:top w:val="nil"/>
              <w:bottom w:val="nil"/>
            </w:tcBorders>
            <w:vAlign w:val="top"/>
          </w:tcPr>
          <w:p w14:paraId="5EEE56C1">
            <w:pPr>
              <w:rPr>
                <w:rFonts w:ascii="Arial"/>
                <w:sz w:val="21"/>
              </w:rPr>
            </w:pPr>
          </w:p>
        </w:tc>
        <w:tc>
          <w:tcPr>
            <w:tcW w:w="7247" w:type="dxa"/>
            <w:gridSpan w:val="7"/>
            <w:vAlign w:val="top"/>
          </w:tcPr>
          <w:p w14:paraId="7872C4B9">
            <w:pPr>
              <w:spacing w:line="287" w:lineRule="auto"/>
              <w:rPr>
                <w:rFonts w:ascii="Arial"/>
                <w:sz w:val="21"/>
              </w:rPr>
            </w:pPr>
          </w:p>
          <w:p w14:paraId="43441ACF">
            <w:pPr>
              <w:pStyle w:val="6"/>
              <w:spacing w:before="68" w:line="219" w:lineRule="auto"/>
              <w:ind w:left="65"/>
              <w:rPr>
                <w:sz w:val="21"/>
                <w:szCs w:val="21"/>
              </w:rPr>
            </w:pPr>
            <w:r>
              <w:rPr>
                <w:b/>
                <w:bCs/>
                <w:spacing w:val="-3"/>
                <w:sz w:val="21"/>
                <w:szCs w:val="21"/>
              </w:rPr>
              <w:t>表1-5本项目与曲靖市一般管控单元生态环境准入清单符合性分析</w:t>
            </w:r>
          </w:p>
        </w:tc>
      </w:tr>
      <w:tr w14:paraId="1D4E4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583" w:type="dxa"/>
            <w:vMerge w:val="continue"/>
            <w:tcBorders>
              <w:top w:val="nil"/>
              <w:bottom w:val="nil"/>
            </w:tcBorders>
            <w:vAlign w:val="top"/>
          </w:tcPr>
          <w:p w14:paraId="011CBEED">
            <w:pPr>
              <w:rPr>
                <w:rFonts w:ascii="Arial"/>
                <w:sz w:val="21"/>
              </w:rPr>
            </w:pPr>
          </w:p>
        </w:tc>
        <w:tc>
          <w:tcPr>
            <w:tcW w:w="459" w:type="dxa"/>
            <w:textDirection w:val="tbRlV"/>
            <w:vAlign w:val="top"/>
          </w:tcPr>
          <w:p w14:paraId="19EFC72B">
            <w:pPr>
              <w:pStyle w:val="6"/>
              <w:spacing w:before="149" w:line="195" w:lineRule="auto"/>
              <w:ind w:left="192"/>
              <w:rPr>
                <w:sz w:val="21"/>
                <w:szCs w:val="21"/>
              </w:rPr>
            </w:pPr>
            <w:r>
              <w:rPr>
                <w:sz w:val="21"/>
                <w:szCs w:val="21"/>
              </w:rPr>
              <w:t>项目</w:t>
            </w:r>
          </w:p>
        </w:tc>
        <w:tc>
          <w:tcPr>
            <w:tcW w:w="3247" w:type="dxa"/>
            <w:gridSpan w:val="2"/>
            <w:vAlign w:val="top"/>
          </w:tcPr>
          <w:p w14:paraId="5F3E2A4A">
            <w:pPr>
              <w:spacing w:line="252" w:lineRule="auto"/>
              <w:rPr>
                <w:rFonts w:ascii="Arial"/>
                <w:sz w:val="21"/>
              </w:rPr>
            </w:pPr>
          </w:p>
          <w:p w14:paraId="4F200204">
            <w:pPr>
              <w:pStyle w:val="6"/>
              <w:spacing w:before="69" w:line="219" w:lineRule="auto"/>
              <w:ind w:left="1192"/>
              <w:rPr>
                <w:sz w:val="21"/>
                <w:szCs w:val="21"/>
              </w:rPr>
            </w:pPr>
            <w:r>
              <w:rPr>
                <w:spacing w:val="2"/>
                <w:sz w:val="21"/>
                <w:szCs w:val="21"/>
              </w:rPr>
              <w:t>管控要求</w:t>
            </w:r>
          </w:p>
        </w:tc>
        <w:tc>
          <w:tcPr>
            <w:tcW w:w="3057" w:type="dxa"/>
            <w:gridSpan w:val="3"/>
            <w:vAlign w:val="top"/>
          </w:tcPr>
          <w:p w14:paraId="4C98045E">
            <w:pPr>
              <w:spacing w:line="253" w:lineRule="auto"/>
              <w:rPr>
                <w:rFonts w:ascii="Arial"/>
                <w:sz w:val="21"/>
              </w:rPr>
            </w:pPr>
          </w:p>
          <w:p w14:paraId="2F80E3E7">
            <w:pPr>
              <w:pStyle w:val="6"/>
              <w:spacing w:before="68" w:line="220" w:lineRule="auto"/>
              <w:ind w:left="1106"/>
              <w:rPr>
                <w:sz w:val="21"/>
                <w:szCs w:val="21"/>
              </w:rPr>
            </w:pPr>
            <w:r>
              <w:rPr>
                <w:spacing w:val="2"/>
                <w:sz w:val="21"/>
                <w:szCs w:val="21"/>
              </w:rPr>
              <w:t>项目情况</w:t>
            </w:r>
          </w:p>
        </w:tc>
        <w:tc>
          <w:tcPr>
            <w:tcW w:w="484" w:type="dxa"/>
            <w:textDirection w:val="tbRlV"/>
            <w:vAlign w:val="top"/>
          </w:tcPr>
          <w:p w14:paraId="7DFA8299">
            <w:pPr>
              <w:pStyle w:val="6"/>
              <w:spacing w:before="133" w:line="200" w:lineRule="auto"/>
              <w:ind w:left="3"/>
              <w:rPr>
                <w:sz w:val="21"/>
                <w:szCs w:val="21"/>
              </w:rPr>
            </w:pPr>
            <w:r>
              <w:rPr>
                <w:sz w:val="21"/>
                <w:szCs w:val="21"/>
              </w:rPr>
              <w:t>符</w:t>
            </w:r>
            <w:r>
              <w:rPr>
                <w:spacing w:val="-13"/>
                <w:sz w:val="21"/>
                <w:szCs w:val="21"/>
              </w:rPr>
              <w:t xml:space="preserve"> </w:t>
            </w:r>
            <w:r>
              <w:rPr>
                <w:sz w:val="21"/>
                <w:szCs w:val="21"/>
              </w:rPr>
              <w:t>合</w:t>
            </w:r>
            <w:r>
              <w:rPr>
                <w:spacing w:val="-13"/>
                <w:sz w:val="21"/>
                <w:szCs w:val="21"/>
              </w:rPr>
              <w:t xml:space="preserve"> </w:t>
            </w:r>
            <w:r>
              <w:rPr>
                <w:sz w:val="21"/>
                <w:szCs w:val="21"/>
              </w:rPr>
              <w:t>性</w:t>
            </w:r>
          </w:p>
        </w:tc>
      </w:tr>
      <w:tr w14:paraId="20A79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8" w:hRule="atLeast"/>
        </w:trPr>
        <w:tc>
          <w:tcPr>
            <w:tcW w:w="1583" w:type="dxa"/>
            <w:vMerge w:val="continue"/>
            <w:tcBorders>
              <w:top w:val="nil"/>
              <w:bottom w:val="nil"/>
            </w:tcBorders>
            <w:vAlign w:val="top"/>
          </w:tcPr>
          <w:p w14:paraId="1224624B">
            <w:pPr>
              <w:rPr>
                <w:rFonts w:ascii="Arial"/>
                <w:sz w:val="21"/>
              </w:rPr>
            </w:pPr>
          </w:p>
        </w:tc>
        <w:tc>
          <w:tcPr>
            <w:tcW w:w="459" w:type="dxa"/>
            <w:textDirection w:val="tbRlV"/>
            <w:vAlign w:val="top"/>
          </w:tcPr>
          <w:p w14:paraId="19D35691">
            <w:pPr>
              <w:pStyle w:val="6"/>
              <w:spacing w:before="147" w:line="198" w:lineRule="auto"/>
              <w:ind w:left="422"/>
              <w:rPr>
                <w:sz w:val="21"/>
                <w:szCs w:val="21"/>
              </w:rPr>
            </w:pPr>
            <w:r>
              <w:rPr>
                <w:color w:val="303040"/>
                <w:spacing w:val="-1"/>
                <w:sz w:val="21"/>
                <w:szCs w:val="21"/>
              </w:rPr>
              <w:t>空</w:t>
            </w:r>
            <w:r>
              <w:rPr>
                <w:color w:val="303040"/>
                <w:spacing w:val="-29"/>
                <w:sz w:val="21"/>
                <w:szCs w:val="21"/>
              </w:rPr>
              <w:t xml:space="preserve"> </w:t>
            </w:r>
            <w:r>
              <w:rPr>
                <w:color w:val="303040"/>
                <w:spacing w:val="-1"/>
                <w:sz w:val="21"/>
                <w:szCs w:val="21"/>
              </w:rPr>
              <w:t>间</w:t>
            </w:r>
            <w:r>
              <w:rPr>
                <w:color w:val="303040"/>
                <w:spacing w:val="-34"/>
                <w:sz w:val="21"/>
                <w:szCs w:val="21"/>
              </w:rPr>
              <w:t xml:space="preserve"> </w:t>
            </w:r>
            <w:r>
              <w:rPr>
                <w:color w:val="303040"/>
                <w:spacing w:val="-1"/>
                <w:sz w:val="21"/>
                <w:szCs w:val="21"/>
              </w:rPr>
              <w:t>布</w:t>
            </w:r>
            <w:r>
              <w:rPr>
                <w:color w:val="303040"/>
                <w:spacing w:val="-34"/>
                <w:sz w:val="21"/>
                <w:szCs w:val="21"/>
              </w:rPr>
              <w:t xml:space="preserve"> </w:t>
            </w:r>
            <w:r>
              <w:rPr>
                <w:color w:val="303040"/>
                <w:spacing w:val="-1"/>
                <w:sz w:val="21"/>
                <w:szCs w:val="21"/>
              </w:rPr>
              <w:t>局</w:t>
            </w:r>
            <w:r>
              <w:rPr>
                <w:color w:val="303040"/>
                <w:spacing w:val="-33"/>
                <w:sz w:val="21"/>
                <w:szCs w:val="21"/>
              </w:rPr>
              <w:t xml:space="preserve"> </w:t>
            </w:r>
            <w:r>
              <w:rPr>
                <w:color w:val="303040"/>
                <w:spacing w:val="-1"/>
                <w:sz w:val="21"/>
                <w:szCs w:val="21"/>
              </w:rPr>
              <w:t>约</w:t>
            </w:r>
            <w:r>
              <w:rPr>
                <w:color w:val="303040"/>
                <w:spacing w:val="-34"/>
                <w:sz w:val="21"/>
                <w:szCs w:val="21"/>
              </w:rPr>
              <w:t xml:space="preserve"> </w:t>
            </w:r>
            <w:r>
              <w:rPr>
                <w:color w:val="303040"/>
                <w:spacing w:val="-1"/>
                <w:sz w:val="21"/>
                <w:szCs w:val="21"/>
              </w:rPr>
              <w:t>束</w:t>
            </w:r>
          </w:p>
        </w:tc>
        <w:tc>
          <w:tcPr>
            <w:tcW w:w="3247" w:type="dxa"/>
            <w:gridSpan w:val="2"/>
            <w:vAlign w:val="top"/>
          </w:tcPr>
          <w:p w14:paraId="379A6BC9">
            <w:pPr>
              <w:pStyle w:val="6"/>
              <w:spacing w:before="53" w:line="228" w:lineRule="auto"/>
              <w:ind w:firstLine="104"/>
              <w:rPr>
                <w:sz w:val="21"/>
                <w:szCs w:val="21"/>
              </w:rPr>
            </w:pPr>
            <w:r>
              <w:rPr>
                <w:spacing w:val="-2"/>
                <w:sz w:val="21"/>
                <w:szCs w:val="21"/>
              </w:rPr>
              <w:t>1.加强耕地和永久基本农田保护，</w:t>
            </w:r>
            <w:r>
              <w:rPr>
                <w:spacing w:val="11"/>
                <w:sz w:val="21"/>
                <w:szCs w:val="21"/>
              </w:rPr>
              <w:t xml:space="preserve"> </w:t>
            </w:r>
            <w:r>
              <w:rPr>
                <w:spacing w:val="-8"/>
                <w:sz w:val="21"/>
                <w:szCs w:val="21"/>
              </w:rPr>
              <w:t>坚决制止耕地“非农化”、防止耕地</w:t>
            </w:r>
            <w:r>
              <w:rPr>
                <w:spacing w:val="4"/>
                <w:sz w:val="21"/>
                <w:szCs w:val="21"/>
              </w:rPr>
              <w:t xml:space="preserve"> </w:t>
            </w:r>
            <w:r>
              <w:rPr>
                <w:spacing w:val="15"/>
                <w:sz w:val="21"/>
                <w:szCs w:val="21"/>
              </w:rPr>
              <w:t>“非粮化”。</w:t>
            </w:r>
          </w:p>
          <w:p w14:paraId="28838144">
            <w:pPr>
              <w:pStyle w:val="6"/>
              <w:spacing w:before="40" w:line="237" w:lineRule="auto"/>
              <w:ind w:left="112" w:right="140" w:firstLine="30"/>
              <w:rPr>
                <w:sz w:val="21"/>
                <w:szCs w:val="21"/>
              </w:rPr>
            </w:pPr>
            <w:r>
              <w:rPr>
                <w:sz w:val="21"/>
                <w:szCs w:val="21"/>
              </w:rPr>
              <w:t>2.禁止新建、改扩建中小水电项</w:t>
            </w:r>
            <w:r>
              <w:rPr>
                <w:spacing w:val="12"/>
                <w:sz w:val="21"/>
                <w:szCs w:val="21"/>
              </w:rPr>
              <w:t xml:space="preserve"> </w:t>
            </w:r>
            <w:r>
              <w:rPr>
                <w:spacing w:val="2"/>
                <w:sz w:val="21"/>
                <w:szCs w:val="21"/>
              </w:rPr>
              <w:t>目，现有中小水电站应按照环评</w:t>
            </w:r>
            <w:r>
              <w:rPr>
                <w:spacing w:val="9"/>
                <w:sz w:val="21"/>
                <w:szCs w:val="21"/>
              </w:rPr>
              <w:t xml:space="preserve"> </w:t>
            </w:r>
            <w:r>
              <w:rPr>
                <w:spacing w:val="6"/>
                <w:sz w:val="21"/>
                <w:szCs w:val="21"/>
              </w:rPr>
              <w:t>批复(环评批复未明确生态流量</w:t>
            </w:r>
            <w:r>
              <w:rPr>
                <w:spacing w:val="8"/>
                <w:sz w:val="21"/>
                <w:szCs w:val="21"/>
              </w:rPr>
              <w:t xml:space="preserve"> </w:t>
            </w:r>
            <w:r>
              <w:rPr>
                <w:sz w:val="21"/>
                <w:szCs w:val="21"/>
              </w:rPr>
              <w:t>的根据来水量科学确定生态流</w:t>
            </w:r>
          </w:p>
          <w:p w14:paraId="069BAA82">
            <w:pPr>
              <w:pStyle w:val="6"/>
              <w:spacing w:line="223" w:lineRule="auto"/>
              <w:ind w:left="93" w:right="402" w:firstLine="19"/>
              <w:rPr>
                <w:sz w:val="21"/>
                <w:szCs w:val="21"/>
              </w:rPr>
            </w:pPr>
            <w:r>
              <w:rPr>
                <w:spacing w:val="-1"/>
                <w:sz w:val="21"/>
                <w:szCs w:val="21"/>
              </w:rPr>
              <w:t>量),确保连续稳定下泄生态流</w:t>
            </w:r>
            <w:r>
              <w:rPr>
                <w:spacing w:val="4"/>
                <w:sz w:val="21"/>
                <w:szCs w:val="21"/>
              </w:rPr>
              <w:t xml:space="preserve"> </w:t>
            </w:r>
            <w:r>
              <w:rPr>
                <w:spacing w:val="-2"/>
                <w:sz w:val="21"/>
                <w:szCs w:val="21"/>
              </w:rPr>
              <w:t>量。</w:t>
            </w:r>
          </w:p>
        </w:tc>
        <w:tc>
          <w:tcPr>
            <w:tcW w:w="3057" w:type="dxa"/>
            <w:gridSpan w:val="3"/>
            <w:vAlign w:val="top"/>
          </w:tcPr>
          <w:p w14:paraId="0868E994">
            <w:pPr>
              <w:spacing w:line="401" w:lineRule="auto"/>
              <w:rPr>
                <w:rFonts w:ascii="Arial"/>
                <w:sz w:val="21"/>
              </w:rPr>
            </w:pPr>
          </w:p>
          <w:p w14:paraId="629330D6">
            <w:pPr>
              <w:pStyle w:val="6"/>
              <w:spacing w:before="68" w:line="235" w:lineRule="auto"/>
              <w:ind w:left="16" w:firstLine="89"/>
              <w:rPr>
                <w:sz w:val="21"/>
                <w:szCs w:val="21"/>
              </w:rPr>
            </w:pPr>
            <w:r>
              <w:rPr>
                <w:spacing w:val="6"/>
                <w:sz w:val="21"/>
                <w:szCs w:val="21"/>
              </w:rPr>
              <w:t>1、项目占地类型为其它草地、</w:t>
            </w:r>
            <w:r>
              <w:rPr>
                <w:spacing w:val="9"/>
                <w:sz w:val="21"/>
                <w:szCs w:val="21"/>
              </w:rPr>
              <w:t xml:space="preserve"> </w:t>
            </w:r>
            <w:r>
              <w:rPr>
                <w:spacing w:val="-1"/>
                <w:sz w:val="21"/>
                <w:szCs w:val="21"/>
              </w:rPr>
              <w:t>农村道路、裸土地、乔木林地(人</w:t>
            </w:r>
            <w:r>
              <w:rPr>
                <w:sz w:val="21"/>
                <w:szCs w:val="21"/>
              </w:rPr>
              <w:t xml:space="preserve"> </w:t>
            </w:r>
            <w:r>
              <w:rPr>
                <w:spacing w:val="5"/>
                <w:sz w:val="21"/>
                <w:szCs w:val="21"/>
              </w:rPr>
              <w:t>工乔木林地)、裸岩石砾地，不</w:t>
            </w:r>
            <w:r>
              <w:rPr>
                <w:spacing w:val="1"/>
                <w:sz w:val="21"/>
                <w:szCs w:val="21"/>
              </w:rPr>
              <w:t xml:space="preserve">  </w:t>
            </w:r>
            <w:r>
              <w:rPr>
                <w:spacing w:val="5"/>
                <w:sz w:val="21"/>
                <w:szCs w:val="21"/>
              </w:rPr>
              <w:t>涉及占用耕地、永久基本农田。</w:t>
            </w:r>
          </w:p>
          <w:p w14:paraId="2B8D5B9B">
            <w:pPr>
              <w:pStyle w:val="6"/>
              <w:spacing w:before="1" w:line="233" w:lineRule="auto"/>
              <w:ind w:left="106" w:right="116"/>
              <w:rPr>
                <w:sz w:val="21"/>
                <w:szCs w:val="21"/>
              </w:rPr>
            </w:pPr>
            <w:r>
              <w:rPr>
                <w:spacing w:val="-1"/>
                <w:sz w:val="21"/>
                <w:szCs w:val="21"/>
              </w:rPr>
              <w:t>2、本项目为几沃梁子光伏电站</w:t>
            </w:r>
            <w:r>
              <w:rPr>
                <w:spacing w:val="2"/>
                <w:sz w:val="21"/>
                <w:szCs w:val="21"/>
              </w:rPr>
              <w:t xml:space="preserve"> </w:t>
            </w:r>
            <w:r>
              <w:rPr>
                <w:spacing w:val="-1"/>
                <w:sz w:val="21"/>
                <w:szCs w:val="21"/>
              </w:rPr>
              <w:t>项目，不属于中小水电项目。</w:t>
            </w:r>
          </w:p>
        </w:tc>
        <w:tc>
          <w:tcPr>
            <w:tcW w:w="484" w:type="dxa"/>
            <w:textDirection w:val="tbRlV"/>
            <w:vAlign w:val="top"/>
          </w:tcPr>
          <w:p w14:paraId="4B54C240">
            <w:pPr>
              <w:pStyle w:val="6"/>
              <w:spacing w:before="133" w:line="200" w:lineRule="auto"/>
              <w:ind w:left="1014"/>
              <w:rPr>
                <w:sz w:val="21"/>
                <w:szCs w:val="21"/>
              </w:rPr>
            </w:pPr>
            <w:r>
              <w:rPr>
                <w:sz w:val="21"/>
                <w:szCs w:val="21"/>
              </w:rPr>
              <w:t>符合</w:t>
            </w:r>
          </w:p>
        </w:tc>
      </w:tr>
      <w:tr w14:paraId="36A05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1583" w:type="dxa"/>
            <w:vMerge w:val="continue"/>
            <w:tcBorders>
              <w:top w:val="nil"/>
              <w:bottom w:val="nil"/>
            </w:tcBorders>
            <w:vAlign w:val="top"/>
          </w:tcPr>
          <w:p w14:paraId="630DB9CB">
            <w:pPr>
              <w:rPr>
                <w:rFonts w:ascii="Arial"/>
                <w:sz w:val="21"/>
              </w:rPr>
            </w:pPr>
          </w:p>
        </w:tc>
        <w:tc>
          <w:tcPr>
            <w:tcW w:w="459" w:type="dxa"/>
            <w:textDirection w:val="tbRlV"/>
            <w:vAlign w:val="top"/>
          </w:tcPr>
          <w:p w14:paraId="6D87C26E">
            <w:pPr>
              <w:pStyle w:val="6"/>
              <w:spacing w:before="134" w:line="202" w:lineRule="auto"/>
              <w:rPr>
                <w:sz w:val="21"/>
                <w:szCs w:val="21"/>
              </w:rPr>
            </w:pPr>
            <w:r>
              <w:rPr>
                <w:spacing w:val="-1"/>
                <w:sz w:val="21"/>
                <w:szCs w:val="21"/>
              </w:rPr>
              <w:t>污</w:t>
            </w:r>
            <w:r>
              <w:rPr>
                <w:spacing w:val="-34"/>
                <w:sz w:val="21"/>
                <w:szCs w:val="21"/>
              </w:rPr>
              <w:t xml:space="preserve"> </w:t>
            </w:r>
            <w:r>
              <w:rPr>
                <w:spacing w:val="-1"/>
                <w:sz w:val="21"/>
                <w:szCs w:val="21"/>
              </w:rPr>
              <w:t>染</w:t>
            </w:r>
            <w:r>
              <w:rPr>
                <w:spacing w:val="-34"/>
                <w:sz w:val="21"/>
                <w:szCs w:val="21"/>
              </w:rPr>
              <w:t xml:space="preserve"> </w:t>
            </w:r>
            <w:r>
              <w:rPr>
                <w:spacing w:val="-1"/>
                <w:sz w:val="21"/>
                <w:szCs w:val="21"/>
              </w:rPr>
              <w:t>物</w:t>
            </w:r>
            <w:r>
              <w:rPr>
                <w:spacing w:val="-33"/>
                <w:sz w:val="21"/>
                <w:szCs w:val="21"/>
              </w:rPr>
              <w:t xml:space="preserve"> </w:t>
            </w:r>
            <w:r>
              <w:rPr>
                <w:spacing w:val="-1"/>
                <w:sz w:val="21"/>
                <w:szCs w:val="21"/>
              </w:rPr>
              <w:t>排</w:t>
            </w:r>
            <w:r>
              <w:rPr>
                <w:spacing w:val="-34"/>
                <w:sz w:val="21"/>
                <w:szCs w:val="21"/>
              </w:rPr>
              <w:t xml:space="preserve"> </w:t>
            </w:r>
            <w:r>
              <w:rPr>
                <w:spacing w:val="-1"/>
                <w:sz w:val="21"/>
                <w:szCs w:val="21"/>
              </w:rPr>
              <w:t>放</w:t>
            </w:r>
            <w:r>
              <w:rPr>
                <w:spacing w:val="-33"/>
                <w:sz w:val="21"/>
                <w:szCs w:val="21"/>
              </w:rPr>
              <w:t xml:space="preserve"> </w:t>
            </w:r>
            <w:r>
              <w:rPr>
                <w:spacing w:val="-1"/>
                <w:sz w:val="21"/>
                <w:szCs w:val="21"/>
              </w:rPr>
              <w:t>管</w:t>
            </w:r>
            <w:r>
              <w:rPr>
                <w:spacing w:val="-34"/>
                <w:sz w:val="21"/>
                <w:szCs w:val="21"/>
              </w:rPr>
              <w:t xml:space="preserve"> </w:t>
            </w:r>
            <w:r>
              <w:rPr>
                <w:spacing w:val="-1"/>
                <w:sz w:val="21"/>
                <w:szCs w:val="21"/>
              </w:rPr>
              <w:t>控</w:t>
            </w:r>
          </w:p>
        </w:tc>
        <w:tc>
          <w:tcPr>
            <w:tcW w:w="3247" w:type="dxa"/>
            <w:gridSpan w:val="2"/>
            <w:vAlign w:val="top"/>
          </w:tcPr>
          <w:p w14:paraId="074C25AF">
            <w:pPr>
              <w:pStyle w:val="6"/>
              <w:spacing w:before="36" w:line="237" w:lineRule="auto"/>
              <w:ind w:left="87" w:right="34" w:hanging="44"/>
              <w:rPr>
                <w:sz w:val="21"/>
                <w:szCs w:val="21"/>
              </w:rPr>
            </w:pPr>
            <w:r>
              <w:rPr>
                <w:sz w:val="21"/>
                <w:szCs w:val="21"/>
              </w:rPr>
              <w:t>1.严禁污水灌溉，灌溉用水应满足</w:t>
            </w:r>
            <w:r>
              <w:rPr>
                <w:spacing w:val="7"/>
                <w:sz w:val="21"/>
                <w:szCs w:val="21"/>
              </w:rPr>
              <w:t xml:space="preserve"> </w:t>
            </w:r>
            <w:r>
              <w:rPr>
                <w:spacing w:val="-1"/>
                <w:sz w:val="21"/>
                <w:szCs w:val="21"/>
              </w:rPr>
              <w:t>《农田灌溉水质标准》。</w:t>
            </w:r>
          </w:p>
          <w:p w14:paraId="7F99C6A0">
            <w:pPr>
              <w:pStyle w:val="6"/>
              <w:spacing w:line="241" w:lineRule="auto"/>
              <w:ind w:left="112" w:right="98" w:hanging="19"/>
              <w:rPr>
                <w:sz w:val="21"/>
                <w:szCs w:val="21"/>
              </w:rPr>
            </w:pPr>
            <w:r>
              <w:rPr>
                <w:spacing w:val="-1"/>
                <w:sz w:val="21"/>
                <w:szCs w:val="21"/>
              </w:rPr>
              <w:t>2..加强农业面源污染治理，严格</w:t>
            </w:r>
            <w:r>
              <w:rPr>
                <w:spacing w:val="4"/>
                <w:sz w:val="21"/>
                <w:szCs w:val="21"/>
              </w:rPr>
              <w:t xml:space="preserve"> </w:t>
            </w:r>
            <w:r>
              <w:rPr>
                <w:spacing w:val="3"/>
                <w:sz w:val="21"/>
                <w:szCs w:val="21"/>
              </w:rPr>
              <w:t>控制化肥农药施用量，合理水产</w:t>
            </w:r>
            <w:r>
              <w:rPr>
                <w:sz w:val="21"/>
                <w:szCs w:val="21"/>
              </w:rPr>
              <w:t xml:space="preserve"> </w:t>
            </w:r>
            <w:r>
              <w:rPr>
                <w:spacing w:val="6"/>
                <w:sz w:val="21"/>
                <w:szCs w:val="21"/>
              </w:rPr>
              <w:t>养殖布局，控制水产养殖污染，</w:t>
            </w:r>
            <w:r>
              <w:rPr>
                <w:sz w:val="21"/>
                <w:szCs w:val="21"/>
              </w:rPr>
              <w:t xml:space="preserve"> </w:t>
            </w:r>
            <w:r>
              <w:rPr>
                <w:spacing w:val="-1"/>
                <w:sz w:val="21"/>
                <w:szCs w:val="21"/>
              </w:rPr>
              <w:t>逐步削减农业面源污染物排放</w:t>
            </w:r>
          </w:p>
          <w:p w14:paraId="2AED833F">
            <w:pPr>
              <w:pStyle w:val="6"/>
              <w:spacing w:line="189" w:lineRule="auto"/>
              <w:ind w:left="103"/>
              <w:rPr>
                <w:sz w:val="21"/>
                <w:szCs w:val="21"/>
              </w:rPr>
            </w:pPr>
            <w:r>
              <w:rPr>
                <w:spacing w:val="-2"/>
                <w:sz w:val="21"/>
                <w:szCs w:val="21"/>
              </w:rPr>
              <w:t>量。</w:t>
            </w:r>
          </w:p>
        </w:tc>
        <w:tc>
          <w:tcPr>
            <w:tcW w:w="3057" w:type="dxa"/>
            <w:gridSpan w:val="3"/>
            <w:vAlign w:val="top"/>
          </w:tcPr>
          <w:p w14:paraId="65B81616">
            <w:pPr>
              <w:pStyle w:val="6"/>
              <w:spacing w:before="32" w:line="236" w:lineRule="auto"/>
              <w:ind w:left="56" w:right="41" w:firstLine="50"/>
              <w:rPr>
                <w:sz w:val="21"/>
                <w:szCs w:val="21"/>
              </w:rPr>
            </w:pPr>
            <w:r>
              <w:rPr>
                <w:sz w:val="21"/>
                <w:szCs w:val="21"/>
              </w:rPr>
              <w:t>1、项目光伏板清洗废水用于板</w:t>
            </w:r>
            <w:r>
              <w:rPr>
                <w:spacing w:val="3"/>
                <w:sz w:val="21"/>
                <w:szCs w:val="21"/>
              </w:rPr>
              <w:t xml:space="preserve"> </w:t>
            </w:r>
            <w:r>
              <w:rPr>
                <w:sz w:val="21"/>
                <w:szCs w:val="21"/>
              </w:rPr>
              <w:t>下植物浇洒；升压站生活污水经</w:t>
            </w:r>
            <w:r>
              <w:rPr>
                <w:spacing w:val="7"/>
                <w:sz w:val="21"/>
                <w:szCs w:val="21"/>
              </w:rPr>
              <w:t xml:space="preserve"> </w:t>
            </w:r>
            <w:r>
              <w:rPr>
                <w:spacing w:val="8"/>
                <w:sz w:val="21"/>
                <w:szCs w:val="21"/>
              </w:rPr>
              <w:t>一体化污水处理站处理达标后</w:t>
            </w:r>
            <w:r>
              <w:rPr>
                <w:spacing w:val="5"/>
                <w:sz w:val="21"/>
                <w:szCs w:val="21"/>
              </w:rPr>
              <w:t xml:space="preserve">  </w:t>
            </w:r>
            <w:r>
              <w:rPr>
                <w:spacing w:val="-1"/>
                <w:sz w:val="21"/>
                <w:szCs w:val="21"/>
              </w:rPr>
              <w:t>全部回用于项目区绿化。项目不</w:t>
            </w:r>
            <w:r>
              <w:rPr>
                <w:spacing w:val="4"/>
                <w:sz w:val="21"/>
                <w:szCs w:val="21"/>
              </w:rPr>
              <w:t xml:space="preserve"> </w:t>
            </w:r>
            <w:r>
              <w:rPr>
                <w:spacing w:val="6"/>
                <w:sz w:val="21"/>
                <w:szCs w:val="21"/>
              </w:rPr>
              <w:t>涉及污水灌溉。</w:t>
            </w:r>
          </w:p>
          <w:p w14:paraId="48D39F9E">
            <w:pPr>
              <w:pStyle w:val="6"/>
              <w:spacing w:before="30" w:line="212" w:lineRule="auto"/>
              <w:ind w:left="96" w:right="56" w:firstLine="59"/>
              <w:rPr>
                <w:sz w:val="21"/>
                <w:szCs w:val="21"/>
              </w:rPr>
            </w:pPr>
            <w:r>
              <w:rPr>
                <w:spacing w:val="-1"/>
                <w:sz w:val="21"/>
                <w:szCs w:val="21"/>
              </w:rPr>
              <w:t>2、项目不涉及农村面源污染，</w:t>
            </w:r>
            <w:r>
              <w:rPr>
                <w:spacing w:val="12"/>
                <w:sz w:val="21"/>
                <w:szCs w:val="21"/>
              </w:rPr>
              <w:t xml:space="preserve"> </w:t>
            </w:r>
            <w:r>
              <w:rPr>
                <w:spacing w:val="-1"/>
                <w:sz w:val="21"/>
                <w:szCs w:val="21"/>
              </w:rPr>
              <w:t>不涉及使用化肥农药。</w:t>
            </w:r>
          </w:p>
        </w:tc>
        <w:tc>
          <w:tcPr>
            <w:tcW w:w="484" w:type="dxa"/>
            <w:textDirection w:val="tbRlV"/>
            <w:vAlign w:val="top"/>
          </w:tcPr>
          <w:p w14:paraId="5A023FCA">
            <w:pPr>
              <w:pStyle w:val="6"/>
              <w:spacing w:before="133" w:line="200" w:lineRule="auto"/>
              <w:ind w:left="726"/>
              <w:rPr>
                <w:sz w:val="21"/>
                <w:szCs w:val="21"/>
              </w:rPr>
            </w:pPr>
            <w:r>
              <w:rPr>
                <w:sz w:val="21"/>
                <w:szCs w:val="21"/>
              </w:rPr>
              <w:t>符合</w:t>
            </w:r>
          </w:p>
        </w:tc>
      </w:tr>
      <w:tr w14:paraId="6A815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9" w:hRule="atLeast"/>
        </w:trPr>
        <w:tc>
          <w:tcPr>
            <w:tcW w:w="1583" w:type="dxa"/>
            <w:vMerge w:val="continue"/>
            <w:tcBorders>
              <w:top w:val="nil"/>
              <w:bottom w:val="nil"/>
            </w:tcBorders>
            <w:vAlign w:val="top"/>
          </w:tcPr>
          <w:p w14:paraId="3C232755">
            <w:pPr>
              <w:rPr>
                <w:rFonts w:ascii="Arial"/>
                <w:sz w:val="21"/>
              </w:rPr>
            </w:pPr>
          </w:p>
        </w:tc>
        <w:tc>
          <w:tcPr>
            <w:tcW w:w="459" w:type="dxa"/>
            <w:textDirection w:val="tbRlV"/>
            <w:vAlign w:val="top"/>
          </w:tcPr>
          <w:p w14:paraId="160CC307">
            <w:pPr>
              <w:pStyle w:val="6"/>
              <w:spacing w:before="135" w:line="202" w:lineRule="auto"/>
              <w:ind w:left="130"/>
              <w:rPr>
                <w:sz w:val="21"/>
                <w:szCs w:val="21"/>
              </w:rPr>
            </w:pPr>
            <w:r>
              <w:rPr>
                <w:sz w:val="21"/>
                <w:szCs w:val="21"/>
              </w:rPr>
              <w:t>环</w:t>
            </w:r>
            <w:r>
              <w:rPr>
                <w:spacing w:val="-33"/>
                <w:sz w:val="21"/>
                <w:szCs w:val="21"/>
              </w:rPr>
              <w:t xml:space="preserve"> </w:t>
            </w:r>
            <w:r>
              <w:rPr>
                <w:sz w:val="21"/>
                <w:szCs w:val="21"/>
              </w:rPr>
              <w:t>境</w:t>
            </w:r>
            <w:r>
              <w:rPr>
                <w:spacing w:val="-33"/>
                <w:sz w:val="21"/>
                <w:szCs w:val="21"/>
              </w:rPr>
              <w:t xml:space="preserve"> </w:t>
            </w:r>
            <w:r>
              <w:rPr>
                <w:sz w:val="21"/>
                <w:szCs w:val="21"/>
              </w:rPr>
              <w:t>风</w:t>
            </w:r>
            <w:r>
              <w:rPr>
                <w:spacing w:val="-33"/>
                <w:sz w:val="21"/>
                <w:szCs w:val="21"/>
              </w:rPr>
              <w:t xml:space="preserve"> </w:t>
            </w:r>
            <w:r>
              <w:rPr>
                <w:sz w:val="21"/>
                <w:szCs w:val="21"/>
              </w:rPr>
              <w:t>险</w:t>
            </w:r>
            <w:r>
              <w:rPr>
                <w:spacing w:val="-32"/>
                <w:sz w:val="21"/>
                <w:szCs w:val="21"/>
              </w:rPr>
              <w:t xml:space="preserve"> </w:t>
            </w:r>
            <w:r>
              <w:rPr>
                <w:sz w:val="21"/>
                <w:szCs w:val="21"/>
              </w:rPr>
              <w:t>防</w:t>
            </w:r>
            <w:r>
              <w:rPr>
                <w:spacing w:val="-32"/>
                <w:sz w:val="21"/>
                <w:szCs w:val="21"/>
              </w:rPr>
              <w:t xml:space="preserve"> </w:t>
            </w:r>
            <w:r>
              <w:rPr>
                <w:sz w:val="21"/>
                <w:szCs w:val="21"/>
              </w:rPr>
              <w:t>控</w:t>
            </w:r>
          </w:p>
        </w:tc>
        <w:tc>
          <w:tcPr>
            <w:tcW w:w="3247" w:type="dxa"/>
            <w:gridSpan w:val="2"/>
            <w:vAlign w:val="top"/>
          </w:tcPr>
          <w:p w14:paraId="4AA749C5">
            <w:pPr>
              <w:pStyle w:val="6"/>
              <w:spacing w:before="57" w:line="229" w:lineRule="auto"/>
              <w:ind w:left="112" w:right="141" w:firstLine="30"/>
              <w:rPr>
                <w:sz w:val="21"/>
                <w:szCs w:val="21"/>
              </w:rPr>
            </w:pPr>
            <w:r>
              <w:rPr>
                <w:sz w:val="21"/>
                <w:szCs w:val="21"/>
              </w:rPr>
              <w:t>1.禁止使用国家规定的禁限用农</w:t>
            </w:r>
            <w:r>
              <w:rPr>
                <w:spacing w:val="11"/>
                <w:sz w:val="21"/>
                <w:szCs w:val="21"/>
              </w:rPr>
              <w:t xml:space="preserve"> </w:t>
            </w:r>
            <w:r>
              <w:rPr>
                <w:spacing w:val="-1"/>
                <w:sz w:val="21"/>
                <w:szCs w:val="21"/>
              </w:rPr>
              <w:t>药名录中的农药。</w:t>
            </w:r>
          </w:p>
          <w:p w14:paraId="548BF08B">
            <w:pPr>
              <w:pStyle w:val="6"/>
              <w:spacing w:before="19" w:line="227" w:lineRule="auto"/>
              <w:ind w:left="112" w:right="140" w:firstLine="30"/>
              <w:rPr>
                <w:sz w:val="21"/>
                <w:szCs w:val="21"/>
              </w:rPr>
            </w:pPr>
            <w:r>
              <w:rPr>
                <w:spacing w:val="-1"/>
                <w:sz w:val="21"/>
                <w:szCs w:val="21"/>
              </w:rPr>
              <w:t>2.加强环境风险防范应急体系建</w:t>
            </w:r>
            <w:r>
              <w:rPr>
                <w:spacing w:val="3"/>
                <w:sz w:val="21"/>
                <w:szCs w:val="21"/>
              </w:rPr>
              <w:t xml:space="preserve"> 设，加强环境应急预案管理，定</w:t>
            </w:r>
            <w:r>
              <w:rPr>
                <w:sz w:val="21"/>
                <w:szCs w:val="21"/>
              </w:rPr>
              <w:t xml:space="preserve"> </w:t>
            </w:r>
            <w:r>
              <w:rPr>
                <w:spacing w:val="1"/>
                <w:sz w:val="21"/>
                <w:szCs w:val="21"/>
              </w:rPr>
              <w:t>期开展应急演练，持续开展环境</w:t>
            </w:r>
            <w:r>
              <w:rPr>
                <w:spacing w:val="4"/>
                <w:sz w:val="21"/>
                <w:szCs w:val="21"/>
              </w:rPr>
              <w:t xml:space="preserve"> </w:t>
            </w:r>
            <w:r>
              <w:rPr>
                <w:spacing w:val="2"/>
                <w:sz w:val="21"/>
                <w:szCs w:val="21"/>
              </w:rPr>
              <w:t>安全隐患排查整治，提升应急监</w:t>
            </w:r>
            <w:r>
              <w:rPr>
                <w:spacing w:val="10"/>
                <w:sz w:val="21"/>
                <w:szCs w:val="21"/>
              </w:rPr>
              <w:t xml:space="preserve"> </w:t>
            </w:r>
            <w:r>
              <w:rPr>
                <w:spacing w:val="-1"/>
                <w:sz w:val="21"/>
                <w:szCs w:val="21"/>
              </w:rPr>
              <w:t>测能力，加强应急物资管理。</w:t>
            </w:r>
          </w:p>
        </w:tc>
        <w:tc>
          <w:tcPr>
            <w:tcW w:w="3057" w:type="dxa"/>
            <w:gridSpan w:val="3"/>
            <w:vAlign w:val="top"/>
          </w:tcPr>
          <w:p w14:paraId="1078CA5F">
            <w:pPr>
              <w:pStyle w:val="6"/>
              <w:spacing w:before="197" w:line="219" w:lineRule="auto"/>
              <w:ind w:left="96"/>
              <w:rPr>
                <w:sz w:val="21"/>
                <w:szCs w:val="21"/>
              </w:rPr>
            </w:pPr>
            <w:r>
              <w:rPr>
                <w:spacing w:val="-1"/>
                <w:sz w:val="21"/>
                <w:szCs w:val="21"/>
              </w:rPr>
              <w:t>1、项目不涉及使用农药。</w:t>
            </w:r>
          </w:p>
          <w:p w14:paraId="2DE94228">
            <w:pPr>
              <w:pStyle w:val="6"/>
              <w:spacing w:before="19" w:line="234" w:lineRule="auto"/>
              <w:ind w:left="56" w:right="34" w:firstLine="50"/>
              <w:rPr>
                <w:sz w:val="21"/>
                <w:szCs w:val="21"/>
              </w:rPr>
            </w:pPr>
            <w:r>
              <w:rPr>
                <w:spacing w:val="-1"/>
                <w:sz w:val="21"/>
                <w:szCs w:val="21"/>
              </w:rPr>
              <w:t>2、本评价要求建设单位采取严</w:t>
            </w:r>
            <w:r>
              <w:rPr>
                <w:spacing w:val="2"/>
                <w:sz w:val="21"/>
                <w:szCs w:val="21"/>
              </w:rPr>
              <w:t xml:space="preserve"> </w:t>
            </w:r>
            <w:r>
              <w:rPr>
                <w:spacing w:val="1"/>
                <w:sz w:val="21"/>
                <w:szCs w:val="21"/>
              </w:rPr>
              <w:t xml:space="preserve">格的风险防范措施，建立有效的 </w:t>
            </w:r>
            <w:r>
              <w:rPr>
                <w:spacing w:val="-1"/>
                <w:sz w:val="21"/>
                <w:szCs w:val="21"/>
              </w:rPr>
              <w:t>应急预案，加强风险管理，防止</w:t>
            </w:r>
            <w:r>
              <w:rPr>
                <w:spacing w:val="4"/>
                <w:sz w:val="21"/>
                <w:szCs w:val="21"/>
              </w:rPr>
              <w:t xml:space="preserve"> </w:t>
            </w:r>
            <w:r>
              <w:rPr>
                <w:spacing w:val="-1"/>
                <w:sz w:val="21"/>
                <w:szCs w:val="21"/>
              </w:rPr>
              <w:t>事故的发生，将事故影响程度减</w:t>
            </w:r>
            <w:r>
              <w:rPr>
                <w:spacing w:val="4"/>
                <w:sz w:val="21"/>
                <w:szCs w:val="21"/>
              </w:rPr>
              <w:t xml:space="preserve"> 少到最低。</w:t>
            </w:r>
          </w:p>
        </w:tc>
        <w:tc>
          <w:tcPr>
            <w:tcW w:w="484" w:type="dxa"/>
            <w:textDirection w:val="tbRlV"/>
            <w:vAlign w:val="top"/>
          </w:tcPr>
          <w:p w14:paraId="1B1974CA">
            <w:pPr>
              <w:pStyle w:val="6"/>
              <w:spacing w:before="133" w:line="200" w:lineRule="auto"/>
              <w:ind w:left="678"/>
              <w:rPr>
                <w:sz w:val="21"/>
                <w:szCs w:val="21"/>
              </w:rPr>
            </w:pPr>
            <w:r>
              <w:rPr>
                <w:sz w:val="21"/>
                <w:szCs w:val="21"/>
              </w:rPr>
              <w:t>符</w:t>
            </w:r>
            <w:r>
              <w:rPr>
                <w:spacing w:val="13"/>
                <w:sz w:val="21"/>
                <w:szCs w:val="21"/>
              </w:rPr>
              <w:t xml:space="preserve"> </w:t>
            </w:r>
            <w:r>
              <w:rPr>
                <w:sz w:val="21"/>
                <w:szCs w:val="21"/>
              </w:rPr>
              <w:t>合</w:t>
            </w:r>
          </w:p>
        </w:tc>
      </w:tr>
      <w:tr w14:paraId="1DB2B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4" w:hRule="atLeast"/>
        </w:trPr>
        <w:tc>
          <w:tcPr>
            <w:tcW w:w="1583" w:type="dxa"/>
            <w:vMerge w:val="continue"/>
            <w:tcBorders>
              <w:top w:val="nil"/>
            </w:tcBorders>
            <w:vAlign w:val="top"/>
          </w:tcPr>
          <w:p w14:paraId="359C3455">
            <w:pPr>
              <w:rPr>
                <w:rFonts w:ascii="Arial"/>
                <w:sz w:val="21"/>
              </w:rPr>
            </w:pPr>
          </w:p>
        </w:tc>
        <w:tc>
          <w:tcPr>
            <w:tcW w:w="459" w:type="dxa"/>
            <w:textDirection w:val="tbRlV"/>
            <w:vAlign w:val="top"/>
          </w:tcPr>
          <w:p w14:paraId="5D8D93F9">
            <w:pPr>
              <w:pStyle w:val="6"/>
              <w:spacing w:before="135" w:line="202" w:lineRule="auto"/>
              <w:ind w:left="29"/>
              <w:rPr>
                <w:sz w:val="21"/>
                <w:szCs w:val="21"/>
              </w:rPr>
            </w:pPr>
            <w:r>
              <w:rPr>
                <w:sz w:val="21"/>
                <w:szCs w:val="21"/>
              </w:rPr>
              <w:t>资</w:t>
            </w:r>
            <w:r>
              <w:rPr>
                <w:spacing w:val="-34"/>
                <w:sz w:val="21"/>
                <w:szCs w:val="21"/>
              </w:rPr>
              <w:t xml:space="preserve"> </w:t>
            </w:r>
            <w:r>
              <w:rPr>
                <w:sz w:val="21"/>
                <w:szCs w:val="21"/>
              </w:rPr>
              <w:t>源</w:t>
            </w:r>
            <w:r>
              <w:rPr>
                <w:spacing w:val="-34"/>
                <w:sz w:val="21"/>
                <w:szCs w:val="21"/>
              </w:rPr>
              <w:t xml:space="preserve"> </w:t>
            </w:r>
            <w:r>
              <w:rPr>
                <w:sz w:val="21"/>
                <w:szCs w:val="21"/>
              </w:rPr>
              <w:t>开</w:t>
            </w:r>
            <w:r>
              <w:rPr>
                <w:spacing w:val="-34"/>
                <w:sz w:val="21"/>
                <w:szCs w:val="21"/>
              </w:rPr>
              <w:t xml:space="preserve"> </w:t>
            </w:r>
            <w:r>
              <w:rPr>
                <w:sz w:val="21"/>
                <w:szCs w:val="21"/>
              </w:rPr>
              <w:t>发</w:t>
            </w:r>
            <w:r>
              <w:rPr>
                <w:spacing w:val="-34"/>
                <w:sz w:val="21"/>
                <w:szCs w:val="21"/>
              </w:rPr>
              <w:t xml:space="preserve"> </w:t>
            </w:r>
            <w:r>
              <w:rPr>
                <w:sz w:val="21"/>
                <w:szCs w:val="21"/>
              </w:rPr>
              <w:t>效</w:t>
            </w:r>
          </w:p>
        </w:tc>
        <w:tc>
          <w:tcPr>
            <w:tcW w:w="3247" w:type="dxa"/>
            <w:gridSpan w:val="2"/>
            <w:vAlign w:val="top"/>
          </w:tcPr>
          <w:p w14:paraId="7C92BE1F">
            <w:pPr>
              <w:pStyle w:val="6"/>
              <w:spacing w:before="59" w:line="225" w:lineRule="auto"/>
              <w:ind w:left="93" w:right="28" w:hanging="50"/>
              <w:rPr>
                <w:sz w:val="21"/>
                <w:szCs w:val="21"/>
              </w:rPr>
            </w:pPr>
            <w:r>
              <w:rPr>
                <w:sz w:val="21"/>
                <w:szCs w:val="21"/>
              </w:rPr>
              <w:t>1.优化能源结构，加强能源清洁利</w:t>
            </w:r>
            <w:r>
              <w:rPr>
                <w:spacing w:val="14"/>
                <w:sz w:val="21"/>
                <w:szCs w:val="21"/>
              </w:rPr>
              <w:t xml:space="preserve"> </w:t>
            </w:r>
            <w:r>
              <w:rPr>
                <w:spacing w:val="-2"/>
                <w:sz w:val="21"/>
                <w:szCs w:val="21"/>
              </w:rPr>
              <w:t>用。</w:t>
            </w:r>
          </w:p>
          <w:p w14:paraId="4F1846CA">
            <w:pPr>
              <w:pStyle w:val="6"/>
              <w:spacing w:before="37" w:line="234" w:lineRule="auto"/>
              <w:ind w:left="93" w:right="28" w:hanging="50"/>
              <w:rPr>
                <w:sz w:val="21"/>
                <w:szCs w:val="21"/>
              </w:rPr>
            </w:pPr>
            <w:r>
              <w:rPr>
                <w:sz w:val="21"/>
                <w:szCs w:val="21"/>
              </w:rPr>
              <w:t>2.提高土地利用效率，节约集约利</w:t>
            </w:r>
            <w:r>
              <w:rPr>
                <w:spacing w:val="14"/>
                <w:sz w:val="21"/>
                <w:szCs w:val="21"/>
              </w:rPr>
              <w:t xml:space="preserve"> </w:t>
            </w:r>
            <w:r>
              <w:rPr>
                <w:spacing w:val="-1"/>
                <w:sz w:val="21"/>
                <w:szCs w:val="21"/>
              </w:rPr>
              <w:t>用土地资源。</w:t>
            </w:r>
          </w:p>
        </w:tc>
        <w:tc>
          <w:tcPr>
            <w:tcW w:w="3057" w:type="dxa"/>
            <w:gridSpan w:val="3"/>
            <w:vAlign w:val="top"/>
          </w:tcPr>
          <w:p w14:paraId="33222E71">
            <w:pPr>
              <w:pStyle w:val="6"/>
              <w:spacing w:before="59" w:line="236" w:lineRule="auto"/>
              <w:ind w:left="56" w:right="40" w:firstLine="99"/>
              <w:rPr>
                <w:sz w:val="21"/>
                <w:szCs w:val="21"/>
              </w:rPr>
            </w:pPr>
            <w:r>
              <w:rPr>
                <w:spacing w:val="-1"/>
                <w:sz w:val="21"/>
                <w:szCs w:val="21"/>
              </w:rPr>
              <w:t>1、项目为几沃梁子光伏电站，</w:t>
            </w:r>
            <w:r>
              <w:rPr>
                <w:spacing w:val="12"/>
                <w:sz w:val="21"/>
                <w:szCs w:val="21"/>
              </w:rPr>
              <w:t xml:space="preserve"> </w:t>
            </w:r>
            <w:r>
              <w:rPr>
                <w:sz w:val="21"/>
                <w:szCs w:val="21"/>
              </w:rPr>
              <w:t>项目能耗主要为光能，为清洁能</w:t>
            </w:r>
            <w:r>
              <w:rPr>
                <w:spacing w:val="9"/>
                <w:sz w:val="21"/>
                <w:szCs w:val="21"/>
              </w:rPr>
              <w:t xml:space="preserve"> </w:t>
            </w:r>
            <w:r>
              <w:rPr>
                <w:spacing w:val="12"/>
                <w:sz w:val="21"/>
                <w:szCs w:val="21"/>
              </w:rPr>
              <w:t>源。</w:t>
            </w:r>
          </w:p>
          <w:p w14:paraId="312715CD">
            <w:pPr>
              <w:pStyle w:val="6"/>
              <w:spacing w:before="24" w:line="222" w:lineRule="auto"/>
              <w:ind w:left="106" w:right="6"/>
              <w:rPr>
                <w:sz w:val="21"/>
                <w:szCs w:val="21"/>
              </w:rPr>
            </w:pPr>
            <w:r>
              <w:rPr>
                <w:spacing w:val="-1"/>
                <w:sz w:val="21"/>
                <w:szCs w:val="21"/>
              </w:rPr>
              <w:t>2、项目永久占地类型主要为其</w:t>
            </w:r>
            <w:r>
              <w:rPr>
                <w:spacing w:val="1"/>
                <w:sz w:val="21"/>
                <w:szCs w:val="21"/>
              </w:rPr>
              <w:t xml:space="preserve">  </w:t>
            </w:r>
            <w:r>
              <w:rPr>
                <w:spacing w:val="-1"/>
                <w:sz w:val="21"/>
                <w:szCs w:val="21"/>
              </w:rPr>
              <w:t>它草地、裸土地、裸岩石砾地，</w:t>
            </w:r>
          </w:p>
        </w:tc>
        <w:tc>
          <w:tcPr>
            <w:tcW w:w="484" w:type="dxa"/>
            <w:textDirection w:val="tbRlV"/>
            <w:vAlign w:val="top"/>
          </w:tcPr>
          <w:p w14:paraId="6BA20052">
            <w:pPr>
              <w:pStyle w:val="6"/>
              <w:spacing w:before="133" w:line="200" w:lineRule="auto"/>
              <w:ind w:left="479"/>
              <w:rPr>
                <w:sz w:val="21"/>
                <w:szCs w:val="21"/>
              </w:rPr>
            </w:pPr>
            <w:r>
              <w:rPr>
                <w:sz w:val="21"/>
                <w:szCs w:val="21"/>
              </w:rPr>
              <w:t>符合</w:t>
            </w:r>
          </w:p>
        </w:tc>
      </w:tr>
    </w:tbl>
    <w:p w14:paraId="61E81834">
      <w:pPr>
        <w:pStyle w:val="2"/>
      </w:pPr>
    </w:p>
    <w:p w14:paraId="7F074F31">
      <w:pPr>
        <w:sectPr>
          <w:footerReference r:id="rId17" w:type="default"/>
          <w:pgSz w:w="11910" w:h="16840"/>
          <w:pgMar w:top="1431" w:right="1574" w:bottom="1253" w:left="1494" w:header="0" w:footer="1091" w:gutter="0"/>
          <w:cols w:space="720" w:num="1"/>
        </w:sectPr>
      </w:pPr>
    </w:p>
    <w:p w14:paraId="3B3F78B5">
      <w:pPr>
        <w:spacing w:line="103" w:lineRule="exact"/>
      </w:pPr>
    </w:p>
    <w:tbl>
      <w:tblPr>
        <w:tblStyle w:val="5"/>
        <w:tblW w:w="88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469"/>
        <w:gridCol w:w="220"/>
        <w:gridCol w:w="2987"/>
        <w:gridCol w:w="2727"/>
        <w:gridCol w:w="330"/>
        <w:gridCol w:w="564"/>
      </w:tblGrid>
      <w:tr w14:paraId="64D85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1573" w:type="dxa"/>
            <w:vMerge w:val="restart"/>
            <w:tcBorders>
              <w:bottom w:val="nil"/>
            </w:tcBorders>
            <w:vAlign w:val="top"/>
          </w:tcPr>
          <w:p w14:paraId="5541DB34">
            <w:pPr>
              <w:rPr>
                <w:rFonts w:ascii="Arial"/>
                <w:sz w:val="21"/>
              </w:rPr>
            </w:pPr>
          </w:p>
        </w:tc>
        <w:tc>
          <w:tcPr>
            <w:tcW w:w="469" w:type="dxa"/>
            <w:textDirection w:val="tbRlV"/>
            <w:vAlign w:val="top"/>
          </w:tcPr>
          <w:p w14:paraId="656FAEAD">
            <w:pPr>
              <w:pStyle w:val="6"/>
              <w:spacing w:before="136" w:line="199" w:lineRule="auto"/>
              <w:ind w:left="4"/>
              <w:rPr>
                <w:sz w:val="21"/>
                <w:szCs w:val="21"/>
              </w:rPr>
            </w:pPr>
            <w:r>
              <w:rPr>
                <w:sz w:val="21"/>
                <w:szCs w:val="21"/>
              </w:rPr>
              <w:t>率</w:t>
            </w:r>
            <w:r>
              <w:rPr>
                <w:spacing w:val="-33"/>
                <w:sz w:val="21"/>
                <w:szCs w:val="21"/>
              </w:rPr>
              <w:t xml:space="preserve"> </w:t>
            </w:r>
            <w:r>
              <w:rPr>
                <w:sz w:val="21"/>
                <w:szCs w:val="21"/>
              </w:rPr>
              <w:t>要</w:t>
            </w:r>
            <w:r>
              <w:rPr>
                <w:spacing w:val="-33"/>
                <w:sz w:val="21"/>
                <w:szCs w:val="21"/>
              </w:rPr>
              <w:t xml:space="preserve"> </w:t>
            </w:r>
            <w:r>
              <w:rPr>
                <w:sz w:val="21"/>
                <w:szCs w:val="21"/>
              </w:rPr>
              <w:t>求</w:t>
            </w:r>
          </w:p>
        </w:tc>
        <w:tc>
          <w:tcPr>
            <w:tcW w:w="3207" w:type="dxa"/>
            <w:gridSpan w:val="2"/>
            <w:vAlign w:val="top"/>
          </w:tcPr>
          <w:p w14:paraId="27A9541B">
            <w:pPr>
              <w:rPr>
                <w:rFonts w:ascii="Arial"/>
                <w:sz w:val="21"/>
              </w:rPr>
            </w:pPr>
          </w:p>
        </w:tc>
        <w:tc>
          <w:tcPr>
            <w:tcW w:w="3057" w:type="dxa"/>
            <w:gridSpan w:val="2"/>
            <w:vAlign w:val="top"/>
          </w:tcPr>
          <w:p w14:paraId="61DF3838">
            <w:pPr>
              <w:pStyle w:val="6"/>
              <w:spacing w:before="42" w:line="248" w:lineRule="auto"/>
              <w:ind w:left="95" w:hanging="9"/>
              <w:rPr>
                <w:sz w:val="21"/>
                <w:szCs w:val="21"/>
              </w:rPr>
            </w:pPr>
            <w:r>
              <w:rPr>
                <w:spacing w:val="1"/>
                <w:sz w:val="21"/>
                <w:szCs w:val="21"/>
              </w:rPr>
              <w:t>不占用基本农田等农用地，项目</w:t>
            </w:r>
            <w:r>
              <w:rPr>
                <w:spacing w:val="5"/>
                <w:sz w:val="21"/>
                <w:szCs w:val="21"/>
              </w:rPr>
              <w:t xml:space="preserve"> </w:t>
            </w:r>
            <w:r>
              <w:rPr>
                <w:spacing w:val="-1"/>
                <w:sz w:val="21"/>
                <w:szCs w:val="21"/>
              </w:rPr>
              <w:t>建设不会突破土地资源上线。</w:t>
            </w:r>
          </w:p>
        </w:tc>
        <w:tc>
          <w:tcPr>
            <w:tcW w:w="564" w:type="dxa"/>
            <w:vAlign w:val="top"/>
          </w:tcPr>
          <w:p w14:paraId="531AF1A6">
            <w:pPr>
              <w:rPr>
                <w:rFonts w:ascii="Arial"/>
                <w:sz w:val="21"/>
              </w:rPr>
            </w:pPr>
          </w:p>
        </w:tc>
      </w:tr>
      <w:tr w14:paraId="38CF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7" w:hRule="atLeast"/>
        </w:trPr>
        <w:tc>
          <w:tcPr>
            <w:tcW w:w="1573" w:type="dxa"/>
            <w:vMerge w:val="continue"/>
            <w:tcBorders>
              <w:top w:val="nil"/>
              <w:bottom w:val="nil"/>
            </w:tcBorders>
            <w:vAlign w:val="top"/>
          </w:tcPr>
          <w:p w14:paraId="418212D5">
            <w:pPr>
              <w:rPr>
                <w:rFonts w:ascii="Arial"/>
                <w:sz w:val="21"/>
              </w:rPr>
            </w:pPr>
          </w:p>
        </w:tc>
        <w:tc>
          <w:tcPr>
            <w:tcW w:w="7297" w:type="dxa"/>
            <w:gridSpan w:val="6"/>
            <w:vAlign w:val="top"/>
          </w:tcPr>
          <w:p w14:paraId="5A0CF4CC">
            <w:pPr>
              <w:pStyle w:val="6"/>
              <w:spacing w:before="79" w:line="412" w:lineRule="auto"/>
              <w:ind w:left="12" w:right="718" w:firstLine="489"/>
              <w:rPr>
                <w:sz w:val="21"/>
                <w:szCs w:val="21"/>
              </w:rPr>
            </w:pPr>
            <w:r>
              <w:rPr>
                <w:spacing w:val="1"/>
                <w:sz w:val="21"/>
                <w:szCs w:val="21"/>
              </w:rPr>
              <w:t>根据以上分析，本项目的建设符合《曲靖市人民政府</w:t>
            </w:r>
            <w:r>
              <w:rPr>
                <w:sz w:val="21"/>
                <w:szCs w:val="21"/>
              </w:rPr>
              <w:t xml:space="preserve">关于印发曲  </w:t>
            </w:r>
            <w:r>
              <w:rPr>
                <w:spacing w:val="1"/>
                <w:sz w:val="21"/>
                <w:szCs w:val="21"/>
              </w:rPr>
              <w:t>靖市“三线一单”生态环境分区管控实施方案的通知》(曲政发〔2021)</w:t>
            </w:r>
            <w:r>
              <w:rPr>
                <w:spacing w:val="11"/>
                <w:sz w:val="21"/>
                <w:szCs w:val="21"/>
              </w:rPr>
              <w:t xml:space="preserve"> </w:t>
            </w:r>
            <w:r>
              <w:rPr>
                <w:spacing w:val="-12"/>
                <w:sz w:val="21"/>
                <w:szCs w:val="21"/>
              </w:rPr>
              <w:t>2</w:t>
            </w:r>
            <w:r>
              <w:rPr>
                <w:spacing w:val="-30"/>
                <w:sz w:val="21"/>
                <w:szCs w:val="21"/>
              </w:rPr>
              <w:t xml:space="preserve"> </w:t>
            </w:r>
            <w:r>
              <w:rPr>
                <w:spacing w:val="-12"/>
                <w:sz w:val="21"/>
                <w:szCs w:val="21"/>
              </w:rPr>
              <w:t>7</w:t>
            </w:r>
            <w:r>
              <w:rPr>
                <w:spacing w:val="-38"/>
                <w:sz w:val="21"/>
                <w:szCs w:val="21"/>
              </w:rPr>
              <w:t xml:space="preserve"> </w:t>
            </w:r>
            <w:r>
              <w:rPr>
                <w:spacing w:val="-12"/>
                <w:sz w:val="21"/>
                <w:szCs w:val="21"/>
              </w:rPr>
              <w:t>号</w:t>
            </w:r>
            <w:r>
              <w:rPr>
                <w:spacing w:val="-43"/>
                <w:sz w:val="21"/>
                <w:szCs w:val="21"/>
              </w:rPr>
              <w:t xml:space="preserve"> </w:t>
            </w:r>
            <w:r>
              <w:rPr>
                <w:spacing w:val="-12"/>
                <w:sz w:val="21"/>
                <w:szCs w:val="21"/>
              </w:rPr>
              <w:t>)</w:t>
            </w:r>
            <w:r>
              <w:rPr>
                <w:spacing w:val="-26"/>
                <w:sz w:val="21"/>
                <w:szCs w:val="21"/>
              </w:rPr>
              <w:t xml:space="preserve"> </w:t>
            </w:r>
            <w:r>
              <w:rPr>
                <w:spacing w:val="-12"/>
                <w:sz w:val="21"/>
                <w:szCs w:val="21"/>
              </w:rPr>
              <w:t>的</w:t>
            </w:r>
            <w:r>
              <w:rPr>
                <w:spacing w:val="-43"/>
                <w:sz w:val="21"/>
                <w:szCs w:val="21"/>
              </w:rPr>
              <w:t xml:space="preserve"> </w:t>
            </w:r>
            <w:r>
              <w:rPr>
                <w:spacing w:val="-12"/>
                <w:sz w:val="21"/>
                <w:szCs w:val="21"/>
              </w:rPr>
              <w:t>相</w:t>
            </w:r>
            <w:r>
              <w:rPr>
                <w:spacing w:val="-40"/>
                <w:sz w:val="21"/>
                <w:szCs w:val="21"/>
              </w:rPr>
              <w:t xml:space="preserve"> </w:t>
            </w:r>
            <w:r>
              <w:rPr>
                <w:spacing w:val="-12"/>
                <w:sz w:val="21"/>
                <w:szCs w:val="21"/>
              </w:rPr>
              <w:t>关</w:t>
            </w:r>
            <w:r>
              <w:rPr>
                <w:spacing w:val="-43"/>
                <w:sz w:val="21"/>
                <w:szCs w:val="21"/>
              </w:rPr>
              <w:t xml:space="preserve"> </w:t>
            </w:r>
            <w:r>
              <w:rPr>
                <w:spacing w:val="-12"/>
                <w:sz w:val="21"/>
                <w:szCs w:val="21"/>
              </w:rPr>
              <w:t>要</w:t>
            </w:r>
            <w:r>
              <w:rPr>
                <w:spacing w:val="-42"/>
                <w:sz w:val="21"/>
                <w:szCs w:val="21"/>
              </w:rPr>
              <w:t xml:space="preserve"> </w:t>
            </w:r>
            <w:r>
              <w:rPr>
                <w:spacing w:val="-12"/>
                <w:sz w:val="21"/>
                <w:szCs w:val="21"/>
              </w:rPr>
              <w:t>求</w:t>
            </w:r>
            <w:r>
              <w:rPr>
                <w:spacing w:val="-51"/>
                <w:sz w:val="21"/>
                <w:szCs w:val="21"/>
              </w:rPr>
              <w:t xml:space="preserve"> </w:t>
            </w:r>
            <w:r>
              <w:rPr>
                <w:spacing w:val="-12"/>
                <w:sz w:val="21"/>
                <w:szCs w:val="21"/>
              </w:rPr>
              <w:t>。</w:t>
            </w:r>
          </w:p>
          <w:p w14:paraId="41ED4C25">
            <w:pPr>
              <w:pStyle w:val="6"/>
              <w:spacing w:before="2" w:line="406" w:lineRule="auto"/>
              <w:ind w:left="15" w:right="627" w:firstLine="469"/>
              <w:rPr>
                <w:sz w:val="21"/>
                <w:szCs w:val="21"/>
              </w:rPr>
            </w:pPr>
            <w:r>
              <w:rPr>
                <w:b/>
                <w:bCs/>
                <w:spacing w:val="-3"/>
                <w:sz w:val="21"/>
                <w:szCs w:val="21"/>
              </w:rPr>
              <w:t>5、与《关于进一步规范光伏复合项目使用林草地有关事项的通知》</w:t>
            </w:r>
            <w:r>
              <w:rPr>
                <w:spacing w:val="2"/>
                <w:sz w:val="21"/>
                <w:szCs w:val="21"/>
              </w:rPr>
              <w:t xml:space="preserve"> </w:t>
            </w:r>
            <w:r>
              <w:rPr>
                <w:b/>
                <w:bCs/>
                <w:spacing w:val="-2"/>
                <w:sz w:val="21"/>
                <w:szCs w:val="21"/>
              </w:rPr>
              <w:t>的符合性分析</w:t>
            </w:r>
          </w:p>
          <w:p w14:paraId="453802FD">
            <w:pPr>
              <w:pStyle w:val="6"/>
              <w:spacing w:before="9" w:line="406" w:lineRule="auto"/>
              <w:ind w:left="12" w:right="983" w:firstLine="419"/>
              <w:rPr>
                <w:sz w:val="21"/>
                <w:szCs w:val="21"/>
              </w:rPr>
            </w:pPr>
            <w:r>
              <w:rPr>
                <w:spacing w:val="-1"/>
                <w:sz w:val="21"/>
                <w:szCs w:val="21"/>
              </w:rPr>
              <w:t>根据云南省林业和草原局、云南省能源局联合印发的《关于进一</w:t>
            </w:r>
            <w:r>
              <w:rPr>
                <w:spacing w:val="18"/>
                <w:sz w:val="21"/>
                <w:szCs w:val="21"/>
              </w:rPr>
              <w:t xml:space="preserve"> </w:t>
            </w:r>
            <w:r>
              <w:rPr>
                <w:sz w:val="21"/>
                <w:szCs w:val="21"/>
              </w:rPr>
              <w:t>步规范光伏复合项目使用林草地有关事项的通知</w:t>
            </w:r>
            <w:r>
              <w:rPr>
                <w:spacing w:val="-1"/>
                <w:sz w:val="21"/>
                <w:szCs w:val="21"/>
              </w:rPr>
              <w:t>》(云林规〔2021)5</w:t>
            </w:r>
            <w:r>
              <w:rPr>
                <w:sz w:val="21"/>
                <w:szCs w:val="21"/>
              </w:rPr>
              <w:t xml:space="preserve">  </w:t>
            </w:r>
            <w:r>
              <w:rPr>
                <w:spacing w:val="36"/>
                <w:sz w:val="21"/>
                <w:szCs w:val="21"/>
              </w:rPr>
              <w:t>号),项目与云林规〔2021〕5号符合性分析详见下表。</w:t>
            </w:r>
          </w:p>
          <w:p w14:paraId="4F86F863">
            <w:pPr>
              <w:pStyle w:val="6"/>
              <w:spacing w:line="219" w:lineRule="auto"/>
              <w:ind w:left="1185"/>
              <w:rPr>
                <w:sz w:val="21"/>
                <w:szCs w:val="21"/>
              </w:rPr>
            </w:pPr>
            <w:r>
              <w:rPr>
                <w:b/>
                <w:bCs/>
                <w:spacing w:val="34"/>
                <w:sz w:val="21"/>
                <w:szCs w:val="21"/>
              </w:rPr>
              <w:t>表1</w:t>
            </w:r>
            <w:r>
              <w:rPr>
                <w:spacing w:val="-56"/>
                <w:sz w:val="21"/>
                <w:szCs w:val="21"/>
              </w:rPr>
              <w:t xml:space="preserve"> </w:t>
            </w:r>
            <w:r>
              <w:rPr>
                <w:b/>
                <w:bCs/>
                <w:spacing w:val="34"/>
                <w:sz w:val="21"/>
                <w:szCs w:val="21"/>
              </w:rPr>
              <w:t>-</w:t>
            </w:r>
            <w:r>
              <w:rPr>
                <w:spacing w:val="-52"/>
                <w:sz w:val="21"/>
                <w:szCs w:val="21"/>
              </w:rPr>
              <w:t xml:space="preserve"> </w:t>
            </w:r>
            <w:r>
              <w:rPr>
                <w:b/>
                <w:bCs/>
                <w:spacing w:val="34"/>
                <w:sz w:val="21"/>
                <w:szCs w:val="21"/>
              </w:rPr>
              <w:t>6项目与云林规〔2021〕5号符合</w:t>
            </w:r>
            <w:r>
              <w:rPr>
                <w:b/>
                <w:bCs/>
                <w:spacing w:val="33"/>
                <w:sz w:val="21"/>
                <w:szCs w:val="21"/>
              </w:rPr>
              <w:t>性分析</w:t>
            </w:r>
          </w:p>
        </w:tc>
      </w:tr>
      <w:tr w14:paraId="7ED55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73" w:type="dxa"/>
            <w:vMerge w:val="continue"/>
            <w:tcBorders>
              <w:top w:val="nil"/>
              <w:bottom w:val="nil"/>
            </w:tcBorders>
            <w:vAlign w:val="top"/>
          </w:tcPr>
          <w:p w14:paraId="586933AD">
            <w:pPr>
              <w:rPr>
                <w:rFonts w:ascii="Arial"/>
                <w:sz w:val="21"/>
              </w:rPr>
            </w:pPr>
          </w:p>
        </w:tc>
        <w:tc>
          <w:tcPr>
            <w:tcW w:w="689" w:type="dxa"/>
            <w:gridSpan w:val="2"/>
            <w:vAlign w:val="top"/>
          </w:tcPr>
          <w:p w14:paraId="1699633F">
            <w:pPr>
              <w:pStyle w:val="6"/>
              <w:spacing w:before="44" w:line="207" w:lineRule="auto"/>
              <w:ind w:left="122"/>
              <w:rPr>
                <w:sz w:val="21"/>
                <w:szCs w:val="21"/>
              </w:rPr>
            </w:pPr>
            <w:r>
              <w:rPr>
                <w:spacing w:val="6"/>
                <w:sz w:val="21"/>
                <w:szCs w:val="21"/>
              </w:rPr>
              <w:t>序号</w:t>
            </w:r>
          </w:p>
        </w:tc>
        <w:tc>
          <w:tcPr>
            <w:tcW w:w="2987" w:type="dxa"/>
            <w:vAlign w:val="top"/>
          </w:tcPr>
          <w:p w14:paraId="04E07D1B">
            <w:pPr>
              <w:pStyle w:val="6"/>
              <w:spacing w:before="44" w:line="207" w:lineRule="auto"/>
              <w:ind w:left="1273"/>
              <w:rPr>
                <w:sz w:val="21"/>
                <w:szCs w:val="21"/>
              </w:rPr>
            </w:pPr>
            <w:r>
              <w:rPr>
                <w:spacing w:val="-3"/>
                <w:sz w:val="21"/>
                <w:szCs w:val="21"/>
              </w:rPr>
              <w:t>要求</w:t>
            </w:r>
          </w:p>
        </w:tc>
        <w:tc>
          <w:tcPr>
            <w:tcW w:w="2727" w:type="dxa"/>
            <w:vAlign w:val="top"/>
          </w:tcPr>
          <w:p w14:paraId="56EBCBD5">
            <w:pPr>
              <w:pStyle w:val="6"/>
              <w:spacing w:before="43" w:line="208" w:lineRule="auto"/>
              <w:ind w:left="936"/>
              <w:rPr>
                <w:sz w:val="21"/>
                <w:szCs w:val="21"/>
              </w:rPr>
            </w:pPr>
            <w:r>
              <w:rPr>
                <w:spacing w:val="2"/>
                <w:sz w:val="21"/>
                <w:szCs w:val="21"/>
              </w:rPr>
              <w:t>项目情况</w:t>
            </w:r>
          </w:p>
        </w:tc>
        <w:tc>
          <w:tcPr>
            <w:tcW w:w="894" w:type="dxa"/>
            <w:gridSpan w:val="2"/>
            <w:vAlign w:val="top"/>
          </w:tcPr>
          <w:p w14:paraId="0DB5FBAC">
            <w:pPr>
              <w:pStyle w:val="6"/>
              <w:spacing w:before="42" w:line="209" w:lineRule="auto"/>
              <w:ind w:left="128"/>
              <w:rPr>
                <w:sz w:val="21"/>
                <w:szCs w:val="21"/>
              </w:rPr>
            </w:pPr>
            <w:r>
              <w:rPr>
                <w:spacing w:val="-3"/>
                <w:sz w:val="21"/>
                <w:szCs w:val="21"/>
              </w:rPr>
              <w:t>符合性</w:t>
            </w:r>
          </w:p>
        </w:tc>
      </w:tr>
      <w:tr w14:paraId="5B181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8" w:hRule="atLeast"/>
        </w:trPr>
        <w:tc>
          <w:tcPr>
            <w:tcW w:w="1573" w:type="dxa"/>
            <w:vMerge w:val="continue"/>
            <w:tcBorders>
              <w:top w:val="nil"/>
              <w:bottom w:val="nil"/>
            </w:tcBorders>
            <w:vAlign w:val="top"/>
          </w:tcPr>
          <w:p w14:paraId="20DC6F72">
            <w:pPr>
              <w:rPr>
                <w:rFonts w:ascii="Arial"/>
                <w:sz w:val="21"/>
              </w:rPr>
            </w:pPr>
          </w:p>
        </w:tc>
        <w:tc>
          <w:tcPr>
            <w:tcW w:w="689" w:type="dxa"/>
            <w:gridSpan w:val="2"/>
            <w:vAlign w:val="top"/>
          </w:tcPr>
          <w:p w14:paraId="2851CA75">
            <w:pPr>
              <w:spacing w:line="269" w:lineRule="auto"/>
              <w:rPr>
                <w:rFonts w:ascii="Arial"/>
                <w:sz w:val="21"/>
              </w:rPr>
            </w:pPr>
          </w:p>
          <w:p w14:paraId="1D91E68F">
            <w:pPr>
              <w:spacing w:line="269" w:lineRule="auto"/>
              <w:rPr>
                <w:rFonts w:ascii="Arial"/>
                <w:sz w:val="21"/>
              </w:rPr>
            </w:pPr>
          </w:p>
          <w:p w14:paraId="3D3EE8B6">
            <w:pPr>
              <w:spacing w:line="270" w:lineRule="auto"/>
              <w:rPr>
                <w:rFonts w:ascii="Arial"/>
                <w:sz w:val="21"/>
              </w:rPr>
            </w:pPr>
          </w:p>
          <w:p w14:paraId="627CBABB">
            <w:pPr>
              <w:spacing w:line="270" w:lineRule="auto"/>
              <w:rPr>
                <w:rFonts w:ascii="Arial"/>
                <w:sz w:val="21"/>
              </w:rPr>
            </w:pPr>
          </w:p>
          <w:p w14:paraId="7E13EB75">
            <w:pPr>
              <w:pStyle w:val="6"/>
              <w:spacing w:before="68" w:line="241" w:lineRule="auto"/>
              <w:ind w:left="282"/>
              <w:rPr>
                <w:sz w:val="21"/>
                <w:szCs w:val="21"/>
              </w:rPr>
            </w:pPr>
            <w:r>
              <w:rPr>
                <w:sz w:val="21"/>
                <w:szCs w:val="21"/>
              </w:rPr>
              <w:t>1</w:t>
            </w:r>
          </w:p>
        </w:tc>
        <w:tc>
          <w:tcPr>
            <w:tcW w:w="2987" w:type="dxa"/>
            <w:vAlign w:val="top"/>
          </w:tcPr>
          <w:p w14:paraId="43922ADF">
            <w:pPr>
              <w:pStyle w:val="6"/>
              <w:spacing w:before="41" w:line="219" w:lineRule="auto"/>
              <w:ind w:left="223"/>
              <w:rPr>
                <w:sz w:val="21"/>
                <w:szCs w:val="21"/>
              </w:rPr>
            </w:pPr>
            <w:r>
              <w:rPr>
                <w:spacing w:val="1"/>
                <w:sz w:val="21"/>
                <w:szCs w:val="21"/>
              </w:rPr>
              <w:t>光伏复合项目禁止在国家公</w:t>
            </w:r>
          </w:p>
          <w:p w14:paraId="553DAD74">
            <w:pPr>
              <w:pStyle w:val="6"/>
              <w:spacing w:before="22" w:line="219" w:lineRule="auto"/>
              <w:ind w:right="18"/>
              <w:jc w:val="right"/>
              <w:rPr>
                <w:sz w:val="21"/>
                <w:szCs w:val="21"/>
              </w:rPr>
            </w:pPr>
            <w:r>
              <w:rPr>
                <w:spacing w:val="8"/>
                <w:sz w:val="21"/>
                <w:szCs w:val="21"/>
              </w:rPr>
              <w:t>园、自然保护区、森林公园、</w:t>
            </w:r>
          </w:p>
          <w:p w14:paraId="2FB64B18">
            <w:pPr>
              <w:pStyle w:val="6"/>
              <w:spacing w:before="30" w:line="219" w:lineRule="auto"/>
              <w:ind w:left="123"/>
              <w:rPr>
                <w:sz w:val="21"/>
                <w:szCs w:val="21"/>
              </w:rPr>
            </w:pPr>
            <w:r>
              <w:rPr>
                <w:spacing w:val="-1"/>
                <w:sz w:val="21"/>
                <w:szCs w:val="21"/>
              </w:rPr>
              <w:t>风景名胜区、草原公园等各类</w:t>
            </w:r>
          </w:p>
          <w:p w14:paraId="43D83F8B">
            <w:pPr>
              <w:pStyle w:val="6"/>
              <w:spacing w:before="20" w:line="219" w:lineRule="auto"/>
              <w:ind w:left="223"/>
              <w:rPr>
                <w:sz w:val="21"/>
                <w:szCs w:val="21"/>
              </w:rPr>
            </w:pPr>
            <w:r>
              <w:rPr>
                <w:spacing w:val="1"/>
                <w:sz w:val="21"/>
                <w:szCs w:val="21"/>
              </w:rPr>
              <w:t>自然保护地，世界自然遗产</w:t>
            </w:r>
          </w:p>
          <w:p w14:paraId="5B8A2AE9">
            <w:pPr>
              <w:pStyle w:val="6"/>
              <w:spacing w:before="31" w:line="220" w:lineRule="auto"/>
              <w:ind w:left="123"/>
              <w:rPr>
                <w:sz w:val="21"/>
                <w:szCs w:val="21"/>
              </w:rPr>
            </w:pPr>
            <w:r>
              <w:rPr>
                <w:spacing w:val="-1"/>
                <w:sz w:val="21"/>
                <w:szCs w:val="21"/>
              </w:rPr>
              <w:t>地，野生动物重要栖息地，珍</w:t>
            </w:r>
          </w:p>
          <w:p w14:paraId="1432F960">
            <w:pPr>
              <w:pStyle w:val="6"/>
              <w:spacing w:before="20" w:line="219" w:lineRule="auto"/>
              <w:ind w:left="223"/>
              <w:rPr>
                <w:sz w:val="21"/>
                <w:szCs w:val="21"/>
              </w:rPr>
            </w:pPr>
            <w:r>
              <w:rPr>
                <w:spacing w:val="-1"/>
                <w:sz w:val="21"/>
                <w:szCs w:val="21"/>
              </w:rPr>
              <w:t>稀濒危和极小种群野生植物</w:t>
            </w:r>
          </w:p>
          <w:p w14:paraId="2E626F41">
            <w:pPr>
              <w:pStyle w:val="6"/>
              <w:spacing w:before="20" w:line="219" w:lineRule="auto"/>
              <w:ind w:left="123"/>
              <w:rPr>
                <w:sz w:val="21"/>
                <w:szCs w:val="21"/>
              </w:rPr>
            </w:pPr>
            <w:r>
              <w:rPr>
                <w:spacing w:val="1"/>
                <w:sz w:val="21"/>
                <w:szCs w:val="21"/>
              </w:rPr>
              <w:t>重要原生境，天然林保护重点</w:t>
            </w:r>
          </w:p>
          <w:p w14:paraId="4928AC56">
            <w:pPr>
              <w:pStyle w:val="6"/>
              <w:spacing w:before="30" w:line="219" w:lineRule="auto"/>
              <w:ind w:left="123"/>
              <w:rPr>
                <w:sz w:val="21"/>
                <w:szCs w:val="21"/>
              </w:rPr>
            </w:pPr>
            <w:r>
              <w:rPr>
                <w:spacing w:val="1"/>
                <w:sz w:val="21"/>
                <w:szCs w:val="21"/>
              </w:rPr>
              <w:t>区域、基本草原以及生态保护</w:t>
            </w:r>
          </w:p>
          <w:p w14:paraId="2E55A357">
            <w:pPr>
              <w:pStyle w:val="6"/>
              <w:spacing w:before="12" w:line="207" w:lineRule="auto"/>
              <w:ind w:left="963"/>
              <w:rPr>
                <w:sz w:val="21"/>
                <w:szCs w:val="21"/>
              </w:rPr>
            </w:pPr>
            <w:r>
              <w:rPr>
                <w:spacing w:val="1"/>
                <w:sz w:val="21"/>
                <w:szCs w:val="21"/>
              </w:rPr>
              <w:t>红线内建设</w:t>
            </w:r>
          </w:p>
        </w:tc>
        <w:tc>
          <w:tcPr>
            <w:tcW w:w="2727" w:type="dxa"/>
            <w:vAlign w:val="top"/>
          </w:tcPr>
          <w:p w14:paraId="7A3F614C">
            <w:pPr>
              <w:pStyle w:val="6"/>
              <w:spacing w:before="43" w:line="220" w:lineRule="auto"/>
              <w:ind w:left="96"/>
              <w:rPr>
                <w:sz w:val="21"/>
                <w:szCs w:val="21"/>
              </w:rPr>
            </w:pPr>
            <w:r>
              <w:rPr>
                <w:sz w:val="21"/>
                <w:szCs w:val="21"/>
              </w:rPr>
              <w:t>项目不占用国家公园、自然</w:t>
            </w:r>
          </w:p>
          <w:p w14:paraId="524B46CA">
            <w:pPr>
              <w:pStyle w:val="6"/>
              <w:spacing w:before="19" w:line="219" w:lineRule="auto"/>
              <w:ind w:left="96"/>
              <w:rPr>
                <w:sz w:val="21"/>
                <w:szCs w:val="21"/>
              </w:rPr>
            </w:pPr>
            <w:r>
              <w:rPr>
                <w:spacing w:val="2"/>
                <w:sz w:val="21"/>
                <w:szCs w:val="21"/>
              </w:rPr>
              <w:t>保护区、森林公园、风景名</w:t>
            </w:r>
          </w:p>
          <w:p w14:paraId="17D88871">
            <w:pPr>
              <w:pStyle w:val="6"/>
              <w:spacing w:before="30" w:line="219" w:lineRule="auto"/>
              <w:ind w:left="96"/>
              <w:rPr>
                <w:sz w:val="21"/>
                <w:szCs w:val="21"/>
              </w:rPr>
            </w:pPr>
            <w:r>
              <w:rPr>
                <w:spacing w:val="-1"/>
                <w:sz w:val="21"/>
                <w:szCs w:val="21"/>
              </w:rPr>
              <w:t>胜区、草原公园等各类自然</w:t>
            </w:r>
          </w:p>
          <w:p w14:paraId="662FD542">
            <w:pPr>
              <w:pStyle w:val="6"/>
              <w:spacing w:before="20" w:line="219" w:lineRule="auto"/>
              <w:ind w:left="146"/>
              <w:rPr>
                <w:sz w:val="21"/>
                <w:szCs w:val="21"/>
              </w:rPr>
            </w:pPr>
            <w:r>
              <w:rPr>
                <w:sz w:val="21"/>
                <w:szCs w:val="21"/>
              </w:rPr>
              <w:t>保护地，世界自然遗产地，</w:t>
            </w:r>
          </w:p>
          <w:p w14:paraId="775C3AD7">
            <w:pPr>
              <w:pStyle w:val="6"/>
              <w:spacing w:before="21" w:line="220" w:lineRule="auto"/>
              <w:ind w:left="96"/>
              <w:rPr>
                <w:sz w:val="21"/>
                <w:szCs w:val="21"/>
              </w:rPr>
            </w:pPr>
            <w:r>
              <w:rPr>
                <w:spacing w:val="-1"/>
                <w:sz w:val="21"/>
                <w:szCs w:val="21"/>
              </w:rPr>
              <w:t>野生动物重要栖息地，珍稀</w:t>
            </w:r>
          </w:p>
          <w:p w14:paraId="4EC28F33">
            <w:pPr>
              <w:pStyle w:val="6"/>
              <w:spacing w:before="29" w:line="219" w:lineRule="auto"/>
              <w:ind w:left="96"/>
              <w:rPr>
                <w:sz w:val="21"/>
                <w:szCs w:val="21"/>
              </w:rPr>
            </w:pPr>
            <w:r>
              <w:rPr>
                <w:spacing w:val="-1"/>
                <w:sz w:val="21"/>
                <w:szCs w:val="21"/>
              </w:rPr>
              <w:t>濒危和极小种群野生植物重</w:t>
            </w:r>
          </w:p>
          <w:p w14:paraId="1C3906E0">
            <w:pPr>
              <w:pStyle w:val="6"/>
              <w:spacing w:before="21" w:line="219" w:lineRule="auto"/>
              <w:ind w:left="96"/>
              <w:rPr>
                <w:sz w:val="21"/>
                <w:szCs w:val="21"/>
              </w:rPr>
            </w:pPr>
            <w:r>
              <w:rPr>
                <w:spacing w:val="1"/>
                <w:sz w:val="21"/>
                <w:szCs w:val="21"/>
              </w:rPr>
              <w:t>要原生境，天然林保护重点</w:t>
            </w:r>
          </w:p>
          <w:p w14:paraId="3209FA65">
            <w:pPr>
              <w:pStyle w:val="6"/>
              <w:spacing w:before="20" w:line="219" w:lineRule="auto"/>
              <w:ind w:left="96"/>
              <w:rPr>
                <w:sz w:val="21"/>
                <w:szCs w:val="21"/>
              </w:rPr>
            </w:pPr>
            <w:r>
              <w:rPr>
                <w:sz w:val="21"/>
                <w:szCs w:val="21"/>
              </w:rPr>
              <w:t>区域、基本草原以及生态保</w:t>
            </w:r>
          </w:p>
          <w:p w14:paraId="342C7030">
            <w:pPr>
              <w:pStyle w:val="6"/>
              <w:spacing w:before="31" w:line="199" w:lineRule="auto"/>
              <w:ind w:left="336"/>
              <w:rPr>
                <w:sz w:val="21"/>
                <w:szCs w:val="21"/>
              </w:rPr>
            </w:pPr>
            <w:r>
              <w:rPr>
                <w:spacing w:val="4"/>
                <w:sz w:val="21"/>
                <w:szCs w:val="21"/>
              </w:rPr>
              <w:t>护红线(详见附件9)</w:t>
            </w:r>
          </w:p>
        </w:tc>
        <w:tc>
          <w:tcPr>
            <w:tcW w:w="894" w:type="dxa"/>
            <w:gridSpan w:val="2"/>
            <w:vAlign w:val="top"/>
          </w:tcPr>
          <w:p w14:paraId="62509D57">
            <w:pPr>
              <w:spacing w:line="264" w:lineRule="auto"/>
              <w:rPr>
                <w:rFonts w:ascii="Arial"/>
                <w:sz w:val="21"/>
              </w:rPr>
            </w:pPr>
          </w:p>
          <w:p w14:paraId="2C179CED">
            <w:pPr>
              <w:spacing w:line="264" w:lineRule="auto"/>
              <w:rPr>
                <w:rFonts w:ascii="Arial"/>
                <w:sz w:val="21"/>
              </w:rPr>
            </w:pPr>
          </w:p>
          <w:p w14:paraId="0DE8F7B5">
            <w:pPr>
              <w:spacing w:line="264" w:lineRule="auto"/>
              <w:rPr>
                <w:rFonts w:ascii="Arial"/>
                <w:sz w:val="21"/>
              </w:rPr>
            </w:pPr>
          </w:p>
          <w:p w14:paraId="376FCD68">
            <w:pPr>
              <w:spacing w:line="265" w:lineRule="auto"/>
              <w:rPr>
                <w:rFonts w:ascii="Arial"/>
                <w:sz w:val="21"/>
              </w:rPr>
            </w:pPr>
          </w:p>
          <w:p w14:paraId="0838C642">
            <w:pPr>
              <w:pStyle w:val="6"/>
              <w:spacing w:before="69" w:line="219" w:lineRule="auto"/>
              <w:ind w:left="229"/>
              <w:rPr>
                <w:sz w:val="21"/>
                <w:szCs w:val="21"/>
              </w:rPr>
            </w:pPr>
            <w:r>
              <w:rPr>
                <w:spacing w:val="-3"/>
                <w:sz w:val="21"/>
                <w:szCs w:val="21"/>
              </w:rPr>
              <w:t>符合</w:t>
            </w:r>
          </w:p>
        </w:tc>
      </w:tr>
      <w:tr w14:paraId="038CB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0" w:hRule="atLeast"/>
        </w:trPr>
        <w:tc>
          <w:tcPr>
            <w:tcW w:w="1573" w:type="dxa"/>
            <w:vMerge w:val="continue"/>
            <w:tcBorders>
              <w:top w:val="nil"/>
            </w:tcBorders>
            <w:vAlign w:val="top"/>
          </w:tcPr>
          <w:p w14:paraId="61543896">
            <w:pPr>
              <w:rPr>
                <w:rFonts w:ascii="Arial"/>
                <w:sz w:val="21"/>
              </w:rPr>
            </w:pPr>
          </w:p>
        </w:tc>
        <w:tc>
          <w:tcPr>
            <w:tcW w:w="689" w:type="dxa"/>
            <w:gridSpan w:val="2"/>
            <w:vAlign w:val="top"/>
          </w:tcPr>
          <w:p w14:paraId="263641F0">
            <w:pPr>
              <w:spacing w:line="258" w:lineRule="auto"/>
              <w:rPr>
                <w:rFonts w:ascii="Arial"/>
                <w:sz w:val="21"/>
              </w:rPr>
            </w:pPr>
          </w:p>
          <w:p w14:paraId="614CC950">
            <w:pPr>
              <w:spacing w:line="258" w:lineRule="auto"/>
              <w:rPr>
                <w:rFonts w:ascii="Arial"/>
                <w:sz w:val="21"/>
              </w:rPr>
            </w:pPr>
          </w:p>
          <w:p w14:paraId="3635DAAE">
            <w:pPr>
              <w:spacing w:line="258" w:lineRule="auto"/>
              <w:rPr>
                <w:rFonts w:ascii="Arial"/>
                <w:sz w:val="21"/>
              </w:rPr>
            </w:pPr>
          </w:p>
          <w:p w14:paraId="03C49076">
            <w:pPr>
              <w:spacing w:line="258" w:lineRule="auto"/>
              <w:rPr>
                <w:rFonts w:ascii="Arial"/>
                <w:sz w:val="21"/>
              </w:rPr>
            </w:pPr>
          </w:p>
          <w:p w14:paraId="087D17E8">
            <w:pPr>
              <w:spacing w:line="258" w:lineRule="auto"/>
              <w:rPr>
                <w:rFonts w:ascii="Arial"/>
                <w:sz w:val="21"/>
              </w:rPr>
            </w:pPr>
          </w:p>
          <w:p w14:paraId="53C5BDBE">
            <w:pPr>
              <w:spacing w:line="258" w:lineRule="auto"/>
              <w:rPr>
                <w:rFonts w:ascii="Arial"/>
                <w:sz w:val="21"/>
              </w:rPr>
            </w:pPr>
          </w:p>
          <w:p w14:paraId="6547C1BF">
            <w:pPr>
              <w:spacing w:line="258" w:lineRule="auto"/>
              <w:rPr>
                <w:rFonts w:ascii="Arial"/>
                <w:sz w:val="21"/>
              </w:rPr>
            </w:pPr>
          </w:p>
          <w:p w14:paraId="77E4C94B">
            <w:pPr>
              <w:spacing w:line="258" w:lineRule="auto"/>
              <w:rPr>
                <w:rFonts w:ascii="Arial"/>
                <w:sz w:val="21"/>
              </w:rPr>
            </w:pPr>
          </w:p>
          <w:p w14:paraId="485E419D">
            <w:pPr>
              <w:spacing w:line="258" w:lineRule="auto"/>
              <w:rPr>
                <w:rFonts w:ascii="Arial"/>
                <w:sz w:val="21"/>
              </w:rPr>
            </w:pPr>
          </w:p>
          <w:p w14:paraId="0577B20C">
            <w:pPr>
              <w:spacing w:line="258" w:lineRule="auto"/>
              <w:rPr>
                <w:rFonts w:ascii="Arial"/>
                <w:sz w:val="21"/>
              </w:rPr>
            </w:pPr>
          </w:p>
          <w:p w14:paraId="7E1A22AC">
            <w:pPr>
              <w:spacing w:line="259" w:lineRule="auto"/>
              <w:rPr>
                <w:rFonts w:ascii="Arial"/>
                <w:sz w:val="21"/>
              </w:rPr>
            </w:pPr>
          </w:p>
          <w:p w14:paraId="13891805">
            <w:pPr>
              <w:pStyle w:val="6"/>
              <w:spacing w:before="69" w:line="241" w:lineRule="auto"/>
              <w:ind w:left="282"/>
              <w:rPr>
                <w:sz w:val="21"/>
                <w:szCs w:val="21"/>
              </w:rPr>
            </w:pPr>
            <w:r>
              <w:rPr>
                <w:sz w:val="21"/>
                <w:szCs w:val="21"/>
              </w:rPr>
              <w:t>2</w:t>
            </w:r>
          </w:p>
        </w:tc>
        <w:tc>
          <w:tcPr>
            <w:tcW w:w="2987" w:type="dxa"/>
            <w:vAlign w:val="top"/>
          </w:tcPr>
          <w:p w14:paraId="2DD0521B">
            <w:pPr>
              <w:spacing w:line="252" w:lineRule="auto"/>
              <w:rPr>
                <w:rFonts w:ascii="Arial"/>
                <w:sz w:val="21"/>
              </w:rPr>
            </w:pPr>
          </w:p>
          <w:p w14:paraId="4826F21E">
            <w:pPr>
              <w:spacing w:line="252" w:lineRule="auto"/>
              <w:rPr>
                <w:rFonts w:ascii="Arial"/>
                <w:sz w:val="21"/>
              </w:rPr>
            </w:pPr>
          </w:p>
          <w:p w14:paraId="1A6025E0">
            <w:pPr>
              <w:spacing w:line="253" w:lineRule="auto"/>
              <w:rPr>
                <w:rFonts w:ascii="Arial"/>
                <w:sz w:val="21"/>
              </w:rPr>
            </w:pPr>
          </w:p>
          <w:p w14:paraId="2FBF080C">
            <w:pPr>
              <w:spacing w:line="253" w:lineRule="auto"/>
              <w:rPr>
                <w:rFonts w:ascii="Arial"/>
                <w:sz w:val="21"/>
              </w:rPr>
            </w:pPr>
          </w:p>
          <w:p w14:paraId="2C7C9B06">
            <w:pPr>
              <w:spacing w:line="253" w:lineRule="auto"/>
              <w:rPr>
                <w:rFonts w:ascii="Arial"/>
                <w:sz w:val="21"/>
              </w:rPr>
            </w:pPr>
          </w:p>
          <w:p w14:paraId="6A8989DA">
            <w:pPr>
              <w:spacing w:line="253" w:lineRule="auto"/>
              <w:rPr>
                <w:rFonts w:ascii="Arial"/>
                <w:sz w:val="21"/>
              </w:rPr>
            </w:pPr>
          </w:p>
          <w:p w14:paraId="00348D7E">
            <w:pPr>
              <w:spacing w:line="253" w:lineRule="auto"/>
              <w:rPr>
                <w:rFonts w:ascii="Arial"/>
                <w:sz w:val="21"/>
              </w:rPr>
            </w:pPr>
          </w:p>
          <w:p w14:paraId="3A8E290E">
            <w:pPr>
              <w:spacing w:line="253" w:lineRule="auto"/>
              <w:rPr>
                <w:rFonts w:ascii="Arial"/>
                <w:sz w:val="21"/>
              </w:rPr>
            </w:pPr>
          </w:p>
          <w:p w14:paraId="03C2BB66">
            <w:pPr>
              <w:pStyle w:val="6"/>
              <w:spacing w:before="68" w:line="219" w:lineRule="auto"/>
              <w:ind w:left="173"/>
              <w:rPr>
                <w:sz w:val="21"/>
                <w:szCs w:val="21"/>
              </w:rPr>
            </w:pPr>
            <w:r>
              <w:rPr>
                <w:spacing w:val="-1"/>
                <w:sz w:val="21"/>
                <w:szCs w:val="21"/>
              </w:rPr>
              <w:t>光伏复合项目的生产区(包括</w:t>
            </w:r>
          </w:p>
          <w:p w14:paraId="424A4A64">
            <w:pPr>
              <w:pStyle w:val="6"/>
              <w:spacing w:before="22" w:line="220" w:lineRule="auto"/>
              <w:ind w:left="123"/>
              <w:rPr>
                <w:sz w:val="21"/>
                <w:szCs w:val="21"/>
              </w:rPr>
            </w:pPr>
            <w:r>
              <w:rPr>
                <w:spacing w:val="-1"/>
                <w:sz w:val="21"/>
                <w:szCs w:val="21"/>
              </w:rPr>
              <w:t>升压站、配电室、控制室、新</w:t>
            </w:r>
          </w:p>
          <w:p w14:paraId="429EF601">
            <w:pPr>
              <w:pStyle w:val="6"/>
              <w:spacing w:before="9" w:line="219" w:lineRule="auto"/>
              <w:ind w:left="123"/>
              <w:rPr>
                <w:sz w:val="21"/>
                <w:szCs w:val="21"/>
              </w:rPr>
            </w:pPr>
            <w:r>
              <w:rPr>
                <w:sz w:val="21"/>
                <w:szCs w:val="21"/>
              </w:rPr>
              <w:t>建进场道路、新建场内检修道</w:t>
            </w:r>
          </w:p>
          <w:p w14:paraId="467F0BE1">
            <w:pPr>
              <w:pStyle w:val="6"/>
              <w:spacing w:before="30" w:line="219" w:lineRule="auto"/>
              <w:ind w:left="173"/>
              <w:rPr>
                <w:sz w:val="21"/>
                <w:szCs w:val="21"/>
              </w:rPr>
            </w:pPr>
            <w:r>
              <w:rPr>
                <w:spacing w:val="-1"/>
                <w:sz w:val="21"/>
                <w:szCs w:val="21"/>
              </w:rPr>
              <w:t>路、集电线路塔基等)、生活</w:t>
            </w:r>
          </w:p>
          <w:p w14:paraId="0FF5B744">
            <w:pPr>
              <w:pStyle w:val="6"/>
              <w:spacing w:before="21" w:line="219" w:lineRule="auto"/>
              <w:ind w:left="173"/>
              <w:rPr>
                <w:sz w:val="21"/>
                <w:szCs w:val="21"/>
              </w:rPr>
            </w:pPr>
            <w:r>
              <w:rPr>
                <w:spacing w:val="7"/>
                <w:sz w:val="21"/>
                <w:szCs w:val="21"/>
              </w:rPr>
              <w:t>区(包括办公、住宿、食堂、</w:t>
            </w:r>
          </w:p>
          <w:p w14:paraId="625BB5B1">
            <w:pPr>
              <w:pStyle w:val="6"/>
              <w:spacing w:before="28" w:line="216" w:lineRule="auto"/>
              <w:ind w:left="123"/>
              <w:rPr>
                <w:sz w:val="21"/>
                <w:szCs w:val="21"/>
              </w:rPr>
            </w:pPr>
            <w:r>
              <w:rPr>
                <w:spacing w:val="4"/>
                <w:sz w:val="21"/>
                <w:szCs w:val="21"/>
              </w:rPr>
              <w:t>活动场所、仓库等附属设施),</w:t>
            </w:r>
          </w:p>
          <w:p w14:paraId="65D9B710">
            <w:pPr>
              <w:pStyle w:val="6"/>
              <w:spacing w:before="27" w:line="219" w:lineRule="auto"/>
              <w:ind w:left="432"/>
              <w:rPr>
                <w:sz w:val="21"/>
                <w:szCs w:val="21"/>
              </w:rPr>
            </w:pPr>
            <w:r>
              <w:rPr>
                <w:spacing w:val="-1"/>
                <w:sz w:val="21"/>
                <w:szCs w:val="21"/>
              </w:rPr>
              <w:t>禁止使用天然乔木林地</w:t>
            </w:r>
          </w:p>
        </w:tc>
        <w:tc>
          <w:tcPr>
            <w:tcW w:w="2727" w:type="dxa"/>
            <w:vAlign w:val="top"/>
          </w:tcPr>
          <w:p w14:paraId="01F9E862">
            <w:pPr>
              <w:pStyle w:val="6"/>
              <w:spacing w:before="44" w:line="238" w:lineRule="auto"/>
              <w:ind w:left="96"/>
              <w:jc w:val="both"/>
              <w:rPr>
                <w:sz w:val="21"/>
                <w:szCs w:val="21"/>
              </w:rPr>
            </w:pPr>
            <w:r>
              <w:rPr>
                <w:sz w:val="21"/>
                <w:szCs w:val="21"/>
              </w:rPr>
              <w:t>项目选址内使用林地地类为</w:t>
            </w:r>
            <w:r>
              <w:rPr>
                <w:spacing w:val="2"/>
                <w:sz w:val="21"/>
                <w:szCs w:val="21"/>
              </w:rPr>
              <w:t xml:space="preserve">  </w:t>
            </w:r>
            <w:r>
              <w:rPr>
                <w:spacing w:val="4"/>
                <w:sz w:val="21"/>
                <w:szCs w:val="21"/>
              </w:rPr>
              <w:t>一般灌木林地和其他林地，</w:t>
            </w:r>
            <w:r>
              <w:rPr>
                <w:spacing w:val="2"/>
                <w:sz w:val="21"/>
                <w:szCs w:val="21"/>
              </w:rPr>
              <w:t xml:space="preserve"> </w:t>
            </w:r>
            <w:r>
              <w:rPr>
                <w:sz w:val="21"/>
                <w:szCs w:val="21"/>
              </w:rPr>
              <w:t>占用林地起源为人工。几沃</w:t>
            </w:r>
            <w:r>
              <w:rPr>
                <w:spacing w:val="2"/>
                <w:sz w:val="21"/>
                <w:szCs w:val="21"/>
              </w:rPr>
              <w:t xml:space="preserve">  梁子农光互补光伏发电项目</w:t>
            </w:r>
            <w:r>
              <w:rPr>
                <w:spacing w:val="10"/>
                <w:sz w:val="21"/>
                <w:szCs w:val="21"/>
              </w:rPr>
              <w:t xml:space="preserve"> </w:t>
            </w:r>
            <w:r>
              <w:rPr>
                <w:spacing w:val="11"/>
                <w:sz w:val="21"/>
                <w:szCs w:val="21"/>
              </w:rPr>
              <w:t>用地规模208.8715</w:t>
            </w:r>
            <w:r>
              <w:rPr>
                <w:sz w:val="21"/>
                <w:szCs w:val="21"/>
              </w:rPr>
              <w:t>hm</w:t>
            </w:r>
            <w:r>
              <w:rPr>
                <w:spacing w:val="11"/>
                <w:sz w:val="21"/>
                <w:szCs w:val="21"/>
              </w:rPr>
              <w:t>²,其</w:t>
            </w:r>
            <w:r>
              <w:rPr>
                <w:sz w:val="21"/>
                <w:szCs w:val="21"/>
              </w:rPr>
              <w:t xml:space="preserve">  </w:t>
            </w:r>
            <w:r>
              <w:rPr>
                <w:spacing w:val="7"/>
                <w:sz w:val="21"/>
                <w:szCs w:val="21"/>
              </w:rPr>
              <w:t>中林地面积51.3563</w:t>
            </w:r>
            <w:r>
              <w:rPr>
                <w:sz w:val="21"/>
                <w:szCs w:val="21"/>
              </w:rPr>
              <w:t>hm</w:t>
            </w:r>
            <w:r>
              <w:rPr>
                <w:spacing w:val="7"/>
                <w:sz w:val="21"/>
                <w:szCs w:val="21"/>
              </w:rPr>
              <w:t>²,非</w:t>
            </w:r>
            <w:r>
              <w:rPr>
                <w:spacing w:val="1"/>
                <w:sz w:val="21"/>
                <w:szCs w:val="21"/>
              </w:rPr>
              <w:t xml:space="preserve">  </w:t>
            </w:r>
            <w:r>
              <w:rPr>
                <w:spacing w:val="11"/>
                <w:sz w:val="21"/>
                <w:szCs w:val="21"/>
              </w:rPr>
              <w:t>林地面积157.5152</w:t>
            </w:r>
            <w:r>
              <w:rPr>
                <w:sz w:val="21"/>
                <w:szCs w:val="21"/>
              </w:rPr>
              <w:t>hm</w:t>
            </w:r>
            <w:r>
              <w:rPr>
                <w:spacing w:val="11"/>
                <w:sz w:val="21"/>
                <w:szCs w:val="21"/>
              </w:rPr>
              <w:t>²,使</w:t>
            </w:r>
            <w:r>
              <w:rPr>
                <w:sz w:val="21"/>
                <w:szCs w:val="21"/>
              </w:rPr>
              <w:t xml:space="preserve">  </w:t>
            </w:r>
            <w:r>
              <w:rPr>
                <w:spacing w:val="-2"/>
                <w:sz w:val="21"/>
                <w:szCs w:val="21"/>
              </w:rPr>
              <w:t>用林地性质为永久性使用林</w:t>
            </w:r>
            <w:r>
              <w:rPr>
                <w:spacing w:val="4"/>
                <w:sz w:val="21"/>
                <w:szCs w:val="21"/>
              </w:rPr>
              <w:t xml:space="preserve">  </w:t>
            </w:r>
            <w:r>
              <w:rPr>
                <w:spacing w:val="11"/>
                <w:sz w:val="21"/>
                <w:szCs w:val="21"/>
              </w:rPr>
              <w:t>地面积1.4147</w:t>
            </w:r>
            <w:r>
              <w:rPr>
                <w:sz w:val="21"/>
                <w:szCs w:val="21"/>
              </w:rPr>
              <w:t>hm</w:t>
            </w:r>
            <w:r>
              <w:rPr>
                <w:spacing w:val="11"/>
                <w:sz w:val="21"/>
                <w:szCs w:val="21"/>
              </w:rPr>
              <w:t>²,临时性</w:t>
            </w:r>
            <w:r>
              <w:rPr>
                <w:spacing w:val="4"/>
                <w:sz w:val="21"/>
                <w:szCs w:val="21"/>
              </w:rPr>
              <w:t xml:space="preserve">  </w:t>
            </w:r>
            <w:r>
              <w:rPr>
                <w:spacing w:val="6"/>
                <w:sz w:val="21"/>
                <w:szCs w:val="21"/>
              </w:rPr>
              <w:t>使用林地面积49.9416</w:t>
            </w:r>
            <w:r>
              <w:rPr>
                <w:sz w:val="21"/>
                <w:szCs w:val="21"/>
              </w:rPr>
              <w:t>hm</w:t>
            </w:r>
            <w:r>
              <w:rPr>
                <w:spacing w:val="6"/>
                <w:sz w:val="21"/>
                <w:szCs w:val="21"/>
              </w:rPr>
              <w:t>²。</w:t>
            </w:r>
            <w:r>
              <w:rPr>
                <w:spacing w:val="9"/>
                <w:sz w:val="21"/>
                <w:szCs w:val="21"/>
              </w:rPr>
              <w:t xml:space="preserve"> </w:t>
            </w:r>
            <w:r>
              <w:rPr>
                <w:sz w:val="21"/>
                <w:szCs w:val="21"/>
              </w:rPr>
              <w:t>用地性质为其他林地。临时</w:t>
            </w:r>
            <w:r>
              <w:rPr>
                <w:spacing w:val="3"/>
                <w:sz w:val="21"/>
                <w:szCs w:val="21"/>
              </w:rPr>
              <w:t xml:space="preserve">  </w:t>
            </w:r>
            <w:r>
              <w:rPr>
                <w:sz w:val="21"/>
                <w:szCs w:val="21"/>
              </w:rPr>
              <w:t>用地和永久用地不属于云南</w:t>
            </w:r>
            <w:r>
              <w:rPr>
                <w:spacing w:val="2"/>
                <w:sz w:val="21"/>
                <w:szCs w:val="21"/>
              </w:rPr>
              <w:t xml:space="preserve">  </w:t>
            </w:r>
            <w:r>
              <w:rPr>
                <w:sz w:val="21"/>
                <w:szCs w:val="21"/>
              </w:rPr>
              <w:t>省天然林资源保护工程实施</w:t>
            </w:r>
            <w:r>
              <w:rPr>
                <w:spacing w:val="2"/>
                <w:sz w:val="21"/>
                <w:szCs w:val="21"/>
              </w:rPr>
              <w:t xml:space="preserve">  </w:t>
            </w:r>
            <w:r>
              <w:rPr>
                <w:sz w:val="21"/>
                <w:szCs w:val="21"/>
              </w:rPr>
              <w:t>区，不涉及自然保护区、森</w:t>
            </w:r>
            <w:r>
              <w:rPr>
                <w:spacing w:val="2"/>
                <w:sz w:val="21"/>
                <w:szCs w:val="21"/>
              </w:rPr>
              <w:t xml:space="preserve">  </w:t>
            </w:r>
            <w:r>
              <w:rPr>
                <w:spacing w:val="1"/>
                <w:sz w:val="21"/>
                <w:szCs w:val="21"/>
              </w:rPr>
              <w:t>林公园、湿地公园和风景名</w:t>
            </w:r>
            <w:r>
              <w:rPr>
                <w:spacing w:val="10"/>
                <w:sz w:val="21"/>
                <w:szCs w:val="21"/>
              </w:rPr>
              <w:t xml:space="preserve"> </w:t>
            </w:r>
            <w:r>
              <w:rPr>
                <w:spacing w:val="-2"/>
                <w:sz w:val="21"/>
                <w:szCs w:val="21"/>
              </w:rPr>
              <w:t>胜区等重点生态区域。不在</w:t>
            </w:r>
            <w:r>
              <w:rPr>
                <w:spacing w:val="5"/>
                <w:sz w:val="21"/>
                <w:szCs w:val="21"/>
              </w:rPr>
              <w:t xml:space="preserve">  </w:t>
            </w:r>
            <w:r>
              <w:rPr>
                <w:spacing w:val="3"/>
                <w:sz w:val="21"/>
                <w:szCs w:val="21"/>
              </w:rPr>
              <w:t>马龙区城市规划区内。项目</w:t>
            </w:r>
            <w:r>
              <w:rPr>
                <w:sz w:val="21"/>
                <w:szCs w:val="21"/>
              </w:rPr>
              <w:t xml:space="preserve"> 电池组件阵列区、塔基和升</w:t>
            </w:r>
            <w:r>
              <w:rPr>
                <w:spacing w:val="2"/>
                <w:sz w:val="21"/>
                <w:szCs w:val="21"/>
              </w:rPr>
              <w:t xml:space="preserve">  </w:t>
            </w:r>
            <w:r>
              <w:rPr>
                <w:spacing w:val="1"/>
                <w:sz w:val="21"/>
                <w:szCs w:val="21"/>
              </w:rPr>
              <w:t>压站使用林地权属为马龙区</w:t>
            </w:r>
            <w:r>
              <w:rPr>
                <w:sz w:val="21"/>
                <w:szCs w:val="21"/>
              </w:rPr>
              <w:t xml:space="preserve">  </w:t>
            </w:r>
            <w:r>
              <w:rPr>
                <w:spacing w:val="1"/>
                <w:sz w:val="21"/>
                <w:szCs w:val="21"/>
              </w:rPr>
              <w:t>各村民小组集体所有。已由</w:t>
            </w:r>
            <w:r>
              <w:rPr>
                <w:spacing w:val="7"/>
                <w:sz w:val="21"/>
                <w:szCs w:val="21"/>
              </w:rPr>
              <w:t xml:space="preserve"> </w:t>
            </w:r>
            <w:r>
              <w:rPr>
                <w:sz w:val="21"/>
                <w:szCs w:val="21"/>
              </w:rPr>
              <w:t>项目业主单位与林权权利人</w:t>
            </w:r>
            <w:r>
              <w:rPr>
                <w:spacing w:val="1"/>
                <w:sz w:val="21"/>
                <w:szCs w:val="21"/>
              </w:rPr>
              <w:t xml:space="preserve">  </w:t>
            </w:r>
            <w:r>
              <w:rPr>
                <w:spacing w:val="8"/>
                <w:sz w:val="21"/>
                <w:szCs w:val="21"/>
              </w:rPr>
              <w:t>签订书面协议，通过租赁、</w:t>
            </w:r>
          </w:p>
        </w:tc>
        <w:tc>
          <w:tcPr>
            <w:tcW w:w="894" w:type="dxa"/>
            <w:gridSpan w:val="2"/>
            <w:vAlign w:val="top"/>
          </w:tcPr>
          <w:p w14:paraId="38A2DD6F">
            <w:pPr>
              <w:spacing w:line="256" w:lineRule="auto"/>
              <w:rPr>
                <w:rFonts w:ascii="Arial"/>
                <w:sz w:val="21"/>
              </w:rPr>
            </w:pPr>
          </w:p>
          <w:p w14:paraId="37F33FCE">
            <w:pPr>
              <w:spacing w:line="256" w:lineRule="auto"/>
              <w:rPr>
                <w:rFonts w:ascii="Arial"/>
                <w:sz w:val="21"/>
              </w:rPr>
            </w:pPr>
          </w:p>
          <w:p w14:paraId="161B007B">
            <w:pPr>
              <w:spacing w:line="256" w:lineRule="auto"/>
              <w:rPr>
                <w:rFonts w:ascii="Arial"/>
                <w:sz w:val="21"/>
              </w:rPr>
            </w:pPr>
          </w:p>
          <w:p w14:paraId="51CA0A63">
            <w:pPr>
              <w:spacing w:line="256" w:lineRule="auto"/>
              <w:rPr>
                <w:rFonts w:ascii="Arial"/>
                <w:sz w:val="21"/>
              </w:rPr>
            </w:pPr>
          </w:p>
          <w:p w14:paraId="088801B3">
            <w:pPr>
              <w:spacing w:line="256" w:lineRule="auto"/>
              <w:rPr>
                <w:rFonts w:ascii="Arial"/>
                <w:sz w:val="21"/>
              </w:rPr>
            </w:pPr>
          </w:p>
          <w:p w14:paraId="01EA5802">
            <w:pPr>
              <w:spacing w:line="256" w:lineRule="auto"/>
              <w:rPr>
                <w:rFonts w:ascii="Arial"/>
                <w:sz w:val="21"/>
              </w:rPr>
            </w:pPr>
          </w:p>
          <w:p w14:paraId="489D727E">
            <w:pPr>
              <w:spacing w:line="256" w:lineRule="auto"/>
              <w:rPr>
                <w:rFonts w:ascii="Arial"/>
                <w:sz w:val="21"/>
              </w:rPr>
            </w:pPr>
          </w:p>
          <w:p w14:paraId="06B1CC10">
            <w:pPr>
              <w:spacing w:line="256" w:lineRule="auto"/>
              <w:rPr>
                <w:rFonts w:ascii="Arial"/>
                <w:sz w:val="21"/>
              </w:rPr>
            </w:pPr>
          </w:p>
          <w:p w14:paraId="4EDC0D2D">
            <w:pPr>
              <w:spacing w:line="257" w:lineRule="auto"/>
              <w:rPr>
                <w:rFonts w:ascii="Arial"/>
                <w:sz w:val="21"/>
              </w:rPr>
            </w:pPr>
          </w:p>
          <w:p w14:paraId="78098FF7">
            <w:pPr>
              <w:spacing w:line="257" w:lineRule="auto"/>
              <w:rPr>
                <w:rFonts w:ascii="Arial"/>
                <w:sz w:val="21"/>
              </w:rPr>
            </w:pPr>
          </w:p>
          <w:p w14:paraId="19A60A91">
            <w:pPr>
              <w:spacing w:line="257" w:lineRule="auto"/>
              <w:rPr>
                <w:rFonts w:ascii="Arial"/>
                <w:sz w:val="21"/>
              </w:rPr>
            </w:pPr>
          </w:p>
          <w:p w14:paraId="3B2F14A8">
            <w:pPr>
              <w:pStyle w:val="6"/>
              <w:spacing w:before="68" w:line="219" w:lineRule="auto"/>
              <w:ind w:left="229"/>
              <w:rPr>
                <w:sz w:val="21"/>
                <w:szCs w:val="21"/>
              </w:rPr>
            </w:pPr>
            <w:r>
              <w:rPr>
                <w:spacing w:val="-3"/>
                <w:sz w:val="21"/>
                <w:szCs w:val="21"/>
              </w:rPr>
              <w:t>符合</w:t>
            </w:r>
          </w:p>
        </w:tc>
      </w:tr>
    </w:tbl>
    <w:p w14:paraId="59472E91">
      <w:pPr>
        <w:pStyle w:val="2"/>
      </w:pPr>
    </w:p>
    <w:p w14:paraId="2D7CC30A">
      <w:pPr>
        <w:sectPr>
          <w:footerReference r:id="rId18" w:type="default"/>
          <w:pgSz w:w="11910" w:h="16840"/>
          <w:pgMar w:top="1431" w:right="1534" w:bottom="1255" w:left="1494" w:header="0" w:footer="1093" w:gutter="0"/>
          <w:cols w:space="720" w:num="1"/>
        </w:sectPr>
      </w:pPr>
    </w:p>
    <w:p w14:paraId="7B4FAE40">
      <w:pPr>
        <w:spacing w:line="93" w:lineRule="exact"/>
      </w:pPr>
    </w:p>
    <w:tbl>
      <w:tblPr>
        <w:tblStyle w:val="5"/>
        <w:tblW w:w="8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699"/>
        <w:gridCol w:w="2917"/>
        <w:gridCol w:w="2747"/>
        <w:gridCol w:w="874"/>
      </w:tblGrid>
      <w:tr w14:paraId="39D03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1573" w:type="dxa"/>
            <w:vMerge w:val="restart"/>
            <w:tcBorders>
              <w:bottom w:val="nil"/>
            </w:tcBorders>
            <w:vAlign w:val="top"/>
          </w:tcPr>
          <w:p w14:paraId="76CBF4A1">
            <w:pPr>
              <w:rPr>
                <w:rFonts w:ascii="Arial"/>
                <w:sz w:val="21"/>
              </w:rPr>
            </w:pPr>
          </w:p>
        </w:tc>
        <w:tc>
          <w:tcPr>
            <w:tcW w:w="699" w:type="dxa"/>
            <w:vAlign w:val="top"/>
          </w:tcPr>
          <w:p w14:paraId="1EA76FC9">
            <w:pPr>
              <w:rPr>
                <w:rFonts w:ascii="Arial"/>
                <w:sz w:val="21"/>
              </w:rPr>
            </w:pPr>
          </w:p>
        </w:tc>
        <w:tc>
          <w:tcPr>
            <w:tcW w:w="2917" w:type="dxa"/>
            <w:vAlign w:val="top"/>
          </w:tcPr>
          <w:p w14:paraId="48950B14">
            <w:pPr>
              <w:rPr>
                <w:rFonts w:ascii="Arial"/>
                <w:sz w:val="21"/>
              </w:rPr>
            </w:pPr>
          </w:p>
        </w:tc>
        <w:tc>
          <w:tcPr>
            <w:tcW w:w="2747" w:type="dxa"/>
            <w:vAlign w:val="top"/>
          </w:tcPr>
          <w:p w14:paraId="043D71D1">
            <w:pPr>
              <w:pStyle w:val="6"/>
              <w:spacing w:before="41" w:line="218" w:lineRule="auto"/>
              <w:ind w:left="106"/>
              <w:rPr>
                <w:sz w:val="21"/>
                <w:szCs w:val="21"/>
              </w:rPr>
            </w:pPr>
            <w:r>
              <w:rPr>
                <w:spacing w:val="-1"/>
                <w:sz w:val="21"/>
                <w:szCs w:val="21"/>
              </w:rPr>
              <w:t>作价入股等流转方式使用林</w:t>
            </w:r>
          </w:p>
          <w:p w14:paraId="2B21C8EF">
            <w:pPr>
              <w:pStyle w:val="6"/>
              <w:spacing w:before="14" w:line="219" w:lineRule="auto"/>
              <w:ind w:left="106"/>
              <w:rPr>
                <w:sz w:val="21"/>
                <w:szCs w:val="21"/>
              </w:rPr>
            </w:pPr>
            <w:r>
              <w:rPr>
                <w:spacing w:val="-1"/>
                <w:sz w:val="21"/>
                <w:szCs w:val="21"/>
              </w:rPr>
              <w:t>地。根据项目生态现状调查</w:t>
            </w:r>
          </w:p>
          <w:p w14:paraId="5348A42F">
            <w:pPr>
              <w:pStyle w:val="6"/>
              <w:spacing w:before="30" w:line="219" w:lineRule="auto"/>
              <w:ind w:left="106"/>
              <w:rPr>
                <w:sz w:val="21"/>
                <w:szCs w:val="21"/>
              </w:rPr>
            </w:pPr>
            <w:r>
              <w:rPr>
                <w:spacing w:val="2"/>
                <w:sz w:val="21"/>
                <w:szCs w:val="21"/>
              </w:rPr>
              <w:t>结果，项目占用草地、农用</w:t>
            </w:r>
          </w:p>
          <w:p w14:paraId="253E58FD">
            <w:pPr>
              <w:pStyle w:val="6"/>
              <w:spacing w:before="41" w:line="220" w:lineRule="auto"/>
              <w:ind w:left="156"/>
              <w:rPr>
                <w:sz w:val="21"/>
                <w:szCs w:val="21"/>
              </w:rPr>
            </w:pPr>
            <w:r>
              <w:rPr>
                <w:sz w:val="21"/>
                <w:szCs w:val="21"/>
              </w:rPr>
              <w:t>地、裸土地、裸岩石砾地，</w:t>
            </w:r>
          </w:p>
          <w:p w14:paraId="73C7BE05">
            <w:pPr>
              <w:pStyle w:val="6"/>
              <w:spacing w:before="9" w:line="219" w:lineRule="auto"/>
              <w:ind w:left="106"/>
              <w:rPr>
                <w:sz w:val="21"/>
                <w:szCs w:val="21"/>
              </w:rPr>
            </w:pPr>
            <w:r>
              <w:rPr>
                <w:spacing w:val="-1"/>
                <w:sz w:val="21"/>
                <w:szCs w:val="21"/>
              </w:rPr>
              <w:t>项目不涉及占用天然乔木林</w:t>
            </w:r>
          </w:p>
          <w:p w14:paraId="527F249B">
            <w:pPr>
              <w:pStyle w:val="6"/>
              <w:spacing w:before="31" w:line="193" w:lineRule="auto"/>
              <w:ind w:left="1266"/>
              <w:rPr>
                <w:sz w:val="21"/>
                <w:szCs w:val="21"/>
              </w:rPr>
            </w:pPr>
            <w:r>
              <w:rPr>
                <w:sz w:val="21"/>
                <w:szCs w:val="21"/>
              </w:rPr>
              <w:t>地</w:t>
            </w:r>
          </w:p>
        </w:tc>
        <w:tc>
          <w:tcPr>
            <w:tcW w:w="874" w:type="dxa"/>
            <w:vAlign w:val="top"/>
          </w:tcPr>
          <w:p w14:paraId="61B2238A">
            <w:pPr>
              <w:rPr>
                <w:rFonts w:ascii="Arial"/>
                <w:sz w:val="21"/>
              </w:rPr>
            </w:pPr>
          </w:p>
        </w:tc>
      </w:tr>
      <w:tr w14:paraId="1285B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7" w:hRule="atLeast"/>
        </w:trPr>
        <w:tc>
          <w:tcPr>
            <w:tcW w:w="1573" w:type="dxa"/>
            <w:vMerge w:val="continue"/>
            <w:tcBorders>
              <w:top w:val="nil"/>
              <w:bottom w:val="nil"/>
            </w:tcBorders>
            <w:vAlign w:val="top"/>
          </w:tcPr>
          <w:p w14:paraId="2BCA772D">
            <w:pPr>
              <w:rPr>
                <w:rFonts w:ascii="Arial"/>
                <w:sz w:val="21"/>
              </w:rPr>
            </w:pPr>
          </w:p>
        </w:tc>
        <w:tc>
          <w:tcPr>
            <w:tcW w:w="699" w:type="dxa"/>
            <w:vAlign w:val="top"/>
          </w:tcPr>
          <w:p w14:paraId="666ACB50">
            <w:pPr>
              <w:spacing w:line="250" w:lineRule="auto"/>
              <w:rPr>
                <w:rFonts w:ascii="Arial"/>
                <w:sz w:val="21"/>
              </w:rPr>
            </w:pPr>
          </w:p>
          <w:p w14:paraId="6E5AAB43">
            <w:pPr>
              <w:spacing w:line="250" w:lineRule="auto"/>
              <w:rPr>
                <w:rFonts w:ascii="Arial"/>
                <w:sz w:val="21"/>
              </w:rPr>
            </w:pPr>
          </w:p>
          <w:p w14:paraId="4A118B04">
            <w:pPr>
              <w:spacing w:line="250" w:lineRule="auto"/>
              <w:rPr>
                <w:rFonts w:ascii="Arial"/>
                <w:sz w:val="21"/>
              </w:rPr>
            </w:pPr>
          </w:p>
          <w:p w14:paraId="76E6FE11">
            <w:pPr>
              <w:spacing w:line="250" w:lineRule="auto"/>
              <w:rPr>
                <w:rFonts w:ascii="Arial"/>
                <w:sz w:val="21"/>
              </w:rPr>
            </w:pPr>
          </w:p>
          <w:p w14:paraId="06782448">
            <w:pPr>
              <w:spacing w:line="250" w:lineRule="auto"/>
              <w:rPr>
                <w:rFonts w:ascii="Arial"/>
                <w:sz w:val="21"/>
              </w:rPr>
            </w:pPr>
          </w:p>
          <w:p w14:paraId="0999EFF0">
            <w:pPr>
              <w:spacing w:line="250" w:lineRule="auto"/>
              <w:rPr>
                <w:rFonts w:ascii="Arial"/>
                <w:sz w:val="21"/>
              </w:rPr>
            </w:pPr>
          </w:p>
          <w:p w14:paraId="2C2E6BA4">
            <w:pPr>
              <w:spacing w:line="250" w:lineRule="auto"/>
              <w:rPr>
                <w:rFonts w:ascii="Arial"/>
                <w:sz w:val="21"/>
              </w:rPr>
            </w:pPr>
          </w:p>
          <w:p w14:paraId="34FEBE9B">
            <w:pPr>
              <w:pStyle w:val="6"/>
              <w:spacing w:before="69"/>
              <w:ind w:left="282"/>
              <w:rPr>
                <w:sz w:val="21"/>
                <w:szCs w:val="21"/>
              </w:rPr>
            </w:pPr>
            <w:r>
              <w:rPr>
                <w:sz w:val="21"/>
                <w:szCs w:val="21"/>
              </w:rPr>
              <w:t>3</w:t>
            </w:r>
          </w:p>
        </w:tc>
        <w:tc>
          <w:tcPr>
            <w:tcW w:w="2917" w:type="dxa"/>
            <w:vAlign w:val="top"/>
          </w:tcPr>
          <w:p w14:paraId="11320E60">
            <w:pPr>
              <w:spacing w:line="264" w:lineRule="auto"/>
              <w:rPr>
                <w:rFonts w:ascii="Arial"/>
                <w:sz w:val="21"/>
              </w:rPr>
            </w:pPr>
          </w:p>
          <w:p w14:paraId="77190D87">
            <w:pPr>
              <w:spacing w:line="264" w:lineRule="auto"/>
              <w:rPr>
                <w:rFonts w:ascii="Arial"/>
                <w:sz w:val="21"/>
              </w:rPr>
            </w:pPr>
          </w:p>
          <w:p w14:paraId="61774180">
            <w:pPr>
              <w:spacing w:line="265" w:lineRule="auto"/>
              <w:rPr>
                <w:rFonts w:ascii="Arial"/>
                <w:sz w:val="21"/>
              </w:rPr>
            </w:pPr>
          </w:p>
          <w:p w14:paraId="1A8A5519">
            <w:pPr>
              <w:spacing w:line="265" w:lineRule="auto"/>
              <w:rPr>
                <w:rFonts w:ascii="Arial"/>
                <w:sz w:val="21"/>
              </w:rPr>
            </w:pPr>
          </w:p>
          <w:p w14:paraId="171E01A5">
            <w:pPr>
              <w:spacing w:line="265" w:lineRule="auto"/>
              <w:rPr>
                <w:rFonts w:ascii="Arial"/>
                <w:sz w:val="21"/>
              </w:rPr>
            </w:pPr>
          </w:p>
          <w:p w14:paraId="6AD0C28F">
            <w:pPr>
              <w:pStyle w:val="6"/>
              <w:spacing w:before="68" w:line="219" w:lineRule="auto"/>
              <w:ind w:left="83"/>
              <w:rPr>
                <w:sz w:val="21"/>
                <w:szCs w:val="21"/>
              </w:rPr>
            </w:pPr>
            <w:r>
              <w:rPr>
                <w:spacing w:val="-1"/>
                <w:sz w:val="21"/>
                <w:szCs w:val="21"/>
              </w:rPr>
              <w:t>施工期临时设置的弃渣场、取</w:t>
            </w:r>
          </w:p>
          <w:p w14:paraId="0AB8CC4C">
            <w:pPr>
              <w:pStyle w:val="6"/>
              <w:spacing w:before="41" w:line="220" w:lineRule="auto"/>
              <w:ind w:left="83"/>
              <w:rPr>
                <w:sz w:val="21"/>
                <w:szCs w:val="21"/>
              </w:rPr>
            </w:pPr>
            <w:r>
              <w:rPr>
                <w:spacing w:val="-1"/>
                <w:sz w:val="21"/>
                <w:szCs w:val="21"/>
              </w:rPr>
              <w:t>土场、砂石场、堆料场、拌合</w:t>
            </w:r>
          </w:p>
          <w:p w14:paraId="43D631D6">
            <w:pPr>
              <w:pStyle w:val="6"/>
              <w:spacing w:before="9" w:line="219" w:lineRule="auto"/>
              <w:ind w:left="133"/>
              <w:rPr>
                <w:sz w:val="21"/>
                <w:szCs w:val="21"/>
              </w:rPr>
            </w:pPr>
            <w:r>
              <w:rPr>
                <w:sz w:val="21"/>
                <w:szCs w:val="21"/>
              </w:rPr>
              <w:t>站、工棚、临时施工道路等，</w:t>
            </w:r>
          </w:p>
          <w:p w14:paraId="293AEF03">
            <w:pPr>
              <w:pStyle w:val="6"/>
              <w:spacing w:before="21" w:line="219" w:lineRule="auto"/>
              <w:ind w:left="613"/>
              <w:rPr>
                <w:sz w:val="21"/>
                <w:szCs w:val="21"/>
              </w:rPr>
            </w:pPr>
            <w:r>
              <w:rPr>
                <w:spacing w:val="-1"/>
                <w:sz w:val="21"/>
                <w:szCs w:val="21"/>
              </w:rPr>
              <w:t>禁止使用乔木林地</w:t>
            </w:r>
          </w:p>
        </w:tc>
        <w:tc>
          <w:tcPr>
            <w:tcW w:w="2747" w:type="dxa"/>
            <w:vAlign w:val="top"/>
          </w:tcPr>
          <w:p w14:paraId="129F58FE">
            <w:pPr>
              <w:pStyle w:val="6"/>
              <w:spacing w:before="39" w:line="219" w:lineRule="auto"/>
              <w:ind w:left="106"/>
              <w:rPr>
                <w:sz w:val="21"/>
                <w:szCs w:val="21"/>
              </w:rPr>
            </w:pPr>
            <w:r>
              <w:rPr>
                <w:spacing w:val="-1"/>
                <w:sz w:val="21"/>
                <w:szCs w:val="21"/>
              </w:rPr>
              <w:t>根据项目可研，项目不新建</w:t>
            </w:r>
          </w:p>
          <w:p w14:paraId="179338C3">
            <w:pPr>
              <w:pStyle w:val="6"/>
              <w:spacing w:before="20" w:line="219" w:lineRule="auto"/>
              <w:ind w:left="106"/>
              <w:rPr>
                <w:sz w:val="21"/>
                <w:szCs w:val="21"/>
              </w:rPr>
            </w:pPr>
            <w:r>
              <w:rPr>
                <w:spacing w:val="-1"/>
                <w:sz w:val="21"/>
                <w:szCs w:val="21"/>
              </w:rPr>
              <w:t>道路。施工期施工人员就近</w:t>
            </w:r>
          </w:p>
          <w:p w14:paraId="4E31DA78">
            <w:pPr>
              <w:pStyle w:val="6"/>
              <w:spacing w:before="39" w:line="219" w:lineRule="auto"/>
              <w:ind w:left="215"/>
              <w:rPr>
                <w:sz w:val="21"/>
                <w:szCs w:val="21"/>
              </w:rPr>
            </w:pPr>
            <w:r>
              <w:rPr>
                <w:spacing w:val="1"/>
                <w:sz w:val="21"/>
                <w:szCs w:val="21"/>
              </w:rPr>
              <w:t>租用施工场地附近村民房</w:t>
            </w:r>
          </w:p>
          <w:p w14:paraId="59D1D13B">
            <w:pPr>
              <w:pStyle w:val="6"/>
              <w:spacing w:before="22" w:line="220" w:lineRule="auto"/>
              <w:ind w:left="106"/>
              <w:rPr>
                <w:sz w:val="21"/>
                <w:szCs w:val="21"/>
              </w:rPr>
            </w:pPr>
            <w:r>
              <w:rPr>
                <w:spacing w:val="1"/>
                <w:sz w:val="21"/>
                <w:szCs w:val="21"/>
              </w:rPr>
              <w:t>屋，不设置生活区。施工原</w:t>
            </w:r>
          </w:p>
          <w:p w14:paraId="71162A3F">
            <w:pPr>
              <w:pStyle w:val="6"/>
              <w:spacing w:before="8" w:line="219" w:lineRule="auto"/>
              <w:ind w:left="106"/>
              <w:rPr>
                <w:sz w:val="21"/>
                <w:szCs w:val="21"/>
              </w:rPr>
            </w:pPr>
            <w:r>
              <w:rPr>
                <w:spacing w:val="-1"/>
                <w:sz w:val="21"/>
                <w:szCs w:val="21"/>
              </w:rPr>
              <w:t>料在施工场地附近集镇内租</w:t>
            </w:r>
          </w:p>
          <w:p w14:paraId="54A9F1E6">
            <w:pPr>
              <w:pStyle w:val="6"/>
              <w:spacing w:before="22" w:line="219" w:lineRule="auto"/>
              <w:ind w:left="106"/>
              <w:rPr>
                <w:sz w:val="21"/>
                <w:szCs w:val="21"/>
              </w:rPr>
            </w:pPr>
            <w:r>
              <w:rPr>
                <w:spacing w:val="-1"/>
                <w:sz w:val="21"/>
                <w:szCs w:val="21"/>
              </w:rPr>
              <w:t>用仓库存放，施工场地不设</w:t>
            </w:r>
          </w:p>
          <w:p w14:paraId="45082A1C">
            <w:pPr>
              <w:pStyle w:val="6"/>
              <w:spacing w:before="41" w:line="219" w:lineRule="auto"/>
              <w:ind w:right="5"/>
              <w:jc w:val="right"/>
              <w:rPr>
                <w:sz w:val="21"/>
                <w:szCs w:val="21"/>
              </w:rPr>
            </w:pPr>
            <w:r>
              <w:rPr>
                <w:spacing w:val="8"/>
                <w:sz w:val="21"/>
                <w:szCs w:val="21"/>
              </w:rPr>
              <w:t>置原料仓库。项目升压站、</w:t>
            </w:r>
          </w:p>
          <w:p w14:paraId="45AD9701">
            <w:pPr>
              <w:pStyle w:val="6"/>
              <w:spacing w:before="12" w:line="220" w:lineRule="auto"/>
              <w:ind w:left="106"/>
              <w:rPr>
                <w:sz w:val="21"/>
                <w:szCs w:val="21"/>
              </w:rPr>
            </w:pPr>
            <w:r>
              <w:rPr>
                <w:spacing w:val="2"/>
                <w:sz w:val="21"/>
                <w:szCs w:val="21"/>
              </w:rPr>
              <w:t>塔基永久占地性质为其他用</w:t>
            </w:r>
          </w:p>
          <w:p w14:paraId="1FEE214F">
            <w:pPr>
              <w:pStyle w:val="6"/>
              <w:spacing w:before="20" w:line="220" w:lineRule="auto"/>
              <w:ind w:left="106"/>
              <w:rPr>
                <w:sz w:val="21"/>
                <w:szCs w:val="21"/>
              </w:rPr>
            </w:pPr>
            <w:r>
              <w:rPr>
                <w:spacing w:val="-1"/>
                <w:sz w:val="21"/>
                <w:szCs w:val="21"/>
              </w:rPr>
              <w:t>地。同时项目的土石方量较</w:t>
            </w:r>
          </w:p>
          <w:p w14:paraId="631F1C91">
            <w:pPr>
              <w:pStyle w:val="6"/>
              <w:spacing w:before="17" w:line="219" w:lineRule="auto"/>
              <w:ind w:left="156"/>
              <w:rPr>
                <w:sz w:val="21"/>
                <w:szCs w:val="21"/>
              </w:rPr>
            </w:pPr>
            <w:r>
              <w:rPr>
                <w:sz w:val="21"/>
                <w:szCs w:val="21"/>
              </w:rPr>
              <w:t>小，根据土石方平衡章节，</w:t>
            </w:r>
          </w:p>
          <w:p w14:paraId="648FCC50">
            <w:pPr>
              <w:pStyle w:val="6"/>
              <w:spacing w:before="33" w:line="219" w:lineRule="auto"/>
              <w:ind w:left="106"/>
              <w:rPr>
                <w:sz w:val="21"/>
                <w:szCs w:val="21"/>
              </w:rPr>
            </w:pPr>
            <w:r>
              <w:rPr>
                <w:spacing w:val="-1"/>
                <w:sz w:val="21"/>
                <w:szCs w:val="21"/>
              </w:rPr>
              <w:t>场地内土石方平衡，不设置</w:t>
            </w:r>
          </w:p>
          <w:p w14:paraId="32550EC4">
            <w:pPr>
              <w:pStyle w:val="6"/>
              <w:spacing w:before="11" w:line="219" w:lineRule="auto"/>
              <w:ind w:left="476"/>
              <w:rPr>
                <w:sz w:val="21"/>
                <w:szCs w:val="21"/>
              </w:rPr>
            </w:pPr>
            <w:r>
              <w:rPr>
                <w:spacing w:val="-1"/>
                <w:sz w:val="21"/>
                <w:szCs w:val="21"/>
              </w:rPr>
              <w:t>取弃土场及弃渣场。</w:t>
            </w:r>
          </w:p>
          <w:p w14:paraId="2D7C4425">
            <w:pPr>
              <w:pStyle w:val="6"/>
              <w:spacing w:before="40" w:line="219" w:lineRule="auto"/>
              <w:ind w:left="106"/>
              <w:rPr>
                <w:sz w:val="21"/>
                <w:szCs w:val="21"/>
              </w:rPr>
            </w:pPr>
            <w:r>
              <w:rPr>
                <w:spacing w:val="-1"/>
                <w:sz w:val="21"/>
                <w:szCs w:val="21"/>
              </w:rPr>
              <w:t>项目选址不涉及占用乔木林</w:t>
            </w:r>
          </w:p>
          <w:p w14:paraId="5C20211A">
            <w:pPr>
              <w:pStyle w:val="6"/>
              <w:spacing w:before="21" w:line="191" w:lineRule="auto"/>
              <w:ind w:left="1266"/>
              <w:rPr>
                <w:sz w:val="21"/>
                <w:szCs w:val="21"/>
              </w:rPr>
            </w:pPr>
            <w:r>
              <w:rPr>
                <w:sz w:val="21"/>
                <w:szCs w:val="21"/>
              </w:rPr>
              <w:t>地</w:t>
            </w:r>
          </w:p>
        </w:tc>
        <w:tc>
          <w:tcPr>
            <w:tcW w:w="874" w:type="dxa"/>
            <w:vAlign w:val="top"/>
          </w:tcPr>
          <w:p w14:paraId="4BBD8BCD">
            <w:pPr>
              <w:spacing w:line="247" w:lineRule="auto"/>
              <w:rPr>
                <w:rFonts w:ascii="Arial"/>
                <w:sz w:val="21"/>
              </w:rPr>
            </w:pPr>
          </w:p>
          <w:p w14:paraId="4164C919">
            <w:pPr>
              <w:spacing w:line="247" w:lineRule="auto"/>
              <w:rPr>
                <w:rFonts w:ascii="Arial"/>
                <w:sz w:val="21"/>
              </w:rPr>
            </w:pPr>
          </w:p>
          <w:p w14:paraId="7A73A951">
            <w:pPr>
              <w:spacing w:line="247" w:lineRule="auto"/>
              <w:rPr>
                <w:rFonts w:ascii="Arial"/>
                <w:sz w:val="21"/>
              </w:rPr>
            </w:pPr>
          </w:p>
          <w:p w14:paraId="2129C0FD">
            <w:pPr>
              <w:spacing w:line="247" w:lineRule="auto"/>
              <w:rPr>
                <w:rFonts w:ascii="Arial"/>
                <w:sz w:val="21"/>
              </w:rPr>
            </w:pPr>
          </w:p>
          <w:p w14:paraId="00C881E1">
            <w:pPr>
              <w:spacing w:line="247" w:lineRule="auto"/>
              <w:rPr>
                <w:rFonts w:ascii="Arial"/>
                <w:sz w:val="21"/>
              </w:rPr>
            </w:pPr>
          </w:p>
          <w:p w14:paraId="799FAD07">
            <w:pPr>
              <w:spacing w:line="247" w:lineRule="auto"/>
              <w:rPr>
                <w:rFonts w:ascii="Arial"/>
                <w:sz w:val="21"/>
              </w:rPr>
            </w:pPr>
          </w:p>
          <w:p w14:paraId="60788A0C">
            <w:pPr>
              <w:spacing w:line="248" w:lineRule="auto"/>
              <w:rPr>
                <w:rFonts w:ascii="Arial"/>
                <w:sz w:val="21"/>
              </w:rPr>
            </w:pPr>
          </w:p>
          <w:p w14:paraId="27C2F83F">
            <w:pPr>
              <w:pStyle w:val="6"/>
              <w:spacing w:before="69" w:line="219" w:lineRule="auto"/>
              <w:ind w:left="219"/>
              <w:rPr>
                <w:sz w:val="21"/>
                <w:szCs w:val="21"/>
              </w:rPr>
            </w:pPr>
            <w:r>
              <w:rPr>
                <w:spacing w:val="-3"/>
                <w:sz w:val="21"/>
                <w:szCs w:val="21"/>
              </w:rPr>
              <w:t>符合</w:t>
            </w:r>
          </w:p>
        </w:tc>
      </w:tr>
      <w:tr w14:paraId="18D03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6" w:hRule="atLeast"/>
        </w:trPr>
        <w:tc>
          <w:tcPr>
            <w:tcW w:w="1573" w:type="dxa"/>
            <w:vMerge w:val="continue"/>
            <w:tcBorders>
              <w:top w:val="nil"/>
              <w:bottom w:val="nil"/>
            </w:tcBorders>
            <w:vAlign w:val="top"/>
          </w:tcPr>
          <w:p w14:paraId="51BBCBC2">
            <w:pPr>
              <w:rPr>
                <w:rFonts w:ascii="Arial"/>
                <w:sz w:val="21"/>
              </w:rPr>
            </w:pPr>
          </w:p>
        </w:tc>
        <w:tc>
          <w:tcPr>
            <w:tcW w:w="699" w:type="dxa"/>
            <w:vAlign w:val="top"/>
          </w:tcPr>
          <w:p w14:paraId="18EC4EFC">
            <w:pPr>
              <w:spacing w:line="254" w:lineRule="auto"/>
              <w:rPr>
                <w:rFonts w:ascii="Arial"/>
                <w:sz w:val="21"/>
              </w:rPr>
            </w:pPr>
          </w:p>
          <w:p w14:paraId="0D6B0FCF">
            <w:pPr>
              <w:spacing w:line="254" w:lineRule="auto"/>
              <w:rPr>
                <w:rFonts w:ascii="Arial"/>
                <w:sz w:val="21"/>
              </w:rPr>
            </w:pPr>
          </w:p>
          <w:p w14:paraId="6EFDA2F8">
            <w:pPr>
              <w:spacing w:line="254" w:lineRule="auto"/>
              <w:rPr>
                <w:rFonts w:ascii="Arial"/>
                <w:sz w:val="21"/>
              </w:rPr>
            </w:pPr>
          </w:p>
          <w:p w14:paraId="603C260F">
            <w:pPr>
              <w:spacing w:line="254" w:lineRule="auto"/>
              <w:rPr>
                <w:rFonts w:ascii="Arial"/>
                <w:sz w:val="21"/>
              </w:rPr>
            </w:pPr>
          </w:p>
          <w:p w14:paraId="24E91B0D">
            <w:pPr>
              <w:spacing w:line="255" w:lineRule="auto"/>
              <w:rPr>
                <w:rFonts w:ascii="Arial"/>
                <w:sz w:val="21"/>
              </w:rPr>
            </w:pPr>
          </w:p>
          <w:p w14:paraId="27026010">
            <w:pPr>
              <w:spacing w:line="255" w:lineRule="auto"/>
              <w:rPr>
                <w:rFonts w:ascii="Arial"/>
                <w:sz w:val="21"/>
              </w:rPr>
            </w:pPr>
          </w:p>
          <w:p w14:paraId="734DC13D">
            <w:pPr>
              <w:spacing w:line="255" w:lineRule="auto"/>
              <w:rPr>
                <w:rFonts w:ascii="Arial"/>
                <w:sz w:val="21"/>
              </w:rPr>
            </w:pPr>
          </w:p>
          <w:p w14:paraId="2409B66C">
            <w:pPr>
              <w:spacing w:line="255" w:lineRule="auto"/>
              <w:rPr>
                <w:rFonts w:ascii="Arial"/>
                <w:sz w:val="21"/>
              </w:rPr>
            </w:pPr>
          </w:p>
          <w:p w14:paraId="32E43506">
            <w:pPr>
              <w:spacing w:line="255" w:lineRule="auto"/>
              <w:rPr>
                <w:rFonts w:ascii="Arial"/>
                <w:sz w:val="21"/>
              </w:rPr>
            </w:pPr>
          </w:p>
          <w:p w14:paraId="1634911E">
            <w:pPr>
              <w:pStyle w:val="6"/>
              <w:spacing w:before="68" w:line="241" w:lineRule="auto"/>
              <w:ind w:left="282"/>
              <w:rPr>
                <w:sz w:val="21"/>
                <w:szCs w:val="21"/>
              </w:rPr>
            </w:pPr>
            <w:r>
              <w:rPr>
                <w:sz w:val="21"/>
                <w:szCs w:val="21"/>
              </w:rPr>
              <w:t>4</w:t>
            </w:r>
          </w:p>
        </w:tc>
        <w:tc>
          <w:tcPr>
            <w:tcW w:w="2917" w:type="dxa"/>
            <w:vAlign w:val="top"/>
          </w:tcPr>
          <w:p w14:paraId="5B0174AE">
            <w:pPr>
              <w:spacing w:line="242" w:lineRule="auto"/>
              <w:rPr>
                <w:rFonts w:ascii="Arial"/>
                <w:sz w:val="21"/>
              </w:rPr>
            </w:pPr>
          </w:p>
          <w:p w14:paraId="01C7279E">
            <w:pPr>
              <w:spacing w:line="242" w:lineRule="auto"/>
              <w:rPr>
                <w:rFonts w:ascii="Arial"/>
                <w:sz w:val="21"/>
              </w:rPr>
            </w:pPr>
          </w:p>
          <w:p w14:paraId="7040DF2E">
            <w:pPr>
              <w:spacing w:line="242" w:lineRule="auto"/>
              <w:rPr>
                <w:rFonts w:ascii="Arial"/>
                <w:sz w:val="21"/>
              </w:rPr>
            </w:pPr>
          </w:p>
          <w:p w14:paraId="6D9377B9">
            <w:pPr>
              <w:spacing w:line="243" w:lineRule="auto"/>
              <w:rPr>
                <w:rFonts w:ascii="Arial"/>
                <w:sz w:val="21"/>
              </w:rPr>
            </w:pPr>
          </w:p>
          <w:p w14:paraId="0795A59D">
            <w:pPr>
              <w:spacing w:line="243" w:lineRule="auto"/>
              <w:rPr>
                <w:rFonts w:ascii="Arial"/>
                <w:sz w:val="21"/>
              </w:rPr>
            </w:pPr>
          </w:p>
          <w:p w14:paraId="7C33757B">
            <w:pPr>
              <w:spacing w:line="243" w:lineRule="auto"/>
              <w:rPr>
                <w:rFonts w:ascii="Arial"/>
                <w:sz w:val="21"/>
              </w:rPr>
            </w:pPr>
          </w:p>
          <w:p w14:paraId="1EFED17F">
            <w:pPr>
              <w:pStyle w:val="6"/>
              <w:spacing w:before="68" w:line="219" w:lineRule="auto"/>
              <w:ind w:left="193"/>
              <w:rPr>
                <w:sz w:val="21"/>
                <w:szCs w:val="21"/>
              </w:rPr>
            </w:pPr>
            <w:r>
              <w:rPr>
                <w:sz w:val="21"/>
                <w:szCs w:val="21"/>
              </w:rPr>
              <w:t>电池组件阵列禁止使用有林</w:t>
            </w:r>
          </w:p>
          <w:p w14:paraId="4AF1149E">
            <w:pPr>
              <w:pStyle w:val="6"/>
              <w:spacing w:before="30" w:line="219" w:lineRule="auto"/>
              <w:jc w:val="right"/>
              <w:rPr>
                <w:sz w:val="21"/>
                <w:szCs w:val="21"/>
              </w:rPr>
            </w:pPr>
            <w:r>
              <w:rPr>
                <w:spacing w:val="7"/>
                <w:sz w:val="21"/>
                <w:szCs w:val="21"/>
              </w:rPr>
              <w:t>地、疏林地、未成林造林地、</w:t>
            </w:r>
          </w:p>
          <w:p w14:paraId="41A3DF48">
            <w:pPr>
              <w:pStyle w:val="6"/>
              <w:spacing w:before="9" w:line="219" w:lineRule="auto"/>
              <w:ind w:left="83"/>
              <w:rPr>
                <w:sz w:val="21"/>
                <w:szCs w:val="21"/>
              </w:rPr>
            </w:pPr>
            <w:r>
              <w:rPr>
                <w:spacing w:val="-1"/>
                <w:sz w:val="21"/>
                <w:szCs w:val="21"/>
              </w:rPr>
              <w:t>采伐迹地、火烧迹地，以及年</w:t>
            </w:r>
          </w:p>
          <w:p w14:paraId="24AB64C3">
            <w:pPr>
              <w:pStyle w:val="6"/>
              <w:spacing w:before="22" w:line="219" w:lineRule="auto"/>
              <w:ind w:left="133"/>
              <w:rPr>
                <w:sz w:val="21"/>
                <w:szCs w:val="21"/>
              </w:rPr>
            </w:pPr>
            <w:r>
              <w:rPr>
                <w:spacing w:val="1"/>
                <w:sz w:val="21"/>
                <w:szCs w:val="21"/>
              </w:rPr>
              <w:t>降雨量400毫米以下区域覆盖</w:t>
            </w:r>
          </w:p>
          <w:p w14:paraId="4DC45F9C">
            <w:pPr>
              <w:pStyle w:val="6"/>
              <w:spacing w:before="41" w:line="219" w:lineRule="auto"/>
              <w:ind w:left="243"/>
              <w:rPr>
                <w:sz w:val="21"/>
                <w:szCs w:val="21"/>
              </w:rPr>
            </w:pPr>
            <w:r>
              <w:rPr>
                <w:spacing w:val="-1"/>
                <w:sz w:val="21"/>
                <w:szCs w:val="21"/>
              </w:rPr>
              <w:t>度高于30%的灌木林地和年</w:t>
            </w:r>
          </w:p>
          <w:p w14:paraId="5200C82F">
            <w:pPr>
              <w:pStyle w:val="6"/>
              <w:spacing w:before="21" w:line="219" w:lineRule="auto"/>
              <w:ind w:left="133"/>
              <w:rPr>
                <w:sz w:val="21"/>
                <w:szCs w:val="21"/>
              </w:rPr>
            </w:pPr>
            <w:r>
              <w:rPr>
                <w:spacing w:val="1"/>
                <w:sz w:val="21"/>
                <w:szCs w:val="21"/>
              </w:rPr>
              <w:t>降雨量400毫米以上区域覆盖</w:t>
            </w:r>
          </w:p>
          <w:p w14:paraId="0DA5DBE5">
            <w:pPr>
              <w:pStyle w:val="6"/>
              <w:spacing w:before="11" w:line="219" w:lineRule="auto"/>
              <w:ind w:left="283"/>
              <w:rPr>
                <w:sz w:val="21"/>
                <w:szCs w:val="21"/>
              </w:rPr>
            </w:pPr>
            <w:r>
              <w:rPr>
                <w:sz w:val="21"/>
                <w:szCs w:val="21"/>
              </w:rPr>
              <w:t>度高于50%的灌木林地。</w:t>
            </w:r>
          </w:p>
        </w:tc>
        <w:tc>
          <w:tcPr>
            <w:tcW w:w="2747" w:type="dxa"/>
            <w:vAlign w:val="top"/>
          </w:tcPr>
          <w:p w14:paraId="226EEBE0">
            <w:pPr>
              <w:pStyle w:val="6"/>
              <w:spacing w:before="51" w:line="219" w:lineRule="auto"/>
              <w:ind w:left="106"/>
              <w:rPr>
                <w:sz w:val="21"/>
                <w:szCs w:val="21"/>
              </w:rPr>
            </w:pPr>
            <w:r>
              <w:rPr>
                <w:spacing w:val="-1"/>
                <w:sz w:val="21"/>
                <w:szCs w:val="21"/>
              </w:rPr>
              <w:t>根据林勘单位外业调查、本</w:t>
            </w:r>
          </w:p>
          <w:p w14:paraId="08F4DA8F">
            <w:pPr>
              <w:pStyle w:val="6"/>
              <w:spacing w:before="2" w:line="219" w:lineRule="auto"/>
              <w:ind w:left="106"/>
              <w:rPr>
                <w:sz w:val="21"/>
                <w:szCs w:val="21"/>
              </w:rPr>
            </w:pPr>
            <w:r>
              <w:rPr>
                <w:sz w:val="21"/>
                <w:szCs w:val="21"/>
              </w:rPr>
              <w:t>次生态现状调查，电池组件</w:t>
            </w:r>
          </w:p>
          <w:p w14:paraId="7777E951">
            <w:pPr>
              <w:pStyle w:val="6"/>
              <w:spacing w:before="30" w:line="219" w:lineRule="auto"/>
              <w:ind w:left="106"/>
              <w:rPr>
                <w:sz w:val="21"/>
                <w:szCs w:val="21"/>
              </w:rPr>
            </w:pPr>
            <w:r>
              <w:rPr>
                <w:sz w:val="21"/>
                <w:szCs w:val="21"/>
              </w:rPr>
              <w:t>阵列占用其它草地、灌木林</w:t>
            </w:r>
          </w:p>
          <w:p w14:paraId="75E35F3B">
            <w:pPr>
              <w:pStyle w:val="6"/>
              <w:spacing w:before="21" w:line="219" w:lineRule="auto"/>
              <w:ind w:left="106"/>
              <w:rPr>
                <w:sz w:val="21"/>
                <w:szCs w:val="21"/>
              </w:rPr>
            </w:pPr>
            <w:r>
              <w:rPr>
                <w:spacing w:val="-1"/>
                <w:sz w:val="21"/>
                <w:szCs w:val="21"/>
              </w:rPr>
              <w:t>地，临时用地范围内灌丛面</w:t>
            </w:r>
          </w:p>
          <w:p w14:paraId="6C72F549">
            <w:pPr>
              <w:pStyle w:val="6"/>
              <w:spacing w:before="17" w:line="216" w:lineRule="auto"/>
              <w:ind w:left="106"/>
              <w:rPr>
                <w:sz w:val="21"/>
                <w:szCs w:val="21"/>
              </w:rPr>
            </w:pPr>
            <w:r>
              <w:rPr>
                <w:spacing w:val="9"/>
                <w:sz w:val="21"/>
                <w:szCs w:val="21"/>
              </w:rPr>
              <w:t>积38.42</w:t>
            </w:r>
            <w:r>
              <w:rPr>
                <w:sz w:val="21"/>
                <w:szCs w:val="21"/>
              </w:rPr>
              <w:t>hm</w:t>
            </w:r>
            <w:r>
              <w:rPr>
                <w:spacing w:val="9"/>
                <w:sz w:val="21"/>
                <w:szCs w:val="21"/>
              </w:rPr>
              <w:t>²,灌丛占临时用</w:t>
            </w:r>
          </w:p>
          <w:p w14:paraId="2949CF33">
            <w:pPr>
              <w:pStyle w:val="6"/>
              <w:spacing w:before="28" w:line="220" w:lineRule="auto"/>
              <w:ind w:left="156"/>
              <w:rPr>
                <w:sz w:val="21"/>
                <w:szCs w:val="21"/>
              </w:rPr>
            </w:pPr>
            <w:r>
              <w:rPr>
                <w:spacing w:val="1"/>
                <w:sz w:val="21"/>
                <w:szCs w:val="21"/>
              </w:rPr>
              <w:t>地面积的18.3%。不涉及占</w:t>
            </w:r>
          </w:p>
          <w:p w14:paraId="0327DE92">
            <w:pPr>
              <w:pStyle w:val="6"/>
              <w:spacing w:before="29" w:line="219" w:lineRule="auto"/>
              <w:ind w:left="106"/>
              <w:rPr>
                <w:sz w:val="21"/>
                <w:szCs w:val="21"/>
              </w:rPr>
            </w:pPr>
            <w:r>
              <w:rPr>
                <w:spacing w:val="-1"/>
                <w:sz w:val="21"/>
                <w:szCs w:val="21"/>
              </w:rPr>
              <w:t>用有林地、疏林地、未成林</w:t>
            </w:r>
          </w:p>
          <w:p w14:paraId="7A7CCE62">
            <w:pPr>
              <w:pStyle w:val="6"/>
              <w:spacing w:before="19" w:line="219" w:lineRule="auto"/>
              <w:ind w:left="106"/>
              <w:rPr>
                <w:sz w:val="21"/>
                <w:szCs w:val="21"/>
              </w:rPr>
            </w:pPr>
            <w:r>
              <w:rPr>
                <w:spacing w:val="-1"/>
                <w:sz w:val="21"/>
                <w:szCs w:val="21"/>
              </w:rPr>
              <w:t>造林地、火烧迹地，不涉及</w:t>
            </w:r>
          </w:p>
          <w:p w14:paraId="6976FD26">
            <w:pPr>
              <w:pStyle w:val="6"/>
              <w:spacing w:before="23" w:line="219" w:lineRule="auto"/>
              <w:ind w:left="156"/>
              <w:rPr>
                <w:sz w:val="21"/>
                <w:szCs w:val="21"/>
              </w:rPr>
            </w:pPr>
            <w:r>
              <w:rPr>
                <w:spacing w:val="1"/>
                <w:sz w:val="21"/>
                <w:szCs w:val="21"/>
              </w:rPr>
              <w:t>占用年降雨量400毫米以上</w:t>
            </w:r>
          </w:p>
          <w:p w14:paraId="2B61F78E">
            <w:pPr>
              <w:pStyle w:val="6"/>
              <w:spacing w:before="30" w:line="219" w:lineRule="auto"/>
              <w:ind w:left="156"/>
              <w:rPr>
                <w:sz w:val="21"/>
                <w:szCs w:val="21"/>
              </w:rPr>
            </w:pPr>
            <w:r>
              <w:rPr>
                <w:spacing w:val="1"/>
                <w:sz w:val="21"/>
                <w:szCs w:val="21"/>
              </w:rPr>
              <w:t>区域覆盖度高于50%的灌木</w:t>
            </w:r>
          </w:p>
          <w:p w14:paraId="150FB235">
            <w:pPr>
              <w:pStyle w:val="6"/>
              <w:spacing w:before="11" w:line="219" w:lineRule="auto"/>
              <w:ind w:left="106"/>
              <w:rPr>
                <w:sz w:val="21"/>
                <w:szCs w:val="21"/>
              </w:rPr>
            </w:pPr>
            <w:r>
              <w:rPr>
                <w:spacing w:val="-1"/>
                <w:sz w:val="21"/>
                <w:szCs w:val="21"/>
              </w:rPr>
              <w:t>林地。项目区地块四内升压</w:t>
            </w:r>
          </w:p>
          <w:p w14:paraId="2D5C48F9">
            <w:pPr>
              <w:pStyle w:val="6"/>
              <w:spacing w:before="44" w:line="222" w:lineRule="auto"/>
              <w:ind w:right="5"/>
              <w:jc w:val="right"/>
              <w:rPr>
                <w:sz w:val="21"/>
                <w:szCs w:val="21"/>
              </w:rPr>
            </w:pPr>
            <w:r>
              <w:rPr>
                <w:spacing w:val="5"/>
                <w:sz w:val="21"/>
                <w:szCs w:val="21"/>
              </w:rPr>
              <w:t>站和24#、25#、26#、27#、</w:t>
            </w:r>
          </w:p>
          <w:p w14:paraId="74511EEA">
            <w:pPr>
              <w:pStyle w:val="6"/>
              <w:spacing w:before="13" w:line="219" w:lineRule="auto"/>
              <w:ind w:left="106"/>
              <w:rPr>
                <w:sz w:val="21"/>
                <w:szCs w:val="21"/>
              </w:rPr>
            </w:pPr>
            <w:r>
              <w:rPr>
                <w:sz w:val="21"/>
                <w:szCs w:val="21"/>
              </w:rPr>
              <w:t>28#、29#光伏阵列共364.35</w:t>
            </w:r>
          </w:p>
          <w:p w14:paraId="430B33DF">
            <w:pPr>
              <w:pStyle w:val="6"/>
              <w:spacing w:before="11" w:line="219" w:lineRule="auto"/>
              <w:ind w:left="106"/>
              <w:rPr>
                <w:sz w:val="21"/>
                <w:szCs w:val="21"/>
              </w:rPr>
            </w:pPr>
            <w:r>
              <w:rPr>
                <w:spacing w:val="-1"/>
                <w:sz w:val="21"/>
                <w:szCs w:val="21"/>
              </w:rPr>
              <w:t>亩用地目前林地性质为采伐</w:t>
            </w:r>
          </w:p>
          <w:p w14:paraId="75ED6A17">
            <w:pPr>
              <w:pStyle w:val="6"/>
              <w:spacing w:before="43" w:line="219" w:lineRule="auto"/>
              <w:ind w:left="106"/>
              <w:rPr>
                <w:sz w:val="21"/>
                <w:szCs w:val="21"/>
              </w:rPr>
            </w:pPr>
            <w:r>
              <w:rPr>
                <w:spacing w:val="-1"/>
                <w:sz w:val="21"/>
                <w:szCs w:val="21"/>
              </w:rPr>
              <w:t>迹地。该地块正在办理林地</w:t>
            </w:r>
          </w:p>
          <w:p w14:paraId="327F3C47">
            <w:pPr>
              <w:pStyle w:val="6"/>
              <w:spacing w:before="21" w:line="220" w:lineRule="auto"/>
              <w:ind w:left="106"/>
              <w:rPr>
                <w:sz w:val="21"/>
                <w:szCs w:val="21"/>
              </w:rPr>
            </w:pPr>
            <w:r>
              <w:rPr>
                <w:spacing w:val="-1"/>
                <w:sz w:val="21"/>
                <w:szCs w:val="21"/>
              </w:rPr>
              <w:t>变更园地手续。该地块在变</w:t>
            </w:r>
          </w:p>
          <w:p w14:paraId="24D42DA4">
            <w:pPr>
              <w:pStyle w:val="6"/>
              <w:spacing w:before="9" w:line="219" w:lineRule="auto"/>
              <w:ind w:left="106"/>
              <w:rPr>
                <w:sz w:val="21"/>
                <w:szCs w:val="21"/>
              </w:rPr>
            </w:pPr>
            <w:r>
              <w:rPr>
                <w:spacing w:val="-1"/>
                <w:sz w:val="21"/>
                <w:szCs w:val="21"/>
              </w:rPr>
              <w:t>更完成前，项目禁止开工建</w:t>
            </w:r>
          </w:p>
          <w:p w14:paraId="74D68AE3">
            <w:pPr>
              <w:pStyle w:val="6"/>
              <w:spacing w:before="22" w:line="195" w:lineRule="auto"/>
              <w:ind w:left="1206"/>
              <w:rPr>
                <w:sz w:val="21"/>
                <w:szCs w:val="21"/>
              </w:rPr>
            </w:pPr>
            <w:r>
              <w:rPr>
                <w:spacing w:val="2"/>
                <w:sz w:val="21"/>
                <w:szCs w:val="21"/>
              </w:rPr>
              <w:t>设。</w:t>
            </w:r>
          </w:p>
        </w:tc>
        <w:tc>
          <w:tcPr>
            <w:tcW w:w="874" w:type="dxa"/>
            <w:vAlign w:val="top"/>
          </w:tcPr>
          <w:p w14:paraId="19D2C6CF">
            <w:pPr>
              <w:spacing w:line="252" w:lineRule="auto"/>
              <w:rPr>
                <w:rFonts w:ascii="Arial"/>
                <w:sz w:val="21"/>
              </w:rPr>
            </w:pPr>
          </w:p>
          <w:p w14:paraId="25A5B15E">
            <w:pPr>
              <w:spacing w:line="252" w:lineRule="auto"/>
              <w:rPr>
                <w:rFonts w:ascii="Arial"/>
                <w:sz w:val="21"/>
              </w:rPr>
            </w:pPr>
          </w:p>
          <w:p w14:paraId="516BA843">
            <w:pPr>
              <w:spacing w:line="252" w:lineRule="auto"/>
              <w:rPr>
                <w:rFonts w:ascii="Arial"/>
                <w:sz w:val="21"/>
              </w:rPr>
            </w:pPr>
          </w:p>
          <w:p w14:paraId="461D9C48">
            <w:pPr>
              <w:spacing w:line="252" w:lineRule="auto"/>
              <w:rPr>
                <w:rFonts w:ascii="Arial"/>
                <w:sz w:val="21"/>
              </w:rPr>
            </w:pPr>
          </w:p>
          <w:p w14:paraId="17E1032E">
            <w:pPr>
              <w:spacing w:line="252" w:lineRule="auto"/>
              <w:rPr>
                <w:rFonts w:ascii="Arial"/>
                <w:sz w:val="21"/>
              </w:rPr>
            </w:pPr>
          </w:p>
          <w:p w14:paraId="052AEF98">
            <w:pPr>
              <w:spacing w:line="252" w:lineRule="auto"/>
              <w:rPr>
                <w:rFonts w:ascii="Arial"/>
                <w:sz w:val="21"/>
              </w:rPr>
            </w:pPr>
          </w:p>
          <w:p w14:paraId="19C065A1">
            <w:pPr>
              <w:spacing w:line="252" w:lineRule="auto"/>
              <w:rPr>
                <w:rFonts w:ascii="Arial"/>
                <w:sz w:val="21"/>
              </w:rPr>
            </w:pPr>
          </w:p>
          <w:p w14:paraId="67D2802E">
            <w:pPr>
              <w:spacing w:line="253" w:lineRule="auto"/>
              <w:rPr>
                <w:rFonts w:ascii="Arial"/>
                <w:sz w:val="21"/>
              </w:rPr>
            </w:pPr>
          </w:p>
          <w:p w14:paraId="6FCD857F">
            <w:pPr>
              <w:spacing w:line="253" w:lineRule="auto"/>
              <w:rPr>
                <w:rFonts w:ascii="Arial"/>
                <w:sz w:val="21"/>
              </w:rPr>
            </w:pPr>
          </w:p>
          <w:p w14:paraId="263E2BAB">
            <w:pPr>
              <w:pStyle w:val="6"/>
              <w:spacing w:before="68" w:line="219" w:lineRule="auto"/>
              <w:ind w:left="219"/>
              <w:rPr>
                <w:sz w:val="21"/>
                <w:szCs w:val="21"/>
              </w:rPr>
            </w:pPr>
            <w:r>
              <w:rPr>
                <w:spacing w:val="-3"/>
                <w:sz w:val="21"/>
                <w:szCs w:val="21"/>
              </w:rPr>
              <w:t>符合</w:t>
            </w:r>
          </w:p>
        </w:tc>
      </w:tr>
      <w:tr w14:paraId="2D6CF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573" w:type="dxa"/>
            <w:vMerge w:val="continue"/>
            <w:tcBorders>
              <w:top w:val="nil"/>
              <w:bottom w:val="nil"/>
            </w:tcBorders>
            <w:vAlign w:val="top"/>
          </w:tcPr>
          <w:p w14:paraId="40FC8845">
            <w:pPr>
              <w:rPr>
                <w:rFonts w:ascii="Arial"/>
                <w:sz w:val="21"/>
              </w:rPr>
            </w:pPr>
          </w:p>
        </w:tc>
        <w:tc>
          <w:tcPr>
            <w:tcW w:w="699" w:type="dxa"/>
            <w:vAlign w:val="top"/>
          </w:tcPr>
          <w:p w14:paraId="1F6C919E">
            <w:pPr>
              <w:spacing w:line="247" w:lineRule="auto"/>
              <w:rPr>
                <w:rFonts w:ascii="Arial"/>
                <w:sz w:val="21"/>
              </w:rPr>
            </w:pPr>
          </w:p>
          <w:p w14:paraId="266112D7">
            <w:pPr>
              <w:pStyle w:val="6"/>
              <w:spacing w:before="68"/>
              <w:ind w:left="282"/>
              <w:rPr>
                <w:sz w:val="21"/>
                <w:szCs w:val="21"/>
              </w:rPr>
            </w:pPr>
            <w:r>
              <w:rPr>
                <w:sz w:val="21"/>
                <w:szCs w:val="21"/>
              </w:rPr>
              <w:t>5</w:t>
            </w:r>
          </w:p>
        </w:tc>
        <w:tc>
          <w:tcPr>
            <w:tcW w:w="2917" w:type="dxa"/>
            <w:vAlign w:val="top"/>
          </w:tcPr>
          <w:p w14:paraId="7F1AA08C">
            <w:pPr>
              <w:pStyle w:val="6"/>
              <w:spacing w:before="165"/>
              <w:ind w:left="1132" w:right="82" w:hanging="1049"/>
              <w:rPr>
                <w:sz w:val="21"/>
                <w:szCs w:val="21"/>
              </w:rPr>
            </w:pPr>
            <w:r>
              <w:rPr>
                <w:sz w:val="21"/>
                <w:szCs w:val="21"/>
              </w:rPr>
              <w:t>光伏项目涉及古树名木的，一</w:t>
            </w:r>
            <w:r>
              <w:rPr>
                <w:spacing w:val="10"/>
                <w:sz w:val="21"/>
                <w:szCs w:val="21"/>
              </w:rPr>
              <w:t xml:space="preserve"> </w:t>
            </w:r>
            <w:r>
              <w:rPr>
                <w:spacing w:val="-2"/>
                <w:sz w:val="21"/>
                <w:szCs w:val="21"/>
              </w:rPr>
              <w:t>律避让</w:t>
            </w:r>
          </w:p>
        </w:tc>
        <w:tc>
          <w:tcPr>
            <w:tcW w:w="2747" w:type="dxa"/>
            <w:vAlign w:val="top"/>
          </w:tcPr>
          <w:p w14:paraId="7887B426">
            <w:pPr>
              <w:pStyle w:val="6"/>
              <w:spacing w:before="167" w:line="220" w:lineRule="auto"/>
              <w:ind w:left="215"/>
              <w:rPr>
                <w:sz w:val="21"/>
                <w:szCs w:val="21"/>
              </w:rPr>
            </w:pPr>
            <w:r>
              <w:rPr>
                <w:spacing w:val="3"/>
                <w:sz w:val="21"/>
                <w:szCs w:val="21"/>
              </w:rPr>
              <w:t>生态外业调查未发现项目</w:t>
            </w:r>
          </w:p>
          <w:p w14:paraId="7B49CD6D">
            <w:pPr>
              <w:pStyle w:val="6"/>
              <w:spacing w:before="39" w:line="219" w:lineRule="auto"/>
              <w:ind w:left="576"/>
              <w:rPr>
                <w:sz w:val="21"/>
                <w:szCs w:val="21"/>
              </w:rPr>
            </w:pPr>
            <w:r>
              <w:rPr>
                <w:sz w:val="21"/>
                <w:szCs w:val="21"/>
              </w:rPr>
              <w:t>区涉及古树名木。</w:t>
            </w:r>
          </w:p>
        </w:tc>
        <w:tc>
          <w:tcPr>
            <w:tcW w:w="874" w:type="dxa"/>
            <w:vAlign w:val="top"/>
          </w:tcPr>
          <w:p w14:paraId="70DAAAB5">
            <w:pPr>
              <w:pStyle w:val="6"/>
              <w:spacing w:before="296" w:line="219" w:lineRule="auto"/>
              <w:ind w:left="219"/>
              <w:rPr>
                <w:sz w:val="21"/>
                <w:szCs w:val="21"/>
              </w:rPr>
            </w:pPr>
            <w:r>
              <w:rPr>
                <w:spacing w:val="-3"/>
                <w:sz w:val="21"/>
                <w:szCs w:val="21"/>
              </w:rPr>
              <w:t>符合</w:t>
            </w:r>
          </w:p>
        </w:tc>
      </w:tr>
      <w:tr w14:paraId="191F7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3" w:hRule="atLeast"/>
        </w:trPr>
        <w:tc>
          <w:tcPr>
            <w:tcW w:w="1573" w:type="dxa"/>
            <w:vMerge w:val="continue"/>
            <w:tcBorders>
              <w:top w:val="nil"/>
            </w:tcBorders>
            <w:vAlign w:val="top"/>
          </w:tcPr>
          <w:p w14:paraId="7E8A4570">
            <w:pPr>
              <w:rPr>
                <w:rFonts w:ascii="Arial"/>
                <w:sz w:val="21"/>
              </w:rPr>
            </w:pPr>
          </w:p>
        </w:tc>
        <w:tc>
          <w:tcPr>
            <w:tcW w:w="7237" w:type="dxa"/>
            <w:gridSpan w:val="4"/>
            <w:vAlign w:val="top"/>
          </w:tcPr>
          <w:p w14:paraId="2FA8A895">
            <w:pPr>
              <w:pStyle w:val="6"/>
              <w:spacing w:before="47" w:line="407" w:lineRule="auto"/>
              <w:ind w:left="12" w:right="854" w:firstLine="469"/>
              <w:rPr>
                <w:sz w:val="21"/>
                <w:szCs w:val="21"/>
              </w:rPr>
            </w:pPr>
            <w:r>
              <w:rPr>
                <w:sz w:val="21"/>
                <w:szCs w:val="21"/>
              </w:rPr>
              <w:t>因此，项目与《关于进一步规范光伏复合项目使用林草地有关事</w:t>
            </w:r>
            <w:r>
              <w:rPr>
                <w:spacing w:val="8"/>
                <w:sz w:val="21"/>
                <w:szCs w:val="21"/>
              </w:rPr>
              <w:t xml:space="preserve"> </w:t>
            </w:r>
            <w:r>
              <w:rPr>
                <w:spacing w:val="-1"/>
                <w:sz w:val="21"/>
                <w:szCs w:val="21"/>
              </w:rPr>
              <w:t>项的通知》的规定不冲突。</w:t>
            </w:r>
          </w:p>
          <w:p w14:paraId="50EB42B3">
            <w:pPr>
              <w:pStyle w:val="6"/>
              <w:spacing w:line="410" w:lineRule="auto"/>
              <w:ind w:left="15" w:right="826" w:firstLine="409"/>
              <w:rPr>
                <w:sz w:val="21"/>
                <w:szCs w:val="21"/>
              </w:rPr>
            </w:pPr>
            <w:r>
              <w:rPr>
                <w:b/>
                <w:bCs/>
                <w:spacing w:val="-3"/>
                <w:sz w:val="21"/>
                <w:szCs w:val="21"/>
              </w:rPr>
              <w:t>6、与《国土资源部、国务院扶贫办、国家能源局关于支持光伏扶</w:t>
            </w:r>
            <w:r>
              <w:rPr>
                <w:spacing w:val="12"/>
                <w:sz w:val="21"/>
                <w:szCs w:val="21"/>
              </w:rPr>
              <w:t xml:space="preserve"> </w:t>
            </w:r>
            <w:r>
              <w:rPr>
                <w:b/>
                <w:bCs/>
                <w:spacing w:val="-3"/>
                <w:sz w:val="21"/>
                <w:szCs w:val="21"/>
              </w:rPr>
              <w:t>贫和规范光伏发电产业用地的意见》符合性分析</w:t>
            </w:r>
          </w:p>
          <w:p w14:paraId="449EF0A8">
            <w:pPr>
              <w:pStyle w:val="6"/>
              <w:spacing w:line="218" w:lineRule="auto"/>
              <w:ind w:left="462"/>
              <w:rPr>
                <w:sz w:val="21"/>
                <w:szCs w:val="21"/>
              </w:rPr>
            </w:pPr>
            <w:r>
              <w:rPr>
                <w:sz w:val="21"/>
                <w:szCs w:val="21"/>
              </w:rPr>
              <w:t>根据《国土资源部、国务院扶贫办、国家能</w:t>
            </w:r>
            <w:r>
              <w:rPr>
                <w:spacing w:val="-1"/>
                <w:sz w:val="21"/>
                <w:szCs w:val="21"/>
              </w:rPr>
              <w:t>源局关于支持光伏扶</w:t>
            </w:r>
          </w:p>
        </w:tc>
      </w:tr>
    </w:tbl>
    <w:p w14:paraId="7DC1DE85">
      <w:pPr>
        <w:pStyle w:val="2"/>
      </w:pPr>
    </w:p>
    <w:p w14:paraId="4AEE1841">
      <w:pPr>
        <w:sectPr>
          <w:footerReference r:id="rId19" w:type="default"/>
          <w:pgSz w:w="11910" w:h="16840"/>
          <w:pgMar w:top="1431" w:right="1594" w:bottom="1253" w:left="1494" w:header="0" w:footer="1091" w:gutter="0"/>
          <w:cols w:space="720" w:num="1"/>
        </w:sectPr>
      </w:pPr>
    </w:p>
    <w:p w14:paraId="4A5320EB">
      <w:pPr>
        <w:spacing w:line="93" w:lineRule="exact"/>
      </w:pPr>
    </w:p>
    <w:tbl>
      <w:tblPr>
        <w:tblStyle w:val="5"/>
        <w:tblW w:w="886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310"/>
      </w:tblGrid>
      <w:tr w14:paraId="7522A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680949DB">
            <w:pPr>
              <w:rPr>
                <w:rFonts w:ascii="Arial"/>
                <w:sz w:val="21"/>
              </w:rPr>
            </w:pPr>
          </w:p>
        </w:tc>
        <w:tc>
          <w:tcPr>
            <w:tcW w:w="7310" w:type="dxa"/>
            <w:vAlign w:val="top"/>
          </w:tcPr>
          <w:p w14:paraId="250C91AE">
            <w:pPr>
              <w:pStyle w:val="6"/>
              <w:spacing w:before="33" w:line="219" w:lineRule="auto"/>
              <w:ind w:left="12"/>
            </w:pPr>
            <w:r>
              <w:t>贫和规范光伏发电产业用地的意见》(国土资规(2017)8号)的要</w:t>
            </w:r>
          </w:p>
          <w:p w14:paraId="268CC549">
            <w:pPr>
              <w:pStyle w:val="6"/>
              <w:spacing w:before="192" w:line="359" w:lineRule="auto"/>
              <w:ind w:left="12" w:right="6"/>
            </w:pPr>
            <w:r>
              <w:rPr>
                <w:spacing w:val="-5"/>
              </w:rPr>
              <w:t>求，“各地应当依据国家光伏产业发展规划和本地区实际，</w:t>
            </w:r>
            <w:r>
              <w:rPr>
                <w:spacing w:val="-6"/>
              </w:rPr>
              <w:t>加快编制本</w:t>
            </w:r>
            <w:r>
              <w:t xml:space="preserve"> 地区光伏发电规划，合理布局光伏发电建设</w:t>
            </w:r>
            <w:r>
              <w:rPr>
                <w:spacing w:val="-1"/>
              </w:rPr>
              <w:t>项目。光伏发电规划应符</w:t>
            </w:r>
            <w:r>
              <w:t xml:space="preserve"> 合土地利用总体规划等相关规划，可以利用未利用地的，不得占用农</w:t>
            </w:r>
            <w:r>
              <w:rPr>
                <w:spacing w:val="13"/>
              </w:rPr>
              <w:t xml:space="preserve"> </w:t>
            </w:r>
            <w:r>
              <w:t>用地；可以利用劣地的，不得占用好地。禁止以任何方式占用永久基</w:t>
            </w:r>
            <w:r>
              <w:rPr>
                <w:spacing w:val="9"/>
              </w:rPr>
              <w:t xml:space="preserve"> </w:t>
            </w:r>
            <w:r>
              <w:t>本农田，严禁在国家相关法律法规和规划明确禁止的区域发展光伏发</w:t>
            </w:r>
            <w:r>
              <w:rPr>
                <w:spacing w:val="9"/>
              </w:rPr>
              <w:t xml:space="preserve"> </w:t>
            </w:r>
            <w:r>
              <w:rPr>
                <w:spacing w:val="-5"/>
              </w:rPr>
              <w:t>电项目”。“对使用永久基本农田以外的农用地开展光伏复</w:t>
            </w:r>
            <w:r>
              <w:rPr>
                <w:spacing w:val="-6"/>
              </w:rPr>
              <w:t>合项目建设</w:t>
            </w:r>
            <w:r>
              <w:t xml:space="preserve"> 的，省级能源、国土资源主管部门商同级有关部门，在保障农用地可</w:t>
            </w:r>
            <w:r>
              <w:rPr>
                <w:spacing w:val="9"/>
              </w:rPr>
              <w:t xml:space="preserve"> </w:t>
            </w:r>
            <w:r>
              <w:t>持续利用的前提下，研究提出本地区光伏复合项目建设要求(含光伏</w:t>
            </w:r>
            <w:r>
              <w:rPr>
                <w:spacing w:val="5"/>
              </w:rPr>
              <w:t xml:space="preserve">  </w:t>
            </w:r>
            <w:r>
              <w:t>方阵架设高度)、认定标准，并明确监管措施，避免对农业生产造成</w:t>
            </w:r>
            <w:r>
              <w:rPr>
                <w:spacing w:val="5"/>
              </w:rPr>
              <w:t xml:space="preserve">  </w:t>
            </w:r>
            <w:r>
              <w:t>影响。其中对于使用永久基本农田以外的耕地布设光伏方阵的情</w:t>
            </w:r>
            <w:r>
              <w:rPr>
                <w:spacing w:val="-1"/>
              </w:rPr>
              <w:t>形，</w:t>
            </w:r>
            <w:r>
              <w:t xml:space="preserve"> 应当从严提出要求，除桩基用地外，严禁硬</w:t>
            </w:r>
            <w:r>
              <w:rPr>
                <w:spacing w:val="-1"/>
              </w:rPr>
              <w:t>化地面、破坏耕作层，严</w:t>
            </w:r>
            <w:r>
              <w:t xml:space="preserve"> </w:t>
            </w:r>
            <w:r>
              <w:rPr>
                <w:spacing w:val="-5"/>
              </w:rPr>
              <w:t>禁抛荒、撂荒”。“对于符合本地区光伏复合项目建设要求</w:t>
            </w:r>
            <w:r>
              <w:rPr>
                <w:spacing w:val="-6"/>
              </w:rPr>
              <w:t>和认定标准</w:t>
            </w:r>
            <w:r>
              <w:t xml:space="preserve"> </w:t>
            </w:r>
            <w:r>
              <w:rPr>
                <w:spacing w:val="1"/>
              </w:rPr>
              <w:t>的项目，变电站及运行管理中心、集电线路杆塔基础用地按建设</w:t>
            </w:r>
            <w:r>
              <w:t>用地 管理，依法办理建设用地审批手续；场内道路用地可按农村道路用地</w:t>
            </w:r>
            <w:r>
              <w:rPr>
                <w:spacing w:val="8"/>
              </w:rPr>
              <w:t xml:space="preserve"> </w:t>
            </w:r>
            <w:r>
              <w:t>管理；利用农用地布设的光伏方阵可不改变原用地性质；采用直埋电</w:t>
            </w:r>
            <w:r>
              <w:rPr>
                <w:spacing w:val="12"/>
              </w:rPr>
              <w:t xml:space="preserve"> </w:t>
            </w:r>
            <w:r>
              <w:t>缆方式敷设的集电线路用地，实行与项目光伏方阵用地同样的管理方</w:t>
            </w:r>
            <w:r>
              <w:rPr>
                <w:spacing w:val="8"/>
              </w:rPr>
              <w:t xml:space="preserve"> </w:t>
            </w:r>
            <w:r>
              <w:rPr>
                <w:spacing w:val="-1"/>
              </w:rPr>
              <w:t>式”。</w:t>
            </w:r>
          </w:p>
          <w:p w14:paraId="6ED6155E">
            <w:pPr>
              <w:pStyle w:val="6"/>
              <w:spacing w:before="1" w:line="358" w:lineRule="auto"/>
              <w:ind w:left="12" w:right="41" w:firstLine="509"/>
            </w:pPr>
            <w:r>
              <w:t>符合性分析：项目占地类型主要为其它草地、裸土地、裸岩石砾</w:t>
            </w:r>
            <w:r>
              <w:rPr>
                <w:spacing w:val="11"/>
              </w:rPr>
              <w:t xml:space="preserve"> </w:t>
            </w:r>
            <w:r>
              <w:t>地、农用地，项目光伏板区临时用地内农用地为附近村民自行开</w:t>
            </w:r>
            <w:r>
              <w:rPr>
                <w:spacing w:val="-1"/>
              </w:rPr>
              <w:t>垦，</w:t>
            </w:r>
            <w:r>
              <w:t xml:space="preserve"> 根据《几沃梁子农光互补光伏发电项目使用林地可行性报告》,光伏</w:t>
            </w:r>
            <w:r>
              <w:rPr>
                <w:spacing w:val="5"/>
              </w:rPr>
              <w:t xml:space="preserve">  </w:t>
            </w:r>
            <w:r>
              <w:t>板区内临时用地林地地类性质为一般灌木林及其他林地，塔基及升压</w:t>
            </w:r>
            <w:r>
              <w:rPr>
                <w:spacing w:val="10"/>
              </w:rPr>
              <w:t xml:space="preserve"> </w:t>
            </w:r>
            <w:r>
              <w:rPr>
                <w:spacing w:val="1"/>
              </w:rPr>
              <w:t>站永久占地为其他用地，项目不涉及占用永久基本农田和耕地。项目</w:t>
            </w:r>
            <w:r>
              <w:rPr>
                <w:spacing w:val="14"/>
              </w:rPr>
              <w:t xml:space="preserve"> </w:t>
            </w:r>
            <w:r>
              <w:t>升压站、集电线路塔基应按建设用地管理，并且应依法办理建设用地</w:t>
            </w:r>
            <w:r>
              <w:rPr>
                <w:spacing w:val="8"/>
              </w:rPr>
              <w:t xml:space="preserve"> </w:t>
            </w:r>
            <w:r>
              <w:t>审批手续；场地道路按农村道路用地进行管理；项目在光伏板下种植</w:t>
            </w:r>
            <w:r>
              <w:rPr>
                <w:spacing w:val="9"/>
              </w:rPr>
              <w:t xml:space="preserve"> </w:t>
            </w:r>
            <w:r>
              <w:t>经济作物，实现农光互补；直埋电缆在施工结束后进行植被恢复。项</w:t>
            </w:r>
            <w:r>
              <w:rPr>
                <w:spacing w:val="13"/>
              </w:rPr>
              <w:t xml:space="preserve"> </w:t>
            </w:r>
            <w:r>
              <w:t>目建设满足《国家能源局关于支持光伏扶贫和规范光伏发电产业用地</w:t>
            </w:r>
            <w:r>
              <w:rPr>
                <w:spacing w:val="8"/>
              </w:rPr>
              <w:t xml:space="preserve"> </w:t>
            </w:r>
            <w:r>
              <w:t>的意见》(国土资规(2017)8号)的要求。</w:t>
            </w:r>
          </w:p>
          <w:p w14:paraId="0897B50E">
            <w:pPr>
              <w:pStyle w:val="6"/>
              <w:spacing w:line="218" w:lineRule="auto"/>
              <w:jc w:val="right"/>
            </w:pPr>
            <w:r>
              <w:rPr>
                <w:b/>
                <w:bCs/>
                <w:spacing w:val="-4"/>
              </w:rPr>
              <w:t>7、与《云南省能源局关于进一步支持光伏扶贫和规范光伏发电产</w:t>
            </w:r>
          </w:p>
        </w:tc>
      </w:tr>
    </w:tbl>
    <w:p w14:paraId="20C9B12D">
      <w:pPr>
        <w:pStyle w:val="2"/>
      </w:pPr>
    </w:p>
    <w:p w14:paraId="44A949FB">
      <w:pPr>
        <w:sectPr>
          <w:footerReference r:id="rId20" w:type="default"/>
          <w:pgSz w:w="11910" w:h="16840"/>
          <w:pgMar w:top="1431" w:right="1541" w:bottom="1255" w:left="1494" w:header="0" w:footer="1093" w:gutter="0"/>
          <w:cols w:space="720" w:num="1"/>
        </w:sectPr>
      </w:pPr>
    </w:p>
    <w:p w14:paraId="543A8FF0">
      <w:pPr>
        <w:spacing w:line="93" w:lineRule="exact"/>
      </w:pPr>
    </w:p>
    <w:tbl>
      <w:tblPr>
        <w:tblStyle w:val="5"/>
        <w:tblW w:w="8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649"/>
        <w:gridCol w:w="3236"/>
        <w:gridCol w:w="2368"/>
        <w:gridCol w:w="984"/>
      </w:tblGrid>
      <w:tr w14:paraId="60E3E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68" w:hRule="atLeast"/>
        </w:trPr>
        <w:tc>
          <w:tcPr>
            <w:tcW w:w="1573" w:type="dxa"/>
            <w:vMerge w:val="restart"/>
            <w:tcBorders>
              <w:bottom w:val="nil"/>
            </w:tcBorders>
            <w:vAlign w:val="top"/>
          </w:tcPr>
          <w:p w14:paraId="25583690">
            <w:pPr>
              <w:rPr>
                <w:rFonts w:ascii="Arial"/>
                <w:sz w:val="21"/>
              </w:rPr>
            </w:pPr>
          </w:p>
        </w:tc>
        <w:tc>
          <w:tcPr>
            <w:tcW w:w="7237" w:type="dxa"/>
            <w:gridSpan w:val="4"/>
            <w:vAlign w:val="top"/>
          </w:tcPr>
          <w:p w14:paraId="2CEFBE0F">
            <w:pPr>
              <w:pStyle w:val="6"/>
              <w:spacing w:before="21" w:line="219" w:lineRule="auto"/>
              <w:ind w:left="15"/>
              <w:rPr>
                <w:sz w:val="23"/>
                <w:szCs w:val="23"/>
              </w:rPr>
            </w:pPr>
            <w:r>
              <w:rPr>
                <w:b/>
                <w:bCs/>
                <w:spacing w:val="-3"/>
                <w:sz w:val="23"/>
                <w:szCs w:val="23"/>
              </w:rPr>
              <w:t>业用地的通知》(云自然资[2019]196号)的符合性</w:t>
            </w:r>
          </w:p>
          <w:p w14:paraId="09BF6F79">
            <w:pPr>
              <w:pStyle w:val="6"/>
              <w:spacing w:before="209" w:line="373" w:lineRule="auto"/>
              <w:ind w:left="12" w:right="310" w:firstLine="449"/>
              <w:rPr>
                <w:sz w:val="23"/>
                <w:szCs w:val="23"/>
              </w:rPr>
            </w:pPr>
            <w:r>
              <w:rPr>
                <w:sz w:val="23"/>
                <w:szCs w:val="23"/>
              </w:rPr>
              <w:t>根据《云南省能源局关于进一步支持光伏扶贫和规范光伏发电产</w:t>
            </w:r>
            <w:r>
              <w:rPr>
                <w:spacing w:val="13"/>
                <w:sz w:val="23"/>
                <w:szCs w:val="23"/>
              </w:rPr>
              <w:t xml:space="preserve"> </w:t>
            </w:r>
            <w:r>
              <w:rPr>
                <w:sz w:val="23"/>
                <w:szCs w:val="23"/>
              </w:rPr>
              <w:t>业用地的通知》(云自然资[2019]196号),“光伏复合项目指架设在</w:t>
            </w:r>
          </w:p>
          <w:p w14:paraId="04E1A17A">
            <w:pPr>
              <w:pStyle w:val="6"/>
              <w:spacing w:before="1" w:line="377" w:lineRule="auto"/>
              <w:ind w:left="12" w:right="291" w:firstLine="10"/>
              <w:rPr>
                <w:sz w:val="23"/>
                <w:szCs w:val="23"/>
              </w:rPr>
            </w:pPr>
            <w:r>
              <w:rPr>
                <w:sz w:val="23"/>
                <w:szCs w:val="23"/>
              </w:rPr>
              <w:t>一般耕地或其他农用地上的光伏方阵用地，满足光伏组件最低沿高于</w:t>
            </w:r>
            <w:r>
              <w:rPr>
                <w:spacing w:val="12"/>
                <w:sz w:val="23"/>
                <w:szCs w:val="23"/>
              </w:rPr>
              <w:t xml:space="preserve"> </w:t>
            </w:r>
            <w:r>
              <w:rPr>
                <w:sz w:val="23"/>
                <w:szCs w:val="23"/>
              </w:rPr>
              <w:t>地面2.5m、高于最高水位0.6m,桩基间列间距</w:t>
            </w:r>
            <w:r>
              <w:rPr>
                <w:spacing w:val="-1"/>
                <w:sz w:val="23"/>
                <w:szCs w:val="23"/>
              </w:rPr>
              <w:t>大于4m、行间距大于</w:t>
            </w:r>
          </w:p>
          <w:p w14:paraId="3516AC80">
            <w:pPr>
              <w:pStyle w:val="6"/>
              <w:spacing w:before="5" w:line="373" w:lineRule="auto"/>
              <w:ind w:left="12" w:right="304"/>
              <w:jc w:val="both"/>
              <w:rPr>
                <w:sz w:val="23"/>
                <w:szCs w:val="23"/>
              </w:rPr>
            </w:pPr>
            <w:r>
              <w:rPr>
                <w:sz w:val="23"/>
                <w:szCs w:val="23"/>
              </w:rPr>
              <w:t>6.5m的架设要求，不破坏农业生产条件的可不改变原用地性质，除桩</w:t>
            </w:r>
            <w:r>
              <w:rPr>
                <w:spacing w:val="9"/>
                <w:sz w:val="23"/>
                <w:szCs w:val="23"/>
              </w:rPr>
              <w:t xml:space="preserve"> </w:t>
            </w:r>
            <w:r>
              <w:rPr>
                <w:sz w:val="23"/>
                <w:szCs w:val="23"/>
              </w:rPr>
              <w:t>基用地外，严禁硬化地面、破坏耕作层，严禁</w:t>
            </w:r>
            <w:r>
              <w:rPr>
                <w:spacing w:val="-1"/>
                <w:sz w:val="23"/>
                <w:szCs w:val="23"/>
              </w:rPr>
              <w:t>抛荒、撂荒。采用直埋</w:t>
            </w:r>
            <w:r>
              <w:rPr>
                <w:sz w:val="23"/>
                <w:szCs w:val="23"/>
              </w:rPr>
              <w:t xml:space="preserve"> 电缆方式敷设的集电线路用地，实行与项目光伏方阵用地同样的管理</w:t>
            </w:r>
            <w:r>
              <w:rPr>
                <w:spacing w:val="7"/>
                <w:sz w:val="23"/>
                <w:szCs w:val="23"/>
              </w:rPr>
              <w:t xml:space="preserve"> </w:t>
            </w:r>
            <w:r>
              <w:rPr>
                <w:sz w:val="23"/>
                <w:szCs w:val="23"/>
              </w:rPr>
              <w:t>方式，场内道路可按农村道路用地管理。变</w:t>
            </w:r>
            <w:r>
              <w:rPr>
                <w:spacing w:val="-1"/>
                <w:sz w:val="23"/>
                <w:szCs w:val="23"/>
              </w:rPr>
              <w:t>电站、运行管理中心、集</w:t>
            </w:r>
            <w:r>
              <w:rPr>
                <w:sz w:val="23"/>
                <w:szCs w:val="23"/>
              </w:rPr>
              <w:t xml:space="preserve"> </w:t>
            </w:r>
            <w:r>
              <w:rPr>
                <w:spacing w:val="-1"/>
                <w:sz w:val="23"/>
                <w:szCs w:val="23"/>
              </w:rPr>
              <w:t>电线路杆塔基础等其他设施用地按建设用地管理”。</w:t>
            </w:r>
          </w:p>
          <w:p w14:paraId="303B2C43">
            <w:pPr>
              <w:pStyle w:val="6"/>
              <w:spacing w:before="1" w:line="218" w:lineRule="auto"/>
              <w:ind w:left="462"/>
              <w:rPr>
                <w:sz w:val="23"/>
                <w:szCs w:val="23"/>
              </w:rPr>
            </w:pPr>
            <w:r>
              <w:rPr>
                <w:sz w:val="23"/>
                <w:szCs w:val="23"/>
              </w:rPr>
              <w:t>符合性分析：本项为光伏复合项目，将实行农光互补，在光伏板</w:t>
            </w:r>
          </w:p>
          <w:p w14:paraId="100B73BE">
            <w:pPr>
              <w:pStyle w:val="6"/>
              <w:spacing w:before="198" w:line="372" w:lineRule="auto"/>
              <w:ind w:left="12"/>
              <w:rPr>
                <w:sz w:val="23"/>
                <w:szCs w:val="23"/>
              </w:rPr>
            </w:pPr>
            <w:r>
              <w:rPr>
                <w:spacing w:val="2"/>
                <w:sz w:val="23"/>
                <w:szCs w:val="23"/>
              </w:rPr>
              <w:t>区域种植经济作物。光伏组件按最低离地2.5m、桩基间列间距大于4m、</w:t>
            </w:r>
            <w:r>
              <w:rPr>
                <w:spacing w:val="15"/>
                <w:sz w:val="23"/>
                <w:szCs w:val="23"/>
              </w:rPr>
              <w:t xml:space="preserve"> </w:t>
            </w:r>
            <w:r>
              <w:rPr>
                <w:spacing w:val="-1"/>
                <w:sz w:val="23"/>
                <w:szCs w:val="23"/>
              </w:rPr>
              <w:t>行间距大于6.5m的架设要求执行，符合通知要求。</w:t>
            </w:r>
          </w:p>
          <w:p w14:paraId="6848741A">
            <w:pPr>
              <w:pStyle w:val="6"/>
              <w:spacing w:before="3" w:line="377" w:lineRule="auto"/>
              <w:ind w:left="15" w:right="236" w:firstLine="429"/>
              <w:jc w:val="both"/>
              <w:rPr>
                <w:sz w:val="23"/>
                <w:szCs w:val="23"/>
              </w:rPr>
            </w:pPr>
            <w:r>
              <w:rPr>
                <w:b/>
                <w:bCs/>
                <w:spacing w:val="-3"/>
                <w:sz w:val="23"/>
                <w:szCs w:val="23"/>
              </w:rPr>
              <w:t>8、项目与自然资源部办公厅、国家林业和草原局办公室、国家能</w:t>
            </w:r>
            <w:r>
              <w:rPr>
                <w:spacing w:val="6"/>
                <w:sz w:val="23"/>
                <w:szCs w:val="23"/>
              </w:rPr>
              <w:t xml:space="preserve"> </w:t>
            </w:r>
            <w:r>
              <w:rPr>
                <w:b/>
                <w:bCs/>
                <w:spacing w:val="-3"/>
                <w:sz w:val="23"/>
                <w:szCs w:val="23"/>
              </w:rPr>
              <w:t>源局综合司《关于支持光伏发电产业发展规范用地管理有关工作的通</w:t>
            </w:r>
            <w:r>
              <w:rPr>
                <w:spacing w:val="4"/>
                <w:sz w:val="23"/>
                <w:szCs w:val="23"/>
              </w:rPr>
              <w:t xml:space="preserve">  </w:t>
            </w:r>
            <w:r>
              <w:rPr>
                <w:b/>
                <w:bCs/>
                <w:spacing w:val="-3"/>
                <w:sz w:val="23"/>
                <w:szCs w:val="23"/>
              </w:rPr>
              <w:t>知》(自然资发[2023]12号)符合性分析</w:t>
            </w:r>
          </w:p>
          <w:p w14:paraId="1CEE7C03">
            <w:pPr>
              <w:pStyle w:val="6"/>
              <w:spacing w:before="1" w:line="372" w:lineRule="auto"/>
              <w:ind w:left="12" w:right="315" w:firstLine="449"/>
              <w:rPr>
                <w:sz w:val="23"/>
                <w:szCs w:val="23"/>
              </w:rPr>
            </w:pPr>
            <w:r>
              <w:rPr>
                <w:sz w:val="23"/>
                <w:szCs w:val="23"/>
              </w:rPr>
              <w:t>项目与《关于支持光伏发电产业发展规范用地管理有关工作的通</w:t>
            </w:r>
            <w:r>
              <w:rPr>
                <w:spacing w:val="7"/>
                <w:sz w:val="23"/>
                <w:szCs w:val="23"/>
              </w:rPr>
              <w:t xml:space="preserve"> </w:t>
            </w:r>
            <w:r>
              <w:rPr>
                <w:spacing w:val="1"/>
                <w:sz w:val="23"/>
                <w:szCs w:val="23"/>
              </w:rPr>
              <w:t>知》(自然资发[2023]12号)的相</w:t>
            </w:r>
            <w:r>
              <w:rPr>
                <w:sz w:val="23"/>
                <w:szCs w:val="23"/>
              </w:rPr>
              <w:t>符性分析详见表1-7。</w:t>
            </w:r>
          </w:p>
          <w:p w14:paraId="4382C4D6">
            <w:pPr>
              <w:pStyle w:val="6"/>
              <w:spacing w:line="219" w:lineRule="auto"/>
              <w:ind w:left="895"/>
              <w:rPr>
                <w:sz w:val="23"/>
                <w:szCs w:val="23"/>
              </w:rPr>
            </w:pPr>
            <w:r>
              <w:rPr>
                <w:b/>
                <w:bCs/>
                <w:spacing w:val="-3"/>
                <w:sz w:val="23"/>
                <w:szCs w:val="23"/>
              </w:rPr>
              <w:t>表1-7项目与“自然资发[2023]12号”的符合性分析</w:t>
            </w:r>
          </w:p>
        </w:tc>
      </w:tr>
      <w:tr w14:paraId="42EC9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73" w:type="dxa"/>
            <w:vMerge w:val="continue"/>
            <w:tcBorders>
              <w:top w:val="nil"/>
              <w:bottom w:val="nil"/>
            </w:tcBorders>
            <w:vAlign w:val="top"/>
          </w:tcPr>
          <w:p w14:paraId="41393C48">
            <w:pPr>
              <w:rPr>
                <w:rFonts w:ascii="Arial"/>
                <w:sz w:val="21"/>
              </w:rPr>
            </w:pPr>
          </w:p>
        </w:tc>
        <w:tc>
          <w:tcPr>
            <w:tcW w:w="649" w:type="dxa"/>
            <w:vAlign w:val="top"/>
          </w:tcPr>
          <w:p w14:paraId="71312F9A">
            <w:pPr>
              <w:pStyle w:val="6"/>
              <w:spacing w:before="38" w:line="194" w:lineRule="auto"/>
              <w:ind w:left="82"/>
              <w:rPr>
                <w:sz w:val="23"/>
                <w:szCs w:val="23"/>
              </w:rPr>
            </w:pPr>
            <w:r>
              <w:rPr>
                <w:spacing w:val="7"/>
                <w:sz w:val="23"/>
                <w:szCs w:val="23"/>
              </w:rPr>
              <w:t>序号</w:t>
            </w:r>
          </w:p>
        </w:tc>
        <w:tc>
          <w:tcPr>
            <w:tcW w:w="3236" w:type="dxa"/>
            <w:vAlign w:val="top"/>
          </w:tcPr>
          <w:p w14:paraId="37CAA564">
            <w:pPr>
              <w:pStyle w:val="6"/>
              <w:spacing w:before="38" w:line="194" w:lineRule="auto"/>
              <w:ind w:left="1383"/>
              <w:rPr>
                <w:sz w:val="23"/>
                <w:szCs w:val="23"/>
              </w:rPr>
            </w:pPr>
            <w:r>
              <w:rPr>
                <w:spacing w:val="5"/>
                <w:sz w:val="23"/>
                <w:szCs w:val="23"/>
              </w:rPr>
              <w:t>要求</w:t>
            </w:r>
          </w:p>
        </w:tc>
        <w:tc>
          <w:tcPr>
            <w:tcW w:w="2368" w:type="dxa"/>
            <w:vAlign w:val="top"/>
          </w:tcPr>
          <w:p w14:paraId="586E8522">
            <w:pPr>
              <w:pStyle w:val="6"/>
              <w:spacing w:before="37" w:line="195" w:lineRule="auto"/>
              <w:ind w:left="717"/>
              <w:rPr>
                <w:sz w:val="23"/>
                <w:szCs w:val="23"/>
              </w:rPr>
            </w:pPr>
            <w:r>
              <w:rPr>
                <w:spacing w:val="2"/>
                <w:sz w:val="23"/>
                <w:szCs w:val="23"/>
              </w:rPr>
              <w:t>项目情况</w:t>
            </w:r>
          </w:p>
        </w:tc>
        <w:tc>
          <w:tcPr>
            <w:tcW w:w="984" w:type="dxa"/>
            <w:vAlign w:val="top"/>
          </w:tcPr>
          <w:p w14:paraId="414E92FB">
            <w:pPr>
              <w:pStyle w:val="6"/>
              <w:spacing w:before="35" w:line="196" w:lineRule="auto"/>
              <w:ind w:left="139"/>
              <w:rPr>
                <w:sz w:val="23"/>
                <w:szCs w:val="23"/>
              </w:rPr>
            </w:pPr>
            <w:r>
              <w:rPr>
                <w:spacing w:val="-3"/>
                <w:sz w:val="23"/>
                <w:szCs w:val="23"/>
              </w:rPr>
              <w:t>符合性</w:t>
            </w:r>
          </w:p>
        </w:tc>
      </w:tr>
      <w:tr w14:paraId="5225A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7" w:hRule="atLeast"/>
        </w:trPr>
        <w:tc>
          <w:tcPr>
            <w:tcW w:w="1573" w:type="dxa"/>
            <w:vMerge w:val="continue"/>
            <w:tcBorders>
              <w:top w:val="nil"/>
              <w:bottom w:val="nil"/>
            </w:tcBorders>
            <w:vAlign w:val="top"/>
          </w:tcPr>
          <w:p w14:paraId="7BC4ACAD">
            <w:pPr>
              <w:rPr>
                <w:rFonts w:ascii="Arial"/>
                <w:sz w:val="21"/>
              </w:rPr>
            </w:pPr>
          </w:p>
        </w:tc>
        <w:tc>
          <w:tcPr>
            <w:tcW w:w="649" w:type="dxa"/>
            <w:vAlign w:val="top"/>
          </w:tcPr>
          <w:p w14:paraId="668D6742">
            <w:pPr>
              <w:spacing w:line="247" w:lineRule="auto"/>
              <w:rPr>
                <w:rFonts w:ascii="Arial"/>
                <w:sz w:val="21"/>
              </w:rPr>
            </w:pPr>
          </w:p>
          <w:p w14:paraId="73CD7359">
            <w:pPr>
              <w:spacing w:line="247" w:lineRule="auto"/>
              <w:rPr>
                <w:rFonts w:ascii="Arial"/>
                <w:sz w:val="21"/>
              </w:rPr>
            </w:pPr>
          </w:p>
          <w:p w14:paraId="59882765">
            <w:pPr>
              <w:spacing w:line="247" w:lineRule="auto"/>
              <w:rPr>
                <w:rFonts w:ascii="Arial"/>
                <w:sz w:val="21"/>
              </w:rPr>
            </w:pPr>
          </w:p>
          <w:p w14:paraId="4D2B5F3E">
            <w:pPr>
              <w:spacing w:line="248" w:lineRule="auto"/>
              <w:rPr>
                <w:rFonts w:ascii="Arial"/>
                <w:sz w:val="21"/>
              </w:rPr>
            </w:pPr>
          </w:p>
          <w:p w14:paraId="01605B72">
            <w:pPr>
              <w:spacing w:line="248" w:lineRule="auto"/>
              <w:rPr>
                <w:rFonts w:ascii="Arial"/>
                <w:sz w:val="21"/>
              </w:rPr>
            </w:pPr>
          </w:p>
          <w:p w14:paraId="3CB59E50">
            <w:pPr>
              <w:spacing w:line="248" w:lineRule="auto"/>
              <w:rPr>
                <w:rFonts w:ascii="Arial"/>
                <w:sz w:val="21"/>
              </w:rPr>
            </w:pPr>
          </w:p>
          <w:p w14:paraId="2108BB9B">
            <w:pPr>
              <w:spacing w:line="248" w:lineRule="auto"/>
              <w:rPr>
                <w:rFonts w:ascii="Arial"/>
                <w:sz w:val="21"/>
              </w:rPr>
            </w:pPr>
          </w:p>
          <w:p w14:paraId="3E904022">
            <w:pPr>
              <w:pStyle w:val="6"/>
              <w:spacing w:before="75" w:line="241" w:lineRule="auto"/>
              <w:ind w:left="252"/>
              <w:rPr>
                <w:sz w:val="23"/>
                <w:szCs w:val="23"/>
              </w:rPr>
            </w:pPr>
            <w:r>
              <w:rPr>
                <w:sz w:val="23"/>
                <w:szCs w:val="23"/>
              </w:rPr>
              <w:t>1</w:t>
            </w:r>
          </w:p>
        </w:tc>
        <w:tc>
          <w:tcPr>
            <w:tcW w:w="3236" w:type="dxa"/>
            <w:vAlign w:val="top"/>
          </w:tcPr>
          <w:p w14:paraId="14E65563">
            <w:pPr>
              <w:spacing w:line="262" w:lineRule="auto"/>
              <w:rPr>
                <w:rFonts w:ascii="Arial"/>
                <w:sz w:val="21"/>
              </w:rPr>
            </w:pPr>
          </w:p>
          <w:p w14:paraId="68BC2564">
            <w:pPr>
              <w:spacing w:line="262" w:lineRule="auto"/>
              <w:rPr>
                <w:rFonts w:ascii="Arial"/>
                <w:sz w:val="21"/>
              </w:rPr>
            </w:pPr>
          </w:p>
          <w:p w14:paraId="76C0BAE4">
            <w:pPr>
              <w:spacing w:line="262" w:lineRule="auto"/>
              <w:rPr>
                <w:rFonts w:ascii="Arial"/>
                <w:sz w:val="21"/>
              </w:rPr>
            </w:pPr>
          </w:p>
          <w:p w14:paraId="338A6A94">
            <w:pPr>
              <w:spacing w:line="262" w:lineRule="auto"/>
              <w:rPr>
                <w:rFonts w:ascii="Arial"/>
                <w:sz w:val="21"/>
              </w:rPr>
            </w:pPr>
          </w:p>
          <w:p w14:paraId="4FF3E4F0">
            <w:pPr>
              <w:spacing w:line="262" w:lineRule="auto"/>
              <w:rPr>
                <w:rFonts w:ascii="Arial"/>
                <w:sz w:val="21"/>
              </w:rPr>
            </w:pPr>
          </w:p>
          <w:p w14:paraId="5EB50408">
            <w:pPr>
              <w:pStyle w:val="6"/>
              <w:spacing w:before="75" w:line="221" w:lineRule="auto"/>
              <w:ind w:left="13"/>
              <w:jc w:val="both"/>
              <w:rPr>
                <w:sz w:val="23"/>
                <w:szCs w:val="23"/>
              </w:rPr>
            </w:pPr>
            <w:r>
              <w:rPr>
                <w:spacing w:val="-3"/>
                <w:sz w:val="23"/>
                <w:szCs w:val="23"/>
              </w:rPr>
              <w:t>光伏方阵用地不得占用耕地，占</w:t>
            </w:r>
            <w:r>
              <w:rPr>
                <w:spacing w:val="8"/>
                <w:sz w:val="23"/>
                <w:szCs w:val="23"/>
              </w:rPr>
              <w:t xml:space="preserve"> </w:t>
            </w:r>
            <w:r>
              <w:rPr>
                <w:spacing w:val="-3"/>
                <w:sz w:val="23"/>
                <w:szCs w:val="23"/>
              </w:rPr>
              <w:t>用其他农用地的，应根据实际合</w:t>
            </w:r>
            <w:r>
              <w:rPr>
                <w:sz w:val="23"/>
                <w:szCs w:val="23"/>
              </w:rPr>
              <w:t xml:space="preserve"> </w:t>
            </w:r>
            <w:r>
              <w:rPr>
                <w:spacing w:val="-4"/>
                <w:sz w:val="23"/>
                <w:szCs w:val="23"/>
              </w:rPr>
              <w:t>理控制，节约集约用地，尽量避</w:t>
            </w:r>
            <w:r>
              <w:rPr>
                <w:spacing w:val="12"/>
                <w:sz w:val="23"/>
                <w:szCs w:val="23"/>
              </w:rPr>
              <w:t xml:space="preserve"> </w:t>
            </w:r>
            <w:r>
              <w:rPr>
                <w:spacing w:val="-1"/>
                <w:sz w:val="23"/>
                <w:szCs w:val="23"/>
              </w:rPr>
              <w:t>免对生态和农业生产造成影响。</w:t>
            </w:r>
          </w:p>
        </w:tc>
        <w:tc>
          <w:tcPr>
            <w:tcW w:w="2368" w:type="dxa"/>
            <w:vAlign w:val="top"/>
          </w:tcPr>
          <w:p w14:paraId="5A39F7F3">
            <w:pPr>
              <w:pStyle w:val="6"/>
              <w:spacing w:before="37" w:line="215" w:lineRule="auto"/>
              <w:ind w:left="27"/>
              <w:jc w:val="both"/>
              <w:rPr>
                <w:sz w:val="23"/>
                <w:szCs w:val="23"/>
              </w:rPr>
            </w:pPr>
            <w:r>
              <w:rPr>
                <w:spacing w:val="-9"/>
                <w:sz w:val="23"/>
                <w:szCs w:val="23"/>
              </w:rPr>
              <w:t>根据现状调查，项目占</w:t>
            </w:r>
            <w:r>
              <w:rPr>
                <w:sz w:val="23"/>
                <w:szCs w:val="23"/>
              </w:rPr>
              <w:t xml:space="preserve">  </w:t>
            </w:r>
            <w:r>
              <w:rPr>
                <w:spacing w:val="-19"/>
                <w:sz w:val="23"/>
                <w:szCs w:val="23"/>
              </w:rPr>
              <w:t>地类型为草地、裸土地、</w:t>
            </w:r>
            <w:r>
              <w:rPr>
                <w:spacing w:val="8"/>
                <w:sz w:val="23"/>
                <w:szCs w:val="23"/>
              </w:rPr>
              <w:t xml:space="preserve"> </w:t>
            </w:r>
            <w:r>
              <w:rPr>
                <w:spacing w:val="-10"/>
                <w:sz w:val="23"/>
                <w:szCs w:val="23"/>
              </w:rPr>
              <w:t>裸岩石砾地、农用地项</w:t>
            </w:r>
            <w:r>
              <w:rPr>
                <w:spacing w:val="2"/>
                <w:sz w:val="23"/>
                <w:szCs w:val="23"/>
              </w:rPr>
              <w:t xml:space="preserve">  </w:t>
            </w:r>
            <w:r>
              <w:rPr>
                <w:spacing w:val="-8"/>
                <w:sz w:val="23"/>
                <w:szCs w:val="23"/>
              </w:rPr>
              <w:t>目光伏板区临时用地内</w:t>
            </w:r>
            <w:r>
              <w:rPr>
                <w:sz w:val="23"/>
                <w:szCs w:val="23"/>
              </w:rPr>
              <w:t xml:space="preserve">  </w:t>
            </w:r>
            <w:r>
              <w:rPr>
                <w:spacing w:val="-10"/>
                <w:sz w:val="23"/>
                <w:szCs w:val="23"/>
              </w:rPr>
              <w:t>农用地为附近村民自行</w:t>
            </w:r>
            <w:r>
              <w:rPr>
                <w:spacing w:val="1"/>
                <w:sz w:val="23"/>
                <w:szCs w:val="23"/>
              </w:rPr>
              <w:t xml:space="preserve">  </w:t>
            </w:r>
            <w:r>
              <w:rPr>
                <w:spacing w:val="-10"/>
                <w:sz w:val="23"/>
                <w:szCs w:val="23"/>
              </w:rPr>
              <w:t>开垦，根据《几沃梁子</w:t>
            </w:r>
            <w:r>
              <w:rPr>
                <w:sz w:val="23"/>
                <w:szCs w:val="23"/>
              </w:rPr>
              <w:t xml:space="preserve">  </w:t>
            </w:r>
            <w:r>
              <w:rPr>
                <w:spacing w:val="-7"/>
                <w:sz w:val="23"/>
                <w:szCs w:val="23"/>
              </w:rPr>
              <w:t>农光互补光伏发电项目</w:t>
            </w:r>
            <w:r>
              <w:rPr>
                <w:spacing w:val="1"/>
                <w:sz w:val="23"/>
                <w:szCs w:val="23"/>
              </w:rPr>
              <w:t xml:space="preserve">  </w:t>
            </w:r>
            <w:r>
              <w:rPr>
                <w:spacing w:val="-12"/>
                <w:sz w:val="23"/>
                <w:szCs w:val="23"/>
              </w:rPr>
              <w:t>使用林地可行性报告》,</w:t>
            </w:r>
            <w:r>
              <w:rPr>
                <w:spacing w:val="1"/>
                <w:sz w:val="23"/>
                <w:szCs w:val="23"/>
              </w:rPr>
              <w:t xml:space="preserve"> </w:t>
            </w:r>
            <w:r>
              <w:rPr>
                <w:spacing w:val="-12"/>
                <w:sz w:val="23"/>
                <w:szCs w:val="23"/>
              </w:rPr>
              <w:t>光伏板区内临时用地林</w:t>
            </w:r>
            <w:r>
              <w:rPr>
                <w:sz w:val="23"/>
                <w:szCs w:val="23"/>
              </w:rPr>
              <w:t xml:space="preserve">  </w:t>
            </w:r>
            <w:r>
              <w:rPr>
                <w:spacing w:val="-12"/>
                <w:sz w:val="23"/>
                <w:szCs w:val="23"/>
              </w:rPr>
              <w:t>地地类性质为一般灌木</w:t>
            </w:r>
            <w:r>
              <w:rPr>
                <w:spacing w:val="1"/>
                <w:sz w:val="23"/>
                <w:szCs w:val="23"/>
              </w:rPr>
              <w:t xml:space="preserve">  </w:t>
            </w:r>
            <w:r>
              <w:rPr>
                <w:spacing w:val="-10"/>
                <w:sz w:val="23"/>
                <w:szCs w:val="23"/>
              </w:rPr>
              <w:t>林及其他林地，塔基及</w:t>
            </w:r>
            <w:r>
              <w:rPr>
                <w:spacing w:val="1"/>
                <w:sz w:val="23"/>
                <w:szCs w:val="23"/>
              </w:rPr>
              <w:t xml:space="preserve">  </w:t>
            </w:r>
            <w:r>
              <w:rPr>
                <w:spacing w:val="-12"/>
                <w:sz w:val="23"/>
                <w:szCs w:val="23"/>
              </w:rPr>
              <w:t>升压站永久占地为其他</w:t>
            </w:r>
            <w:r>
              <w:rPr>
                <w:sz w:val="23"/>
                <w:szCs w:val="23"/>
              </w:rPr>
              <w:t xml:space="preserve">  </w:t>
            </w:r>
            <w:r>
              <w:rPr>
                <w:spacing w:val="-9"/>
                <w:sz w:val="23"/>
                <w:szCs w:val="23"/>
              </w:rPr>
              <w:t>用地，项目不涉及占用</w:t>
            </w:r>
            <w:r>
              <w:rPr>
                <w:spacing w:val="4"/>
                <w:sz w:val="23"/>
                <w:szCs w:val="23"/>
              </w:rPr>
              <w:t xml:space="preserve">  </w:t>
            </w:r>
            <w:r>
              <w:rPr>
                <w:spacing w:val="-5"/>
                <w:sz w:val="23"/>
                <w:szCs w:val="23"/>
              </w:rPr>
              <w:t>永久基本农田和耕地。</w:t>
            </w:r>
          </w:p>
        </w:tc>
        <w:tc>
          <w:tcPr>
            <w:tcW w:w="984" w:type="dxa"/>
            <w:vAlign w:val="top"/>
          </w:tcPr>
          <w:p w14:paraId="24533AE5">
            <w:pPr>
              <w:spacing w:line="244" w:lineRule="auto"/>
              <w:rPr>
                <w:rFonts w:ascii="Arial"/>
                <w:sz w:val="21"/>
              </w:rPr>
            </w:pPr>
          </w:p>
          <w:p w14:paraId="6F3E6530">
            <w:pPr>
              <w:spacing w:line="244" w:lineRule="auto"/>
              <w:rPr>
                <w:rFonts w:ascii="Arial"/>
                <w:sz w:val="21"/>
              </w:rPr>
            </w:pPr>
          </w:p>
          <w:p w14:paraId="71889FFD">
            <w:pPr>
              <w:spacing w:line="244" w:lineRule="auto"/>
              <w:rPr>
                <w:rFonts w:ascii="Arial"/>
                <w:sz w:val="21"/>
              </w:rPr>
            </w:pPr>
          </w:p>
          <w:p w14:paraId="28F351B7">
            <w:pPr>
              <w:spacing w:line="244" w:lineRule="auto"/>
              <w:rPr>
                <w:rFonts w:ascii="Arial"/>
                <w:sz w:val="21"/>
              </w:rPr>
            </w:pPr>
          </w:p>
          <w:p w14:paraId="14C66B8F">
            <w:pPr>
              <w:spacing w:line="245" w:lineRule="auto"/>
              <w:rPr>
                <w:rFonts w:ascii="Arial"/>
                <w:sz w:val="21"/>
              </w:rPr>
            </w:pPr>
          </w:p>
          <w:p w14:paraId="5A965B9C">
            <w:pPr>
              <w:spacing w:line="245" w:lineRule="auto"/>
              <w:rPr>
                <w:rFonts w:ascii="Arial"/>
                <w:sz w:val="21"/>
              </w:rPr>
            </w:pPr>
          </w:p>
          <w:p w14:paraId="0AEE3B06">
            <w:pPr>
              <w:spacing w:line="245" w:lineRule="auto"/>
              <w:rPr>
                <w:rFonts w:ascii="Arial"/>
                <w:sz w:val="21"/>
              </w:rPr>
            </w:pPr>
          </w:p>
          <w:p w14:paraId="4B600E4C">
            <w:pPr>
              <w:pStyle w:val="6"/>
              <w:spacing w:before="75" w:line="219" w:lineRule="auto"/>
              <w:ind w:left="259"/>
              <w:rPr>
                <w:sz w:val="23"/>
                <w:szCs w:val="23"/>
              </w:rPr>
            </w:pPr>
            <w:r>
              <w:rPr>
                <w:spacing w:val="4"/>
                <w:sz w:val="23"/>
                <w:szCs w:val="23"/>
              </w:rPr>
              <w:t>符合</w:t>
            </w:r>
          </w:p>
        </w:tc>
      </w:tr>
      <w:tr w14:paraId="0D255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573" w:type="dxa"/>
            <w:vMerge w:val="continue"/>
            <w:tcBorders>
              <w:top w:val="nil"/>
            </w:tcBorders>
            <w:vAlign w:val="top"/>
          </w:tcPr>
          <w:p w14:paraId="570ADD96">
            <w:pPr>
              <w:rPr>
                <w:rFonts w:ascii="Arial"/>
                <w:sz w:val="21"/>
              </w:rPr>
            </w:pPr>
          </w:p>
        </w:tc>
        <w:tc>
          <w:tcPr>
            <w:tcW w:w="649" w:type="dxa"/>
            <w:vAlign w:val="top"/>
          </w:tcPr>
          <w:p w14:paraId="21E5756E">
            <w:pPr>
              <w:pStyle w:val="6"/>
              <w:spacing w:before="202" w:line="241" w:lineRule="auto"/>
              <w:ind w:left="252"/>
              <w:rPr>
                <w:sz w:val="23"/>
                <w:szCs w:val="23"/>
              </w:rPr>
            </w:pPr>
            <w:r>
              <w:rPr>
                <w:sz w:val="23"/>
                <w:szCs w:val="23"/>
              </w:rPr>
              <w:t>2</w:t>
            </w:r>
          </w:p>
        </w:tc>
        <w:tc>
          <w:tcPr>
            <w:tcW w:w="3236" w:type="dxa"/>
            <w:vAlign w:val="top"/>
          </w:tcPr>
          <w:p w14:paraId="20717E49">
            <w:pPr>
              <w:pStyle w:val="6"/>
              <w:spacing w:before="68" w:line="195" w:lineRule="auto"/>
              <w:ind w:left="13" w:firstLine="39"/>
              <w:rPr>
                <w:sz w:val="23"/>
                <w:szCs w:val="23"/>
              </w:rPr>
            </w:pPr>
            <w:r>
              <w:rPr>
                <w:spacing w:val="-4"/>
                <w:sz w:val="23"/>
                <w:szCs w:val="23"/>
              </w:rPr>
              <w:t>光伏方阵用地涉及使用林地的，</w:t>
            </w:r>
            <w:r>
              <w:rPr>
                <w:spacing w:val="8"/>
                <w:sz w:val="23"/>
                <w:szCs w:val="23"/>
              </w:rPr>
              <w:t xml:space="preserve"> </w:t>
            </w:r>
            <w:r>
              <w:rPr>
                <w:spacing w:val="-3"/>
                <w:sz w:val="23"/>
                <w:szCs w:val="23"/>
              </w:rPr>
              <w:t>须采用林光互补模式，可使用年</w:t>
            </w:r>
          </w:p>
        </w:tc>
        <w:tc>
          <w:tcPr>
            <w:tcW w:w="2368" w:type="dxa"/>
            <w:vAlign w:val="top"/>
          </w:tcPr>
          <w:p w14:paraId="402E659D">
            <w:pPr>
              <w:pStyle w:val="6"/>
              <w:spacing w:before="48" w:line="203" w:lineRule="auto"/>
              <w:ind w:left="147" w:right="39" w:hanging="120"/>
              <w:rPr>
                <w:sz w:val="23"/>
                <w:szCs w:val="23"/>
              </w:rPr>
            </w:pPr>
            <w:r>
              <w:rPr>
                <w:spacing w:val="-1"/>
                <w:sz w:val="23"/>
                <w:szCs w:val="23"/>
              </w:rPr>
              <w:t>根据现状调查，光伏方</w:t>
            </w:r>
            <w:r>
              <w:rPr>
                <w:sz w:val="23"/>
                <w:szCs w:val="23"/>
              </w:rPr>
              <w:t xml:space="preserve"> </w:t>
            </w:r>
            <w:r>
              <w:rPr>
                <w:spacing w:val="1"/>
                <w:sz w:val="23"/>
                <w:szCs w:val="23"/>
              </w:rPr>
              <w:t>阵占地类型为其它草</w:t>
            </w:r>
          </w:p>
        </w:tc>
        <w:tc>
          <w:tcPr>
            <w:tcW w:w="984" w:type="dxa"/>
            <w:vAlign w:val="top"/>
          </w:tcPr>
          <w:p w14:paraId="6198EA0B">
            <w:pPr>
              <w:pStyle w:val="6"/>
              <w:spacing w:before="179" w:line="219" w:lineRule="auto"/>
              <w:ind w:left="259"/>
              <w:rPr>
                <w:sz w:val="23"/>
                <w:szCs w:val="23"/>
              </w:rPr>
            </w:pPr>
            <w:r>
              <w:rPr>
                <w:spacing w:val="4"/>
                <w:sz w:val="23"/>
                <w:szCs w:val="23"/>
              </w:rPr>
              <w:t>符合</w:t>
            </w:r>
          </w:p>
        </w:tc>
      </w:tr>
    </w:tbl>
    <w:p w14:paraId="5447DB4E">
      <w:pPr>
        <w:pStyle w:val="2"/>
      </w:pPr>
    </w:p>
    <w:p w14:paraId="6471FCDD">
      <w:pPr>
        <w:sectPr>
          <w:footerReference r:id="rId21" w:type="default"/>
          <w:pgSz w:w="11910" w:h="16840"/>
          <w:pgMar w:top="1431" w:right="1594" w:bottom="1255" w:left="1494" w:header="0" w:footer="1093" w:gutter="0"/>
          <w:cols w:space="720" w:num="1"/>
        </w:sectPr>
      </w:pPr>
    </w:p>
    <w:p w14:paraId="4DDECDA3">
      <w:pPr>
        <w:spacing w:line="93" w:lineRule="exact"/>
      </w:pPr>
    </w:p>
    <w:tbl>
      <w:tblPr>
        <w:tblStyle w:val="5"/>
        <w:tblW w:w="88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679"/>
        <w:gridCol w:w="3216"/>
        <w:gridCol w:w="2358"/>
        <w:gridCol w:w="994"/>
      </w:tblGrid>
      <w:tr w14:paraId="1AF54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1" w:hRule="atLeast"/>
        </w:trPr>
        <w:tc>
          <w:tcPr>
            <w:tcW w:w="1573" w:type="dxa"/>
            <w:vMerge w:val="restart"/>
            <w:tcBorders>
              <w:bottom w:val="nil"/>
            </w:tcBorders>
            <w:vAlign w:val="top"/>
          </w:tcPr>
          <w:p w14:paraId="77C2F996">
            <w:pPr>
              <w:rPr>
                <w:rFonts w:ascii="Arial"/>
                <w:sz w:val="21"/>
              </w:rPr>
            </w:pPr>
          </w:p>
        </w:tc>
        <w:tc>
          <w:tcPr>
            <w:tcW w:w="679" w:type="dxa"/>
            <w:vAlign w:val="top"/>
          </w:tcPr>
          <w:p w14:paraId="527C86FC">
            <w:pPr>
              <w:rPr>
                <w:rFonts w:ascii="Arial"/>
                <w:sz w:val="21"/>
              </w:rPr>
            </w:pPr>
          </w:p>
        </w:tc>
        <w:tc>
          <w:tcPr>
            <w:tcW w:w="3216" w:type="dxa"/>
            <w:vAlign w:val="top"/>
          </w:tcPr>
          <w:p w14:paraId="097009FF">
            <w:pPr>
              <w:pStyle w:val="6"/>
              <w:spacing w:before="43" w:line="219" w:lineRule="auto"/>
              <w:ind w:left="183"/>
              <w:rPr>
                <w:sz w:val="21"/>
                <w:szCs w:val="21"/>
              </w:rPr>
            </w:pPr>
            <w:r>
              <w:rPr>
                <w:sz w:val="21"/>
                <w:szCs w:val="21"/>
              </w:rPr>
              <w:t>降水量400毫米以下区域的灌木</w:t>
            </w:r>
          </w:p>
          <w:p w14:paraId="49667BEB">
            <w:pPr>
              <w:pStyle w:val="6"/>
              <w:spacing w:before="20" w:line="219" w:lineRule="auto"/>
              <w:ind w:left="233"/>
              <w:rPr>
                <w:sz w:val="21"/>
                <w:szCs w:val="21"/>
              </w:rPr>
            </w:pPr>
            <w:r>
              <w:rPr>
                <w:sz w:val="21"/>
                <w:szCs w:val="21"/>
              </w:rPr>
              <w:t>林地以及其他区域覆盖度低于</w:t>
            </w:r>
          </w:p>
          <w:p w14:paraId="22308100">
            <w:pPr>
              <w:pStyle w:val="6"/>
              <w:spacing w:before="19" w:line="219" w:lineRule="auto"/>
              <w:jc w:val="right"/>
              <w:rPr>
                <w:sz w:val="21"/>
                <w:szCs w:val="21"/>
              </w:rPr>
            </w:pPr>
            <w:r>
              <w:rPr>
                <w:spacing w:val="5"/>
                <w:sz w:val="21"/>
                <w:szCs w:val="21"/>
              </w:rPr>
              <w:t>50%的灌木林地，不得采伐林木、</w:t>
            </w:r>
          </w:p>
          <w:p w14:paraId="0B5EE5AF">
            <w:pPr>
              <w:pStyle w:val="6"/>
              <w:spacing w:before="32" w:line="219" w:lineRule="auto"/>
              <w:ind w:left="133"/>
              <w:rPr>
                <w:sz w:val="21"/>
                <w:szCs w:val="21"/>
              </w:rPr>
            </w:pPr>
            <w:r>
              <w:rPr>
                <w:spacing w:val="-1"/>
                <w:sz w:val="21"/>
                <w:szCs w:val="21"/>
              </w:rPr>
              <w:t>割灌及破坏原有植被，不得将乔</w:t>
            </w:r>
          </w:p>
          <w:p w14:paraId="1E8BBFA7">
            <w:pPr>
              <w:pStyle w:val="6"/>
              <w:spacing w:before="9" w:line="219" w:lineRule="auto"/>
              <w:ind w:left="133"/>
              <w:rPr>
                <w:sz w:val="21"/>
                <w:szCs w:val="21"/>
              </w:rPr>
            </w:pPr>
            <w:r>
              <w:rPr>
                <w:sz w:val="21"/>
                <w:szCs w:val="21"/>
              </w:rPr>
              <w:t>木林地、竹林地等采伐改造为灌</w:t>
            </w:r>
          </w:p>
          <w:p w14:paraId="5DDC4721">
            <w:pPr>
              <w:pStyle w:val="6"/>
              <w:spacing w:before="41" w:line="219" w:lineRule="auto"/>
              <w:ind w:left="133"/>
              <w:rPr>
                <w:sz w:val="21"/>
                <w:szCs w:val="21"/>
              </w:rPr>
            </w:pPr>
            <w:r>
              <w:rPr>
                <w:sz w:val="21"/>
                <w:szCs w:val="21"/>
              </w:rPr>
              <w:t>木林地后架设光伏板。光伏支架</w:t>
            </w:r>
          </w:p>
          <w:p w14:paraId="31005F68">
            <w:pPr>
              <w:pStyle w:val="6"/>
              <w:spacing w:before="23" w:line="219" w:lineRule="auto"/>
              <w:ind w:left="133"/>
              <w:rPr>
                <w:sz w:val="21"/>
                <w:szCs w:val="21"/>
              </w:rPr>
            </w:pPr>
            <w:r>
              <w:rPr>
                <w:spacing w:val="-1"/>
                <w:sz w:val="21"/>
                <w:szCs w:val="21"/>
              </w:rPr>
              <w:t>最低点应高于灌木高度1米以上，</w:t>
            </w:r>
          </w:p>
          <w:p w14:paraId="0156FD9C">
            <w:pPr>
              <w:pStyle w:val="6"/>
              <w:spacing w:before="9" w:line="219" w:lineRule="auto"/>
              <w:ind w:left="133"/>
              <w:rPr>
                <w:sz w:val="21"/>
                <w:szCs w:val="21"/>
              </w:rPr>
            </w:pPr>
            <w:r>
              <w:rPr>
                <w:spacing w:val="-1"/>
                <w:sz w:val="21"/>
                <w:szCs w:val="21"/>
              </w:rPr>
              <w:t>每列光伏板南北方向应合理设置</w:t>
            </w:r>
          </w:p>
          <w:p w14:paraId="0E123821">
            <w:pPr>
              <w:pStyle w:val="6"/>
              <w:spacing w:before="53" w:line="220" w:lineRule="auto"/>
              <w:ind w:left="133"/>
              <w:rPr>
                <w:sz w:val="21"/>
                <w:szCs w:val="21"/>
              </w:rPr>
            </w:pPr>
            <w:r>
              <w:rPr>
                <w:spacing w:val="1"/>
                <w:sz w:val="21"/>
                <w:szCs w:val="21"/>
              </w:rPr>
              <w:t>净间距，具体由各地结合实地确</w:t>
            </w:r>
          </w:p>
          <w:p w14:paraId="3C591A3C">
            <w:pPr>
              <w:pStyle w:val="6"/>
              <w:spacing w:before="18" w:line="219" w:lineRule="auto"/>
              <w:ind w:left="183"/>
              <w:rPr>
                <w:sz w:val="21"/>
                <w:szCs w:val="21"/>
              </w:rPr>
            </w:pPr>
            <w:r>
              <w:rPr>
                <w:spacing w:val="-1"/>
                <w:sz w:val="21"/>
                <w:szCs w:val="21"/>
              </w:rPr>
              <w:t>定，并采取有效水土保持措施，</w:t>
            </w:r>
          </w:p>
          <w:p w14:paraId="2B2CCF0A">
            <w:pPr>
              <w:pStyle w:val="6"/>
              <w:spacing w:before="12" w:line="219" w:lineRule="auto"/>
              <w:ind w:left="133"/>
              <w:rPr>
                <w:sz w:val="21"/>
                <w:szCs w:val="21"/>
              </w:rPr>
            </w:pPr>
            <w:r>
              <w:rPr>
                <w:sz w:val="21"/>
                <w:szCs w:val="21"/>
              </w:rPr>
              <w:t>确保灌木覆盖度等生长状态不低</w:t>
            </w:r>
          </w:p>
          <w:p w14:paraId="3E2210F7">
            <w:pPr>
              <w:pStyle w:val="6"/>
              <w:spacing w:before="19" w:line="219" w:lineRule="auto"/>
              <w:ind w:left="133"/>
              <w:rPr>
                <w:sz w:val="21"/>
                <w:szCs w:val="21"/>
              </w:rPr>
            </w:pPr>
            <w:r>
              <w:rPr>
                <w:sz w:val="21"/>
                <w:szCs w:val="21"/>
              </w:rPr>
              <w:t>于林光互补前水平。光伏方阵按</w:t>
            </w:r>
          </w:p>
          <w:p w14:paraId="54989E9F">
            <w:pPr>
              <w:pStyle w:val="6"/>
              <w:spacing w:before="43" w:line="219" w:lineRule="auto"/>
              <w:ind w:left="133"/>
              <w:rPr>
                <w:sz w:val="21"/>
                <w:szCs w:val="21"/>
              </w:rPr>
            </w:pPr>
            <w:r>
              <w:rPr>
                <w:spacing w:val="1"/>
                <w:sz w:val="21"/>
                <w:szCs w:val="21"/>
              </w:rPr>
              <w:t>规定使用灌木林地的，施工期间</w:t>
            </w:r>
          </w:p>
          <w:p w14:paraId="722CF714">
            <w:pPr>
              <w:pStyle w:val="6"/>
              <w:spacing w:before="21" w:line="219" w:lineRule="auto"/>
              <w:ind w:left="133"/>
              <w:rPr>
                <w:sz w:val="21"/>
                <w:szCs w:val="21"/>
              </w:rPr>
            </w:pPr>
            <w:r>
              <w:rPr>
                <w:sz w:val="21"/>
                <w:szCs w:val="21"/>
              </w:rPr>
              <w:t>应办理临时使用林地手续，运营</w:t>
            </w:r>
          </w:p>
          <w:p w14:paraId="213F5C58">
            <w:pPr>
              <w:pStyle w:val="6"/>
              <w:spacing w:before="10" w:line="219" w:lineRule="auto"/>
              <w:ind w:left="133"/>
              <w:rPr>
                <w:sz w:val="21"/>
                <w:szCs w:val="21"/>
              </w:rPr>
            </w:pPr>
            <w:r>
              <w:rPr>
                <w:sz w:val="21"/>
                <w:szCs w:val="21"/>
              </w:rPr>
              <w:t>期间相关方签订协议，项目服务</w:t>
            </w:r>
          </w:p>
          <w:p w14:paraId="1AB6BB86">
            <w:pPr>
              <w:pStyle w:val="6"/>
              <w:spacing w:before="21" w:line="209" w:lineRule="auto"/>
              <w:ind w:left="393"/>
              <w:rPr>
                <w:sz w:val="21"/>
                <w:szCs w:val="21"/>
              </w:rPr>
            </w:pPr>
            <w:r>
              <w:rPr>
                <w:spacing w:val="-1"/>
                <w:sz w:val="21"/>
                <w:szCs w:val="21"/>
              </w:rPr>
              <w:t>期满后应当恢复林地原状。</w:t>
            </w:r>
          </w:p>
        </w:tc>
        <w:tc>
          <w:tcPr>
            <w:tcW w:w="2358" w:type="dxa"/>
            <w:vAlign w:val="top"/>
          </w:tcPr>
          <w:p w14:paraId="37655037">
            <w:pPr>
              <w:pStyle w:val="6"/>
              <w:spacing w:before="44"/>
              <w:ind w:left="117" w:right="47"/>
              <w:jc w:val="right"/>
              <w:rPr>
                <w:sz w:val="21"/>
                <w:szCs w:val="21"/>
              </w:rPr>
            </w:pPr>
            <w:r>
              <w:rPr>
                <w:spacing w:val="-1"/>
                <w:sz w:val="21"/>
                <w:szCs w:val="21"/>
              </w:rPr>
              <w:t>地、裸土地、裸岩石砾</w:t>
            </w:r>
            <w:r>
              <w:rPr>
                <w:sz w:val="21"/>
                <w:szCs w:val="21"/>
              </w:rPr>
              <w:t xml:space="preserve">  </w:t>
            </w:r>
            <w:r>
              <w:rPr>
                <w:spacing w:val="1"/>
                <w:sz w:val="21"/>
                <w:szCs w:val="21"/>
              </w:rPr>
              <w:t>地、农用地。根据本项</w:t>
            </w:r>
            <w:r>
              <w:rPr>
                <w:spacing w:val="2"/>
                <w:sz w:val="21"/>
                <w:szCs w:val="21"/>
              </w:rPr>
              <w:t xml:space="preserve"> </w:t>
            </w:r>
            <w:r>
              <w:rPr>
                <w:spacing w:val="3"/>
                <w:sz w:val="21"/>
                <w:szCs w:val="21"/>
              </w:rPr>
              <w:t>目设计，光伏组件最低</w:t>
            </w:r>
            <w:r>
              <w:rPr>
                <w:spacing w:val="2"/>
                <w:sz w:val="21"/>
                <w:szCs w:val="21"/>
              </w:rPr>
              <w:t xml:space="preserve"> </w:t>
            </w:r>
            <w:r>
              <w:rPr>
                <w:spacing w:val="15"/>
                <w:sz w:val="21"/>
                <w:szCs w:val="21"/>
              </w:rPr>
              <w:t>端离地距离2.5m,板下</w:t>
            </w:r>
            <w:r>
              <w:rPr>
                <w:spacing w:val="7"/>
                <w:sz w:val="21"/>
                <w:szCs w:val="21"/>
              </w:rPr>
              <w:t xml:space="preserve"> </w:t>
            </w:r>
            <w:r>
              <w:rPr>
                <w:spacing w:val="2"/>
                <w:sz w:val="21"/>
                <w:szCs w:val="21"/>
              </w:rPr>
              <w:t>种植经济作物，属于农</w:t>
            </w:r>
            <w:r>
              <w:rPr>
                <w:spacing w:val="1"/>
                <w:sz w:val="21"/>
                <w:szCs w:val="21"/>
              </w:rPr>
              <w:t xml:space="preserve"> </w:t>
            </w:r>
            <w:r>
              <w:rPr>
                <w:spacing w:val="-1"/>
                <w:sz w:val="21"/>
                <w:szCs w:val="21"/>
              </w:rPr>
              <w:t>光互补项目，项目服务</w:t>
            </w:r>
          </w:p>
          <w:p w14:paraId="5ABB2273">
            <w:pPr>
              <w:pStyle w:val="6"/>
              <w:spacing w:before="2" w:line="239" w:lineRule="auto"/>
              <w:ind w:left="137" w:right="96" w:hanging="10"/>
              <w:rPr>
                <w:sz w:val="21"/>
                <w:szCs w:val="21"/>
              </w:rPr>
            </w:pPr>
            <w:r>
              <w:rPr>
                <w:spacing w:val="2"/>
                <w:sz w:val="21"/>
                <w:szCs w:val="21"/>
              </w:rPr>
              <w:t>期满后拆除光伏组件由</w:t>
            </w:r>
            <w:r>
              <w:rPr>
                <w:spacing w:val="3"/>
                <w:sz w:val="21"/>
                <w:szCs w:val="21"/>
              </w:rPr>
              <w:t xml:space="preserve"> </w:t>
            </w:r>
            <w:r>
              <w:rPr>
                <w:spacing w:val="-1"/>
                <w:sz w:val="21"/>
                <w:szCs w:val="21"/>
              </w:rPr>
              <w:t>厂商负责回收。</w:t>
            </w:r>
          </w:p>
        </w:tc>
        <w:tc>
          <w:tcPr>
            <w:tcW w:w="994" w:type="dxa"/>
            <w:vAlign w:val="top"/>
          </w:tcPr>
          <w:p w14:paraId="79E2C92C">
            <w:pPr>
              <w:rPr>
                <w:rFonts w:ascii="Arial"/>
                <w:sz w:val="21"/>
              </w:rPr>
            </w:pPr>
          </w:p>
        </w:tc>
      </w:tr>
      <w:tr w14:paraId="30AFA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7" w:hRule="atLeast"/>
        </w:trPr>
        <w:tc>
          <w:tcPr>
            <w:tcW w:w="1573" w:type="dxa"/>
            <w:vMerge w:val="continue"/>
            <w:tcBorders>
              <w:top w:val="nil"/>
              <w:bottom w:val="nil"/>
            </w:tcBorders>
            <w:vAlign w:val="top"/>
          </w:tcPr>
          <w:p w14:paraId="69971869">
            <w:pPr>
              <w:rPr>
                <w:rFonts w:ascii="Arial"/>
                <w:sz w:val="21"/>
              </w:rPr>
            </w:pPr>
          </w:p>
        </w:tc>
        <w:tc>
          <w:tcPr>
            <w:tcW w:w="679" w:type="dxa"/>
            <w:vAlign w:val="top"/>
          </w:tcPr>
          <w:p w14:paraId="11B53644">
            <w:pPr>
              <w:rPr>
                <w:rFonts w:ascii="Arial"/>
                <w:sz w:val="21"/>
              </w:rPr>
            </w:pPr>
          </w:p>
          <w:p w14:paraId="3CFDEEEE">
            <w:pPr>
              <w:rPr>
                <w:rFonts w:ascii="Arial"/>
                <w:sz w:val="21"/>
              </w:rPr>
            </w:pPr>
          </w:p>
          <w:p w14:paraId="13A9BA5C">
            <w:pPr>
              <w:rPr>
                <w:rFonts w:ascii="Arial"/>
                <w:sz w:val="21"/>
              </w:rPr>
            </w:pPr>
          </w:p>
          <w:p w14:paraId="22DF3BD9">
            <w:pPr>
              <w:spacing w:line="241" w:lineRule="auto"/>
              <w:rPr>
                <w:rFonts w:ascii="Arial"/>
                <w:sz w:val="21"/>
              </w:rPr>
            </w:pPr>
          </w:p>
          <w:p w14:paraId="2EE15B9B">
            <w:pPr>
              <w:spacing w:line="241" w:lineRule="auto"/>
              <w:rPr>
                <w:rFonts w:ascii="Arial"/>
                <w:sz w:val="21"/>
              </w:rPr>
            </w:pPr>
          </w:p>
          <w:p w14:paraId="1C9EC898">
            <w:pPr>
              <w:spacing w:line="241" w:lineRule="auto"/>
              <w:rPr>
                <w:rFonts w:ascii="Arial"/>
                <w:sz w:val="21"/>
              </w:rPr>
            </w:pPr>
          </w:p>
          <w:p w14:paraId="20A40171">
            <w:pPr>
              <w:spacing w:line="241" w:lineRule="auto"/>
              <w:rPr>
                <w:rFonts w:ascii="Arial"/>
                <w:sz w:val="21"/>
              </w:rPr>
            </w:pPr>
          </w:p>
          <w:p w14:paraId="07C2AECF">
            <w:pPr>
              <w:pStyle w:val="6"/>
              <w:spacing w:before="68"/>
              <w:ind w:left="272"/>
              <w:rPr>
                <w:sz w:val="21"/>
                <w:szCs w:val="21"/>
              </w:rPr>
            </w:pPr>
            <w:r>
              <w:rPr>
                <w:sz w:val="21"/>
                <w:szCs w:val="21"/>
              </w:rPr>
              <w:t>3</w:t>
            </w:r>
          </w:p>
        </w:tc>
        <w:tc>
          <w:tcPr>
            <w:tcW w:w="3216" w:type="dxa"/>
            <w:vAlign w:val="top"/>
          </w:tcPr>
          <w:p w14:paraId="45949D06">
            <w:pPr>
              <w:pStyle w:val="6"/>
              <w:spacing w:before="131" w:line="219" w:lineRule="auto"/>
              <w:ind w:left="233"/>
              <w:rPr>
                <w:sz w:val="21"/>
                <w:szCs w:val="21"/>
              </w:rPr>
            </w:pPr>
            <w:r>
              <w:rPr>
                <w:spacing w:val="-1"/>
                <w:sz w:val="21"/>
                <w:szCs w:val="21"/>
              </w:rPr>
              <w:t>光伏方阵用地涉及占用基本草</w:t>
            </w:r>
          </w:p>
          <w:p w14:paraId="07DCA2EF">
            <w:pPr>
              <w:pStyle w:val="6"/>
              <w:spacing w:before="77" w:line="283" w:lineRule="auto"/>
              <w:ind w:left="73" w:firstLine="59"/>
              <w:rPr>
                <w:sz w:val="21"/>
                <w:szCs w:val="21"/>
              </w:rPr>
            </w:pPr>
            <w:r>
              <w:rPr>
                <w:sz w:val="21"/>
                <w:szCs w:val="21"/>
              </w:rPr>
              <w:t>原外草原的，地方林草主管部门</w:t>
            </w:r>
            <w:r>
              <w:rPr>
                <w:spacing w:val="1"/>
                <w:sz w:val="21"/>
                <w:szCs w:val="21"/>
              </w:rPr>
              <w:t xml:space="preserve">  </w:t>
            </w:r>
            <w:r>
              <w:rPr>
                <w:spacing w:val="2"/>
                <w:sz w:val="21"/>
                <w:szCs w:val="21"/>
              </w:rPr>
              <w:t>应科学评估本地区草原资源与生</w:t>
            </w:r>
            <w:r>
              <w:rPr>
                <w:spacing w:val="1"/>
                <w:sz w:val="21"/>
                <w:szCs w:val="21"/>
              </w:rPr>
              <w:t xml:space="preserve">  </w:t>
            </w:r>
            <w:r>
              <w:rPr>
                <w:spacing w:val="4"/>
                <w:sz w:val="21"/>
                <w:szCs w:val="21"/>
              </w:rPr>
              <w:t>态状况，合理确定项目的适建区</w:t>
            </w:r>
            <w:r>
              <w:rPr>
                <w:sz w:val="21"/>
                <w:szCs w:val="21"/>
              </w:rPr>
              <w:t xml:space="preserve">  </w:t>
            </w:r>
            <w:r>
              <w:rPr>
                <w:spacing w:val="3"/>
                <w:sz w:val="21"/>
                <w:szCs w:val="21"/>
              </w:rPr>
              <w:t xml:space="preserve">域、建设模式与建设要求。鼓励  </w:t>
            </w:r>
            <w:r>
              <w:rPr>
                <w:spacing w:val="-3"/>
                <w:sz w:val="21"/>
                <w:szCs w:val="21"/>
              </w:rPr>
              <w:t>采用“草光互补”模式。光伏方阵</w:t>
            </w:r>
            <w:r>
              <w:rPr>
                <w:spacing w:val="10"/>
                <w:sz w:val="21"/>
                <w:szCs w:val="21"/>
              </w:rPr>
              <w:t xml:space="preserve"> </w:t>
            </w:r>
            <w:r>
              <w:rPr>
                <w:spacing w:val="2"/>
                <w:sz w:val="21"/>
                <w:szCs w:val="21"/>
              </w:rPr>
              <w:t>用地不得改变地表形态，以第三</w:t>
            </w:r>
            <w:r>
              <w:rPr>
                <w:sz w:val="21"/>
                <w:szCs w:val="21"/>
              </w:rPr>
              <w:t xml:space="preserve">  </w:t>
            </w:r>
            <w:r>
              <w:rPr>
                <w:spacing w:val="3"/>
                <w:sz w:val="21"/>
                <w:szCs w:val="21"/>
              </w:rPr>
              <w:t>次全国国土调查及后续开展的年</w:t>
            </w:r>
            <w:r>
              <w:rPr>
                <w:spacing w:val="2"/>
                <w:sz w:val="21"/>
                <w:szCs w:val="21"/>
              </w:rPr>
              <w:t xml:space="preserve">  度国土变更调查成果为底版，依</w:t>
            </w:r>
            <w:r>
              <w:rPr>
                <w:spacing w:val="1"/>
                <w:sz w:val="21"/>
                <w:szCs w:val="21"/>
              </w:rPr>
              <w:t xml:space="preserve">  </w:t>
            </w:r>
            <w:r>
              <w:rPr>
                <w:spacing w:val="-2"/>
                <w:sz w:val="21"/>
                <w:szCs w:val="21"/>
              </w:rPr>
              <w:t>法依规进行管理。实行用地备案，</w:t>
            </w:r>
            <w:r>
              <w:rPr>
                <w:spacing w:val="11"/>
                <w:sz w:val="21"/>
                <w:szCs w:val="21"/>
              </w:rPr>
              <w:t xml:space="preserve"> </w:t>
            </w:r>
            <w:r>
              <w:rPr>
                <w:spacing w:val="3"/>
                <w:sz w:val="21"/>
                <w:szCs w:val="21"/>
              </w:rPr>
              <w:t>不需按非农建设用地审批。</w:t>
            </w:r>
          </w:p>
        </w:tc>
        <w:tc>
          <w:tcPr>
            <w:tcW w:w="2358" w:type="dxa"/>
            <w:vAlign w:val="top"/>
          </w:tcPr>
          <w:p w14:paraId="6A5F6DE8">
            <w:pPr>
              <w:spacing w:line="270" w:lineRule="auto"/>
              <w:rPr>
                <w:rFonts w:ascii="Arial"/>
                <w:sz w:val="21"/>
              </w:rPr>
            </w:pPr>
          </w:p>
          <w:p w14:paraId="71EE805A">
            <w:pPr>
              <w:spacing w:line="271" w:lineRule="auto"/>
              <w:rPr>
                <w:rFonts w:ascii="Arial"/>
                <w:sz w:val="21"/>
              </w:rPr>
            </w:pPr>
          </w:p>
          <w:p w14:paraId="74CE1C02">
            <w:pPr>
              <w:pStyle w:val="6"/>
              <w:spacing w:before="68" w:line="290" w:lineRule="auto"/>
              <w:ind w:left="167" w:right="47" w:firstLine="20"/>
              <w:rPr>
                <w:sz w:val="21"/>
                <w:szCs w:val="21"/>
              </w:rPr>
            </w:pPr>
            <w:r>
              <w:rPr>
                <w:spacing w:val="1"/>
                <w:sz w:val="21"/>
                <w:szCs w:val="21"/>
              </w:rPr>
              <w:t xml:space="preserve">项目不占用草原；本项 </w:t>
            </w:r>
            <w:r>
              <w:rPr>
                <w:spacing w:val="2"/>
                <w:sz w:val="21"/>
                <w:szCs w:val="21"/>
              </w:rPr>
              <w:t>目光伏方阵区仅对桩基</w:t>
            </w:r>
            <w:r>
              <w:rPr>
                <w:spacing w:val="7"/>
                <w:sz w:val="21"/>
                <w:szCs w:val="21"/>
              </w:rPr>
              <w:t xml:space="preserve"> </w:t>
            </w:r>
            <w:r>
              <w:rPr>
                <w:spacing w:val="1"/>
                <w:sz w:val="21"/>
                <w:szCs w:val="21"/>
              </w:rPr>
              <w:t>用地进行硬化，不会改</w:t>
            </w:r>
            <w:r>
              <w:rPr>
                <w:sz w:val="21"/>
                <w:szCs w:val="21"/>
              </w:rPr>
              <w:t xml:space="preserve"> </w:t>
            </w:r>
            <w:r>
              <w:rPr>
                <w:spacing w:val="-1"/>
                <w:sz w:val="21"/>
                <w:szCs w:val="21"/>
              </w:rPr>
              <w:t>变方阵用地的地表形</w:t>
            </w:r>
          </w:p>
          <w:p w14:paraId="0195D465">
            <w:pPr>
              <w:pStyle w:val="6"/>
              <w:spacing w:before="1" w:line="288" w:lineRule="auto"/>
              <w:ind w:left="157" w:right="47" w:firstLine="30"/>
              <w:rPr>
                <w:sz w:val="21"/>
                <w:szCs w:val="21"/>
              </w:rPr>
            </w:pPr>
            <w:r>
              <w:rPr>
                <w:spacing w:val="1"/>
                <w:sz w:val="21"/>
                <w:szCs w:val="21"/>
              </w:rPr>
              <w:t>态，同时在项目服务期</w:t>
            </w:r>
            <w:r>
              <w:rPr>
                <w:spacing w:val="2"/>
                <w:sz w:val="21"/>
                <w:szCs w:val="21"/>
              </w:rPr>
              <w:t xml:space="preserve"> 满后，将对光伏阵列设</w:t>
            </w:r>
            <w:r>
              <w:rPr>
                <w:sz w:val="21"/>
                <w:szCs w:val="21"/>
              </w:rPr>
              <w:t xml:space="preserve"> </w:t>
            </w:r>
            <w:r>
              <w:rPr>
                <w:spacing w:val="1"/>
                <w:sz w:val="21"/>
                <w:szCs w:val="21"/>
              </w:rPr>
              <w:t>备进行拆除，恢复用地</w:t>
            </w:r>
            <w:r>
              <w:rPr>
                <w:spacing w:val="8"/>
                <w:sz w:val="21"/>
                <w:szCs w:val="21"/>
              </w:rPr>
              <w:t xml:space="preserve"> </w:t>
            </w:r>
            <w:r>
              <w:rPr>
                <w:spacing w:val="-2"/>
                <w:sz w:val="21"/>
                <w:szCs w:val="21"/>
              </w:rPr>
              <w:t>原状。</w:t>
            </w:r>
          </w:p>
        </w:tc>
        <w:tc>
          <w:tcPr>
            <w:tcW w:w="994" w:type="dxa"/>
            <w:vAlign w:val="top"/>
          </w:tcPr>
          <w:p w14:paraId="1D3F82E6">
            <w:pPr>
              <w:spacing w:line="277" w:lineRule="auto"/>
              <w:rPr>
                <w:rFonts w:ascii="Arial"/>
                <w:sz w:val="21"/>
              </w:rPr>
            </w:pPr>
          </w:p>
          <w:p w14:paraId="3504493F">
            <w:pPr>
              <w:spacing w:line="277" w:lineRule="auto"/>
              <w:rPr>
                <w:rFonts w:ascii="Arial"/>
                <w:sz w:val="21"/>
              </w:rPr>
            </w:pPr>
          </w:p>
          <w:p w14:paraId="2F8B9ED1">
            <w:pPr>
              <w:spacing w:line="277" w:lineRule="auto"/>
              <w:rPr>
                <w:rFonts w:ascii="Arial"/>
                <w:sz w:val="21"/>
              </w:rPr>
            </w:pPr>
          </w:p>
          <w:p w14:paraId="784D5FAD">
            <w:pPr>
              <w:spacing w:line="277" w:lineRule="auto"/>
              <w:rPr>
                <w:rFonts w:ascii="Arial"/>
                <w:sz w:val="21"/>
              </w:rPr>
            </w:pPr>
          </w:p>
          <w:p w14:paraId="3B16D253">
            <w:pPr>
              <w:spacing w:line="278" w:lineRule="auto"/>
              <w:rPr>
                <w:rFonts w:ascii="Arial"/>
                <w:sz w:val="21"/>
              </w:rPr>
            </w:pPr>
          </w:p>
          <w:p w14:paraId="1048B01C">
            <w:pPr>
              <w:spacing w:line="278" w:lineRule="auto"/>
              <w:rPr>
                <w:rFonts w:ascii="Arial"/>
                <w:sz w:val="21"/>
              </w:rPr>
            </w:pPr>
          </w:p>
          <w:p w14:paraId="37E98BEE">
            <w:pPr>
              <w:pStyle w:val="6"/>
              <w:spacing w:before="68" w:line="219" w:lineRule="auto"/>
              <w:ind w:left="278"/>
              <w:rPr>
                <w:sz w:val="21"/>
                <w:szCs w:val="21"/>
              </w:rPr>
            </w:pPr>
            <w:r>
              <w:rPr>
                <w:spacing w:val="-3"/>
                <w:sz w:val="21"/>
                <w:szCs w:val="21"/>
              </w:rPr>
              <w:t>符合</w:t>
            </w:r>
          </w:p>
        </w:tc>
      </w:tr>
      <w:tr w14:paraId="68836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8" w:hRule="atLeast"/>
        </w:trPr>
        <w:tc>
          <w:tcPr>
            <w:tcW w:w="1573" w:type="dxa"/>
            <w:vMerge w:val="continue"/>
            <w:tcBorders>
              <w:top w:val="nil"/>
              <w:bottom w:val="nil"/>
            </w:tcBorders>
            <w:vAlign w:val="top"/>
          </w:tcPr>
          <w:p w14:paraId="78ECB7B0">
            <w:pPr>
              <w:rPr>
                <w:rFonts w:ascii="Arial"/>
                <w:sz w:val="21"/>
              </w:rPr>
            </w:pPr>
          </w:p>
        </w:tc>
        <w:tc>
          <w:tcPr>
            <w:tcW w:w="679" w:type="dxa"/>
            <w:vAlign w:val="top"/>
          </w:tcPr>
          <w:p w14:paraId="632D5791">
            <w:pPr>
              <w:spacing w:line="244" w:lineRule="auto"/>
              <w:rPr>
                <w:rFonts w:ascii="Arial"/>
                <w:sz w:val="21"/>
              </w:rPr>
            </w:pPr>
          </w:p>
          <w:p w14:paraId="3EB4DD1F">
            <w:pPr>
              <w:spacing w:line="244" w:lineRule="auto"/>
              <w:rPr>
                <w:rFonts w:ascii="Arial"/>
                <w:sz w:val="21"/>
              </w:rPr>
            </w:pPr>
          </w:p>
          <w:p w14:paraId="2D521C6F">
            <w:pPr>
              <w:spacing w:line="244" w:lineRule="auto"/>
              <w:rPr>
                <w:rFonts w:ascii="Arial"/>
                <w:sz w:val="21"/>
              </w:rPr>
            </w:pPr>
          </w:p>
          <w:p w14:paraId="4DCABF0C">
            <w:pPr>
              <w:spacing w:line="244" w:lineRule="auto"/>
              <w:rPr>
                <w:rFonts w:ascii="Arial"/>
                <w:sz w:val="21"/>
              </w:rPr>
            </w:pPr>
          </w:p>
          <w:p w14:paraId="283E227A">
            <w:pPr>
              <w:spacing w:line="244" w:lineRule="auto"/>
              <w:rPr>
                <w:rFonts w:ascii="Arial"/>
                <w:sz w:val="21"/>
              </w:rPr>
            </w:pPr>
          </w:p>
          <w:p w14:paraId="16CAB26F">
            <w:pPr>
              <w:pStyle w:val="6"/>
              <w:spacing w:before="68" w:line="241" w:lineRule="auto"/>
              <w:ind w:left="272"/>
              <w:rPr>
                <w:sz w:val="21"/>
                <w:szCs w:val="21"/>
              </w:rPr>
            </w:pPr>
            <w:r>
              <w:rPr>
                <w:sz w:val="21"/>
                <w:szCs w:val="21"/>
              </w:rPr>
              <w:t>4</w:t>
            </w:r>
          </w:p>
        </w:tc>
        <w:tc>
          <w:tcPr>
            <w:tcW w:w="3216" w:type="dxa"/>
            <w:vAlign w:val="top"/>
          </w:tcPr>
          <w:p w14:paraId="57127CDF">
            <w:pPr>
              <w:pStyle w:val="6"/>
              <w:spacing w:before="64" w:line="219" w:lineRule="auto"/>
              <w:ind w:left="133"/>
              <w:rPr>
                <w:sz w:val="21"/>
                <w:szCs w:val="21"/>
              </w:rPr>
            </w:pPr>
            <w:r>
              <w:rPr>
                <w:sz w:val="21"/>
                <w:szCs w:val="21"/>
              </w:rPr>
              <w:t>光伏发电项目配套设施用地，按</w:t>
            </w:r>
          </w:p>
          <w:p w14:paraId="65E497F9">
            <w:pPr>
              <w:pStyle w:val="6"/>
              <w:spacing w:before="21" w:line="219" w:lineRule="auto"/>
              <w:ind w:left="133"/>
              <w:rPr>
                <w:sz w:val="21"/>
                <w:szCs w:val="21"/>
              </w:rPr>
            </w:pPr>
            <w:r>
              <w:rPr>
                <w:sz w:val="21"/>
                <w:szCs w:val="21"/>
              </w:rPr>
              <w:t>建设用地进行管理，依法依规办</w:t>
            </w:r>
          </w:p>
          <w:p w14:paraId="4A7E4022">
            <w:pPr>
              <w:pStyle w:val="6"/>
              <w:spacing w:before="22" w:line="220" w:lineRule="auto"/>
              <w:ind w:left="133"/>
              <w:rPr>
                <w:sz w:val="21"/>
                <w:szCs w:val="21"/>
              </w:rPr>
            </w:pPr>
            <w:r>
              <w:rPr>
                <w:spacing w:val="-1"/>
                <w:sz w:val="21"/>
                <w:szCs w:val="21"/>
              </w:rPr>
              <w:t>理建设用地审批手续。其中，涉</w:t>
            </w:r>
          </w:p>
          <w:p w14:paraId="1907F489">
            <w:pPr>
              <w:pStyle w:val="6"/>
              <w:spacing w:before="17" w:line="219" w:lineRule="auto"/>
              <w:ind w:left="133"/>
              <w:rPr>
                <w:sz w:val="21"/>
                <w:szCs w:val="21"/>
              </w:rPr>
            </w:pPr>
            <w:r>
              <w:rPr>
                <w:spacing w:val="1"/>
                <w:sz w:val="21"/>
                <w:szCs w:val="21"/>
              </w:rPr>
              <w:t>及占用耕地的，按规定落实占补</w:t>
            </w:r>
          </w:p>
          <w:p w14:paraId="29F3DF21">
            <w:pPr>
              <w:pStyle w:val="6"/>
              <w:spacing w:before="21" w:line="219" w:lineRule="auto"/>
              <w:ind w:left="133"/>
              <w:rPr>
                <w:sz w:val="21"/>
                <w:szCs w:val="21"/>
              </w:rPr>
            </w:pPr>
            <w:r>
              <w:rPr>
                <w:spacing w:val="-1"/>
                <w:sz w:val="21"/>
                <w:szCs w:val="21"/>
              </w:rPr>
              <w:t>平衡。符合光伏用地标准，位于</w:t>
            </w:r>
          </w:p>
          <w:p w14:paraId="631B95CF">
            <w:pPr>
              <w:pStyle w:val="6"/>
              <w:spacing w:before="20" w:line="219" w:lineRule="auto"/>
              <w:ind w:left="133"/>
              <w:rPr>
                <w:sz w:val="21"/>
                <w:szCs w:val="21"/>
              </w:rPr>
            </w:pPr>
            <w:r>
              <w:rPr>
                <w:spacing w:val="-1"/>
                <w:sz w:val="21"/>
                <w:szCs w:val="21"/>
              </w:rPr>
              <w:t>方阵内部和四周，直接配套光伏</w:t>
            </w:r>
          </w:p>
          <w:p w14:paraId="568A34A5">
            <w:pPr>
              <w:pStyle w:val="6"/>
              <w:spacing w:before="21" w:line="219" w:lineRule="auto"/>
              <w:ind w:left="133"/>
              <w:rPr>
                <w:sz w:val="21"/>
                <w:szCs w:val="21"/>
              </w:rPr>
            </w:pPr>
            <w:r>
              <w:rPr>
                <w:spacing w:val="-1"/>
                <w:sz w:val="21"/>
                <w:szCs w:val="21"/>
              </w:rPr>
              <w:t>方阵的道路，可按农村道路用地</w:t>
            </w:r>
          </w:p>
          <w:p w14:paraId="773FBEB7">
            <w:pPr>
              <w:pStyle w:val="6"/>
              <w:spacing w:before="31" w:line="219" w:lineRule="auto"/>
              <w:ind w:left="133"/>
              <w:rPr>
                <w:sz w:val="21"/>
                <w:szCs w:val="21"/>
              </w:rPr>
            </w:pPr>
            <w:r>
              <w:rPr>
                <w:sz w:val="21"/>
                <w:szCs w:val="21"/>
              </w:rPr>
              <w:t>管理，涉及占用耕地的，按规定</w:t>
            </w:r>
          </w:p>
          <w:p w14:paraId="7275FDB5">
            <w:pPr>
              <w:pStyle w:val="6"/>
              <w:spacing w:before="42" w:line="219" w:lineRule="auto"/>
              <w:ind w:left="133"/>
              <w:rPr>
                <w:sz w:val="21"/>
                <w:szCs w:val="21"/>
              </w:rPr>
            </w:pPr>
            <w:r>
              <w:rPr>
                <w:spacing w:val="-1"/>
                <w:sz w:val="21"/>
                <w:szCs w:val="21"/>
              </w:rPr>
              <w:t>落实进出平衡。其他道路按建设</w:t>
            </w:r>
          </w:p>
          <w:p w14:paraId="7B676B97">
            <w:pPr>
              <w:pStyle w:val="6"/>
              <w:spacing w:line="196" w:lineRule="auto"/>
              <w:ind w:left="1183"/>
              <w:rPr>
                <w:sz w:val="21"/>
                <w:szCs w:val="21"/>
              </w:rPr>
            </w:pPr>
            <w:r>
              <w:rPr>
                <w:spacing w:val="-2"/>
                <w:sz w:val="21"/>
                <w:szCs w:val="21"/>
              </w:rPr>
              <w:t>用地管理</w:t>
            </w:r>
          </w:p>
        </w:tc>
        <w:tc>
          <w:tcPr>
            <w:tcW w:w="2358" w:type="dxa"/>
            <w:vAlign w:val="top"/>
          </w:tcPr>
          <w:p w14:paraId="6543B428">
            <w:pPr>
              <w:pStyle w:val="6"/>
              <w:spacing w:before="45" w:line="246" w:lineRule="auto"/>
              <w:ind w:left="127" w:right="49" w:firstLine="60"/>
              <w:rPr>
                <w:sz w:val="21"/>
                <w:szCs w:val="21"/>
              </w:rPr>
            </w:pPr>
            <w:r>
              <w:rPr>
                <w:spacing w:val="1"/>
                <w:sz w:val="21"/>
                <w:szCs w:val="21"/>
              </w:rPr>
              <w:t>本项目正在办理相关管</w:t>
            </w:r>
            <w:r>
              <w:rPr>
                <w:sz w:val="21"/>
                <w:szCs w:val="21"/>
              </w:rPr>
              <w:t xml:space="preserve"> </w:t>
            </w:r>
            <w:r>
              <w:rPr>
                <w:spacing w:val="1"/>
                <w:sz w:val="21"/>
                <w:szCs w:val="21"/>
              </w:rPr>
              <w:t>理部门的用地预审意</w:t>
            </w:r>
          </w:p>
          <w:p w14:paraId="61270DD6">
            <w:pPr>
              <w:pStyle w:val="6"/>
              <w:spacing w:before="2" w:line="233" w:lineRule="auto"/>
              <w:ind w:left="127" w:right="51" w:firstLine="60"/>
              <w:rPr>
                <w:sz w:val="21"/>
                <w:szCs w:val="21"/>
              </w:rPr>
            </w:pPr>
            <w:r>
              <w:rPr>
                <w:spacing w:val="-2"/>
                <w:sz w:val="21"/>
                <w:szCs w:val="21"/>
              </w:rPr>
              <w:t>见，项目配套设施用地</w:t>
            </w:r>
            <w:r>
              <w:rPr>
                <w:spacing w:val="7"/>
                <w:sz w:val="21"/>
                <w:szCs w:val="21"/>
              </w:rPr>
              <w:t xml:space="preserve"> </w:t>
            </w:r>
            <w:r>
              <w:rPr>
                <w:spacing w:val="5"/>
                <w:sz w:val="21"/>
                <w:szCs w:val="21"/>
              </w:rPr>
              <w:t>严格按照建设用地进行</w:t>
            </w:r>
            <w:r>
              <w:rPr>
                <w:sz w:val="21"/>
                <w:szCs w:val="21"/>
              </w:rPr>
              <w:t xml:space="preserve"> </w:t>
            </w:r>
            <w:r>
              <w:rPr>
                <w:spacing w:val="6"/>
                <w:sz w:val="21"/>
                <w:szCs w:val="21"/>
              </w:rPr>
              <w:t>管理，依法依规办理建</w:t>
            </w:r>
            <w:r>
              <w:rPr>
                <w:spacing w:val="8"/>
                <w:sz w:val="21"/>
                <w:szCs w:val="21"/>
              </w:rPr>
              <w:t xml:space="preserve"> </w:t>
            </w:r>
            <w:r>
              <w:rPr>
                <w:spacing w:val="5"/>
                <w:sz w:val="21"/>
                <w:szCs w:val="21"/>
              </w:rPr>
              <w:t>设用地审批手续，项目</w:t>
            </w:r>
            <w:r>
              <w:rPr>
                <w:sz w:val="21"/>
                <w:szCs w:val="21"/>
              </w:rPr>
              <w:t xml:space="preserve"> </w:t>
            </w:r>
            <w:r>
              <w:rPr>
                <w:spacing w:val="6"/>
                <w:sz w:val="21"/>
                <w:szCs w:val="21"/>
              </w:rPr>
              <w:t>未占用耕地，光伏方阵</w:t>
            </w:r>
            <w:r>
              <w:rPr>
                <w:spacing w:val="7"/>
                <w:sz w:val="21"/>
                <w:szCs w:val="21"/>
              </w:rPr>
              <w:t xml:space="preserve"> </w:t>
            </w:r>
            <w:r>
              <w:rPr>
                <w:spacing w:val="6"/>
                <w:sz w:val="21"/>
                <w:szCs w:val="21"/>
              </w:rPr>
              <w:t>区配套道路符光伏用地</w:t>
            </w:r>
            <w:r>
              <w:rPr>
                <w:spacing w:val="7"/>
                <w:sz w:val="21"/>
                <w:szCs w:val="21"/>
              </w:rPr>
              <w:t xml:space="preserve"> </w:t>
            </w:r>
            <w:r>
              <w:rPr>
                <w:spacing w:val="5"/>
                <w:sz w:val="21"/>
                <w:szCs w:val="21"/>
              </w:rPr>
              <w:t>标准，并严格按照农村</w:t>
            </w:r>
            <w:r>
              <w:rPr>
                <w:sz w:val="21"/>
                <w:szCs w:val="21"/>
              </w:rPr>
              <w:t xml:space="preserve"> </w:t>
            </w:r>
            <w:r>
              <w:rPr>
                <w:spacing w:val="-1"/>
                <w:sz w:val="21"/>
                <w:szCs w:val="21"/>
              </w:rPr>
              <w:t>道路用地进行管理。</w:t>
            </w:r>
          </w:p>
        </w:tc>
        <w:tc>
          <w:tcPr>
            <w:tcW w:w="994" w:type="dxa"/>
            <w:vAlign w:val="top"/>
          </w:tcPr>
          <w:p w14:paraId="03345A97">
            <w:pPr>
              <w:spacing w:line="299" w:lineRule="auto"/>
              <w:rPr>
                <w:rFonts w:ascii="Arial"/>
                <w:sz w:val="21"/>
              </w:rPr>
            </w:pPr>
          </w:p>
          <w:p w14:paraId="59F950DB">
            <w:pPr>
              <w:spacing w:line="300" w:lineRule="auto"/>
              <w:rPr>
                <w:rFonts w:ascii="Arial"/>
                <w:sz w:val="21"/>
              </w:rPr>
            </w:pPr>
          </w:p>
          <w:p w14:paraId="6014846D">
            <w:pPr>
              <w:spacing w:line="300" w:lineRule="auto"/>
              <w:rPr>
                <w:rFonts w:ascii="Arial"/>
                <w:sz w:val="21"/>
              </w:rPr>
            </w:pPr>
          </w:p>
          <w:p w14:paraId="15F19D9F">
            <w:pPr>
              <w:spacing w:line="300" w:lineRule="auto"/>
              <w:rPr>
                <w:rFonts w:ascii="Arial"/>
                <w:sz w:val="21"/>
              </w:rPr>
            </w:pPr>
          </w:p>
          <w:p w14:paraId="1E2FB7F9">
            <w:pPr>
              <w:pStyle w:val="6"/>
              <w:spacing w:before="69" w:line="219" w:lineRule="auto"/>
              <w:ind w:left="278"/>
              <w:rPr>
                <w:sz w:val="21"/>
                <w:szCs w:val="21"/>
              </w:rPr>
            </w:pPr>
            <w:r>
              <w:rPr>
                <w:spacing w:val="-3"/>
                <w:sz w:val="21"/>
                <w:szCs w:val="21"/>
              </w:rPr>
              <w:t>符合</w:t>
            </w:r>
          </w:p>
        </w:tc>
      </w:tr>
      <w:tr w14:paraId="3F197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3" w:hRule="atLeast"/>
        </w:trPr>
        <w:tc>
          <w:tcPr>
            <w:tcW w:w="1573" w:type="dxa"/>
            <w:vMerge w:val="continue"/>
            <w:tcBorders>
              <w:top w:val="nil"/>
            </w:tcBorders>
            <w:vAlign w:val="top"/>
          </w:tcPr>
          <w:p w14:paraId="432C3533">
            <w:pPr>
              <w:rPr>
                <w:rFonts w:ascii="Arial"/>
                <w:sz w:val="21"/>
              </w:rPr>
            </w:pPr>
          </w:p>
        </w:tc>
        <w:tc>
          <w:tcPr>
            <w:tcW w:w="7247" w:type="dxa"/>
            <w:gridSpan w:val="4"/>
            <w:vAlign w:val="top"/>
          </w:tcPr>
          <w:p w14:paraId="77C7FDDD">
            <w:pPr>
              <w:pStyle w:val="6"/>
              <w:spacing w:before="66" w:line="219" w:lineRule="auto"/>
              <w:ind w:left="482"/>
              <w:rPr>
                <w:sz w:val="21"/>
                <w:szCs w:val="21"/>
              </w:rPr>
            </w:pPr>
            <w:r>
              <w:rPr>
                <w:sz w:val="21"/>
                <w:szCs w:val="21"/>
              </w:rPr>
              <w:t>从上表可以看出，本项目符合《关于支持光伏发电产业发展规范</w:t>
            </w:r>
          </w:p>
          <w:p w14:paraId="519B16EB">
            <w:pPr>
              <w:pStyle w:val="6"/>
              <w:spacing w:before="232" w:line="219" w:lineRule="auto"/>
              <w:ind w:left="12"/>
              <w:rPr>
                <w:sz w:val="21"/>
                <w:szCs w:val="21"/>
              </w:rPr>
            </w:pPr>
            <w:r>
              <w:rPr>
                <w:spacing w:val="31"/>
                <w:sz w:val="21"/>
                <w:szCs w:val="21"/>
              </w:rPr>
              <w:t>用地管理有关工作的通知》(自然资发[2023]12号)的相关要求。</w:t>
            </w:r>
          </w:p>
          <w:p w14:paraId="25AD4ED3">
            <w:pPr>
              <w:pStyle w:val="6"/>
              <w:spacing w:before="207" w:line="219" w:lineRule="auto"/>
              <w:ind w:left="475"/>
              <w:rPr>
                <w:sz w:val="21"/>
                <w:szCs w:val="21"/>
              </w:rPr>
            </w:pPr>
            <w:r>
              <w:rPr>
                <w:b/>
                <w:bCs/>
                <w:spacing w:val="-3"/>
                <w:sz w:val="21"/>
                <w:szCs w:val="21"/>
              </w:rPr>
              <w:t>9、与《云南省牛栏江保护条例》符合性分析</w:t>
            </w:r>
          </w:p>
          <w:p w14:paraId="0A605877">
            <w:pPr>
              <w:pStyle w:val="6"/>
              <w:spacing w:before="223" w:line="219" w:lineRule="auto"/>
              <w:jc w:val="right"/>
              <w:rPr>
                <w:sz w:val="21"/>
                <w:szCs w:val="21"/>
              </w:rPr>
            </w:pPr>
            <w:r>
              <w:rPr>
                <w:spacing w:val="38"/>
                <w:sz w:val="21"/>
                <w:szCs w:val="21"/>
              </w:rPr>
              <w:t>根据《云南省牛栏江保护条例》:第四条牛栏江流域实行分区保</w:t>
            </w:r>
          </w:p>
          <w:p w14:paraId="3108F519">
            <w:pPr>
              <w:pStyle w:val="6"/>
              <w:spacing w:before="210" w:line="394" w:lineRule="auto"/>
              <w:ind w:left="12" w:right="912"/>
              <w:rPr>
                <w:sz w:val="21"/>
                <w:szCs w:val="21"/>
              </w:rPr>
            </w:pPr>
            <w:r>
              <w:rPr>
                <w:sz w:val="21"/>
                <w:szCs w:val="21"/>
              </w:rPr>
              <w:t>护。牛栏江德泽水库坝址以上集水区域为牛栏江流域上游保护区，牛</w:t>
            </w:r>
            <w:r>
              <w:rPr>
                <w:spacing w:val="11"/>
                <w:sz w:val="21"/>
                <w:szCs w:val="21"/>
              </w:rPr>
              <w:t xml:space="preserve"> </w:t>
            </w:r>
            <w:r>
              <w:rPr>
                <w:sz w:val="21"/>
                <w:szCs w:val="21"/>
              </w:rPr>
              <w:t>栏江德泽水库坝址以下集水区域为牛栏江流域</w:t>
            </w:r>
            <w:r>
              <w:rPr>
                <w:spacing w:val="-1"/>
                <w:sz w:val="21"/>
                <w:szCs w:val="21"/>
              </w:rPr>
              <w:t>下游保护区。</w:t>
            </w:r>
          </w:p>
        </w:tc>
      </w:tr>
    </w:tbl>
    <w:p w14:paraId="1865F1A8">
      <w:pPr>
        <w:pStyle w:val="2"/>
      </w:pPr>
    </w:p>
    <w:p w14:paraId="768AA0DA">
      <w:pPr>
        <w:sectPr>
          <w:footerReference r:id="rId22" w:type="default"/>
          <w:pgSz w:w="11910" w:h="16840"/>
          <w:pgMar w:top="1431" w:right="1584" w:bottom="1261" w:left="1494" w:header="0" w:footer="1091" w:gutter="0"/>
          <w:cols w:space="720" w:num="1"/>
        </w:sectPr>
      </w:pPr>
    </w:p>
    <w:p w14:paraId="696008FB">
      <w:pPr>
        <w:spacing w:line="93" w:lineRule="exact"/>
      </w:pPr>
    </w:p>
    <w:tbl>
      <w:tblPr>
        <w:tblStyle w:val="5"/>
        <w:tblW w:w="8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2248"/>
        <w:gridCol w:w="4105"/>
        <w:gridCol w:w="884"/>
      </w:tblGrid>
      <w:tr w14:paraId="38A81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2" w:hRule="atLeast"/>
        </w:trPr>
        <w:tc>
          <w:tcPr>
            <w:tcW w:w="1573" w:type="dxa"/>
            <w:vMerge w:val="restart"/>
            <w:tcBorders>
              <w:bottom w:val="nil"/>
            </w:tcBorders>
            <w:vAlign w:val="top"/>
          </w:tcPr>
          <w:p w14:paraId="1048B1E0">
            <w:pPr>
              <w:rPr>
                <w:rFonts w:ascii="Arial"/>
                <w:sz w:val="21"/>
              </w:rPr>
            </w:pPr>
          </w:p>
        </w:tc>
        <w:tc>
          <w:tcPr>
            <w:tcW w:w="7237" w:type="dxa"/>
            <w:gridSpan w:val="3"/>
            <w:vAlign w:val="top"/>
          </w:tcPr>
          <w:p w14:paraId="3575147B">
            <w:pPr>
              <w:pStyle w:val="6"/>
              <w:spacing w:before="34" w:line="394" w:lineRule="auto"/>
              <w:ind w:left="82" w:right="634" w:firstLine="350"/>
              <w:rPr>
                <w:sz w:val="22"/>
                <w:szCs w:val="22"/>
              </w:rPr>
            </w:pPr>
            <w:r>
              <w:rPr>
                <w:sz w:val="22"/>
                <w:szCs w:val="22"/>
              </w:rPr>
              <w:t>第六条牛栏江流域下游保护区划分为污染控制区和水源涵养区。 (一)污染控制区为牛栏江干流水体及河岸带以外的坝区。(二)水</w:t>
            </w:r>
          </w:p>
          <w:p w14:paraId="438DF606">
            <w:pPr>
              <w:pStyle w:val="6"/>
              <w:spacing w:line="219" w:lineRule="auto"/>
              <w:ind w:left="12"/>
              <w:rPr>
                <w:sz w:val="22"/>
                <w:szCs w:val="22"/>
              </w:rPr>
            </w:pPr>
            <w:r>
              <w:rPr>
                <w:sz w:val="22"/>
                <w:szCs w:val="22"/>
              </w:rPr>
              <w:t>源涵养区为流域范围内除污染控制区以外的集水区</w:t>
            </w:r>
            <w:r>
              <w:rPr>
                <w:spacing w:val="-1"/>
                <w:sz w:val="22"/>
                <w:szCs w:val="22"/>
              </w:rPr>
              <w:t>域。</w:t>
            </w:r>
          </w:p>
          <w:p w14:paraId="094429CF">
            <w:pPr>
              <w:pStyle w:val="6"/>
              <w:spacing w:before="197" w:line="394" w:lineRule="auto"/>
              <w:ind w:left="12" w:right="402" w:firstLine="369"/>
              <w:rPr>
                <w:sz w:val="22"/>
                <w:szCs w:val="22"/>
              </w:rPr>
            </w:pPr>
            <w:r>
              <w:rPr>
                <w:sz w:val="22"/>
                <w:szCs w:val="22"/>
              </w:rPr>
              <w:t>整个项目区，包括升压站、光伏阵列、场内道路、集电线路均属</w:t>
            </w:r>
            <w:r>
              <w:rPr>
                <w:spacing w:val="6"/>
                <w:sz w:val="22"/>
                <w:szCs w:val="22"/>
              </w:rPr>
              <w:t xml:space="preserve">   </w:t>
            </w:r>
            <w:r>
              <w:rPr>
                <w:sz w:val="22"/>
                <w:szCs w:val="22"/>
              </w:rPr>
              <w:t>于牛栏江流域下游保护区内，其中项目北侧区域位于牛栏江流域下游</w:t>
            </w:r>
            <w:r>
              <w:rPr>
                <w:spacing w:val="3"/>
                <w:sz w:val="22"/>
                <w:szCs w:val="22"/>
              </w:rPr>
              <w:t xml:space="preserve">   </w:t>
            </w:r>
            <w:r>
              <w:rPr>
                <w:sz w:val="22"/>
                <w:szCs w:val="22"/>
              </w:rPr>
              <w:t>保护区的污染控制区和水源涵养区。项目与《云</w:t>
            </w:r>
            <w:r>
              <w:rPr>
                <w:spacing w:val="-1"/>
                <w:sz w:val="22"/>
                <w:szCs w:val="22"/>
              </w:rPr>
              <w:t>南省牛栏江保护条例》</w:t>
            </w:r>
            <w:r>
              <w:rPr>
                <w:sz w:val="22"/>
                <w:szCs w:val="22"/>
              </w:rPr>
              <w:t xml:space="preserve"> </w:t>
            </w:r>
            <w:r>
              <w:rPr>
                <w:spacing w:val="-1"/>
                <w:sz w:val="22"/>
                <w:szCs w:val="22"/>
              </w:rPr>
              <w:t>的符合性分析详见下表。</w:t>
            </w:r>
          </w:p>
          <w:p w14:paraId="69E91112">
            <w:pPr>
              <w:pStyle w:val="6"/>
              <w:spacing w:line="219" w:lineRule="auto"/>
              <w:ind w:left="655"/>
              <w:rPr>
                <w:sz w:val="22"/>
                <w:szCs w:val="22"/>
              </w:rPr>
            </w:pPr>
            <w:r>
              <w:rPr>
                <w:b/>
                <w:bCs/>
                <w:spacing w:val="-3"/>
                <w:sz w:val="22"/>
                <w:szCs w:val="22"/>
              </w:rPr>
              <w:t>表1-8项目与《云南省牛栏江保护条例》的符合性分析</w:t>
            </w:r>
          </w:p>
        </w:tc>
      </w:tr>
      <w:tr w14:paraId="199EE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573" w:type="dxa"/>
            <w:vMerge w:val="continue"/>
            <w:tcBorders>
              <w:top w:val="nil"/>
              <w:bottom w:val="nil"/>
            </w:tcBorders>
            <w:vAlign w:val="top"/>
          </w:tcPr>
          <w:p w14:paraId="76622E07">
            <w:pPr>
              <w:rPr>
                <w:rFonts w:ascii="Arial"/>
                <w:sz w:val="21"/>
              </w:rPr>
            </w:pPr>
          </w:p>
        </w:tc>
        <w:tc>
          <w:tcPr>
            <w:tcW w:w="2248" w:type="dxa"/>
            <w:vAlign w:val="top"/>
          </w:tcPr>
          <w:p w14:paraId="3B84B562">
            <w:pPr>
              <w:pStyle w:val="6"/>
              <w:spacing w:before="23" w:line="182" w:lineRule="auto"/>
              <w:ind w:left="892"/>
              <w:rPr>
                <w:sz w:val="22"/>
                <w:szCs w:val="22"/>
              </w:rPr>
            </w:pPr>
            <w:r>
              <w:rPr>
                <w:spacing w:val="-3"/>
                <w:sz w:val="22"/>
                <w:szCs w:val="22"/>
              </w:rPr>
              <w:t>要求</w:t>
            </w:r>
          </w:p>
        </w:tc>
        <w:tc>
          <w:tcPr>
            <w:tcW w:w="4105" w:type="dxa"/>
            <w:vAlign w:val="top"/>
          </w:tcPr>
          <w:p w14:paraId="5281CB77">
            <w:pPr>
              <w:pStyle w:val="6"/>
              <w:spacing w:before="23" w:line="182" w:lineRule="auto"/>
              <w:ind w:left="1604"/>
              <w:rPr>
                <w:sz w:val="22"/>
                <w:szCs w:val="22"/>
              </w:rPr>
            </w:pPr>
            <w:r>
              <w:rPr>
                <w:spacing w:val="2"/>
                <w:sz w:val="22"/>
                <w:szCs w:val="22"/>
              </w:rPr>
              <w:t>项目情况</w:t>
            </w:r>
          </w:p>
        </w:tc>
        <w:tc>
          <w:tcPr>
            <w:tcW w:w="884" w:type="dxa"/>
            <w:vAlign w:val="top"/>
          </w:tcPr>
          <w:p w14:paraId="5821458D">
            <w:pPr>
              <w:pStyle w:val="6"/>
              <w:spacing w:before="21" w:line="183" w:lineRule="auto"/>
              <w:ind w:left="109"/>
              <w:rPr>
                <w:sz w:val="22"/>
                <w:szCs w:val="22"/>
              </w:rPr>
            </w:pPr>
            <w:r>
              <w:rPr>
                <w:spacing w:val="-3"/>
                <w:sz w:val="22"/>
                <w:szCs w:val="22"/>
              </w:rPr>
              <w:t>符合性</w:t>
            </w:r>
          </w:p>
        </w:tc>
      </w:tr>
      <w:tr w14:paraId="0BCE9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5" w:hRule="atLeast"/>
        </w:trPr>
        <w:tc>
          <w:tcPr>
            <w:tcW w:w="1573" w:type="dxa"/>
            <w:vMerge w:val="continue"/>
            <w:tcBorders>
              <w:top w:val="nil"/>
              <w:bottom w:val="nil"/>
            </w:tcBorders>
            <w:vAlign w:val="top"/>
          </w:tcPr>
          <w:p w14:paraId="049990D1">
            <w:pPr>
              <w:rPr>
                <w:rFonts w:ascii="Arial"/>
                <w:sz w:val="21"/>
              </w:rPr>
            </w:pPr>
          </w:p>
        </w:tc>
        <w:tc>
          <w:tcPr>
            <w:tcW w:w="2248" w:type="dxa"/>
            <w:vAlign w:val="top"/>
          </w:tcPr>
          <w:p w14:paraId="11BAFBB7">
            <w:pPr>
              <w:pStyle w:val="6"/>
              <w:spacing w:before="182" w:line="219" w:lineRule="auto"/>
              <w:ind w:left="12"/>
              <w:rPr>
                <w:sz w:val="22"/>
                <w:szCs w:val="22"/>
              </w:rPr>
            </w:pPr>
            <w:r>
              <w:rPr>
                <w:spacing w:val="-1"/>
                <w:sz w:val="22"/>
                <w:szCs w:val="22"/>
              </w:rPr>
              <w:t>第三十二条、重点水源</w:t>
            </w:r>
          </w:p>
          <w:p w14:paraId="2837FF43">
            <w:pPr>
              <w:pStyle w:val="6"/>
              <w:spacing w:before="18" w:line="212" w:lineRule="auto"/>
              <w:ind w:left="52" w:right="124" w:firstLine="70"/>
              <w:rPr>
                <w:sz w:val="22"/>
                <w:szCs w:val="22"/>
              </w:rPr>
            </w:pPr>
            <w:r>
              <w:rPr>
                <w:spacing w:val="1"/>
                <w:sz w:val="22"/>
                <w:szCs w:val="22"/>
              </w:rPr>
              <w:t xml:space="preserve">涵养区内禁止下列行 </w:t>
            </w:r>
            <w:r>
              <w:rPr>
                <w:spacing w:val="-6"/>
                <w:sz w:val="22"/>
                <w:szCs w:val="22"/>
              </w:rPr>
              <w:t>为</w:t>
            </w:r>
            <w:r>
              <w:rPr>
                <w:spacing w:val="-49"/>
                <w:sz w:val="22"/>
                <w:szCs w:val="22"/>
              </w:rPr>
              <w:t xml:space="preserve"> </w:t>
            </w:r>
            <w:r>
              <w:rPr>
                <w:spacing w:val="-6"/>
                <w:sz w:val="22"/>
                <w:szCs w:val="22"/>
              </w:rPr>
              <w:t>：</w:t>
            </w:r>
          </w:p>
          <w:p w14:paraId="7D57DDAA">
            <w:pPr>
              <w:pStyle w:val="6"/>
              <w:spacing w:before="34" w:line="227" w:lineRule="auto"/>
              <w:ind w:left="92" w:right="125" w:firstLine="30"/>
              <w:rPr>
                <w:sz w:val="22"/>
                <w:szCs w:val="22"/>
              </w:rPr>
            </w:pPr>
            <w:r>
              <w:rPr>
                <w:spacing w:val="1"/>
                <w:sz w:val="22"/>
                <w:szCs w:val="22"/>
              </w:rPr>
              <w:t>(一)盗伐、滥伐林木</w:t>
            </w:r>
            <w:r>
              <w:rPr>
                <w:sz w:val="22"/>
                <w:szCs w:val="22"/>
              </w:rPr>
              <w:t xml:space="preserve"> </w:t>
            </w:r>
            <w:r>
              <w:rPr>
                <w:spacing w:val="18"/>
                <w:sz w:val="22"/>
                <w:szCs w:val="22"/>
              </w:rPr>
              <w:t>和破坏草地；</w:t>
            </w:r>
          </w:p>
          <w:p w14:paraId="3BE5227E">
            <w:pPr>
              <w:pStyle w:val="6"/>
              <w:spacing w:before="1" w:line="223" w:lineRule="auto"/>
              <w:ind w:left="92" w:right="124" w:firstLine="30"/>
              <w:rPr>
                <w:sz w:val="22"/>
                <w:szCs w:val="22"/>
              </w:rPr>
            </w:pPr>
            <w:r>
              <w:rPr>
                <w:spacing w:val="1"/>
                <w:sz w:val="22"/>
                <w:szCs w:val="22"/>
              </w:rPr>
              <w:t>(二)使用高毒、高残</w:t>
            </w:r>
            <w:r>
              <w:rPr>
                <w:sz w:val="22"/>
                <w:szCs w:val="22"/>
              </w:rPr>
              <w:t xml:space="preserve"> </w:t>
            </w:r>
            <w:r>
              <w:rPr>
                <w:spacing w:val="24"/>
                <w:sz w:val="22"/>
                <w:szCs w:val="22"/>
              </w:rPr>
              <w:t>留农药</w:t>
            </w:r>
            <w:r>
              <w:rPr>
                <w:spacing w:val="-46"/>
                <w:sz w:val="22"/>
                <w:szCs w:val="22"/>
              </w:rPr>
              <w:t xml:space="preserve"> </w:t>
            </w:r>
            <w:r>
              <w:rPr>
                <w:spacing w:val="24"/>
                <w:sz w:val="22"/>
                <w:szCs w:val="22"/>
              </w:rPr>
              <w:t>；</w:t>
            </w:r>
          </w:p>
          <w:p w14:paraId="5293A774">
            <w:pPr>
              <w:pStyle w:val="6"/>
              <w:spacing w:before="28" w:line="218" w:lineRule="auto"/>
              <w:ind w:left="12" w:firstLine="191"/>
              <w:rPr>
                <w:sz w:val="22"/>
                <w:szCs w:val="22"/>
              </w:rPr>
            </w:pPr>
            <w:r>
              <w:rPr>
                <w:spacing w:val="-16"/>
                <w:sz w:val="22"/>
                <w:szCs w:val="22"/>
              </w:rPr>
              <w:t>(三)利用溶洞、渗井、</w:t>
            </w:r>
            <w:r>
              <w:rPr>
                <w:spacing w:val="9"/>
                <w:sz w:val="22"/>
                <w:szCs w:val="22"/>
              </w:rPr>
              <w:t xml:space="preserve"> </w:t>
            </w:r>
            <w:r>
              <w:rPr>
                <w:spacing w:val="-7"/>
                <w:sz w:val="22"/>
                <w:szCs w:val="22"/>
              </w:rPr>
              <w:t>渗坑、裂隙排放、倾倒</w:t>
            </w:r>
          </w:p>
          <w:p w14:paraId="35EAC1A0">
            <w:pPr>
              <w:pStyle w:val="6"/>
              <w:spacing w:before="29" w:line="220" w:lineRule="auto"/>
              <w:ind w:left="92" w:right="144" w:firstLine="30"/>
              <w:rPr>
                <w:sz w:val="22"/>
                <w:szCs w:val="22"/>
              </w:rPr>
            </w:pPr>
            <w:r>
              <w:rPr>
                <w:spacing w:val="-1"/>
                <w:sz w:val="22"/>
                <w:szCs w:val="22"/>
              </w:rPr>
              <w:t>含有毒有害物质的废</w:t>
            </w:r>
            <w:r>
              <w:rPr>
                <w:sz w:val="22"/>
                <w:szCs w:val="22"/>
              </w:rPr>
              <w:t xml:space="preserve"> </w:t>
            </w:r>
            <w:r>
              <w:rPr>
                <w:spacing w:val="22"/>
                <w:sz w:val="22"/>
                <w:szCs w:val="22"/>
              </w:rPr>
              <w:t>水、废渣；</w:t>
            </w:r>
          </w:p>
          <w:p w14:paraId="7EF6DC97">
            <w:pPr>
              <w:pStyle w:val="6"/>
              <w:spacing w:before="5" w:line="219" w:lineRule="auto"/>
              <w:ind w:left="232"/>
              <w:rPr>
                <w:sz w:val="22"/>
                <w:szCs w:val="22"/>
              </w:rPr>
            </w:pPr>
            <w:r>
              <w:rPr>
                <w:spacing w:val="1"/>
                <w:sz w:val="22"/>
                <w:szCs w:val="22"/>
              </w:rPr>
              <w:t>(四)向水体排放废</w:t>
            </w:r>
          </w:p>
          <w:p w14:paraId="5FE99A6C">
            <w:pPr>
              <w:pStyle w:val="6"/>
              <w:spacing w:before="9" w:line="219" w:lineRule="auto"/>
              <w:ind w:left="12"/>
              <w:rPr>
                <w:sz w:val="22"/>
                <w:szCs w:val="22"/>
              </w:rPr>
            </w:pPr>
            <w:r>
              <w:rPr>
                <w:spacing w:val="1"/>
                <w:sz w:val="22"/>
                <w:szCs w:val="22"/>
              </w:rPr>
              <w:t>水、倾倒工业废渣、城</w:t>
            </w:r>
          </w:p>
          <w:p w14:paraId="194E5711">
            <w:pPr>
              <w:pStyle w:val="6"/>
              <w:spacing w:before="9" w:line="216" w:lineRule="auto"/>
              <w:ind w:left="52" w:right="144" w:firstLine="70"/>
              <w:rPr>
                <w:sz w:val="22"/>
                <w:szCs w:val="22"/>
              </w:rPr>
            </w:pPr>
            <w:r>
              <w:rPr>
                <w:spacing w:val="-1"/>
                <w:sz w:val="22"/>
                <w:szCs w:val="22"/>
              </w:rPr>
              <w:t>镇垃圾或者其他废弃</w:t>
            </w:r>
            <w:r>
              <w:rPr>
                <w:sz w:val="22"/>
                <w:szCs w:val="22"/>
              </w:rPr>
              <w:t xml:space="preserve"> </w:t>
            </w:r>
            <w:r>
              <w:rPr>
                <w:spacing w:val="-5"/>
                <w:sz w:val="22"/>
                <w:szCs w:val="22"/>
              </w:rPr>
              <w:t>物</w:t>
            </w:r>
            <w:r>
              <w:rPr>
                <w:spacing w:val="60"/>
                <w:sz w:val="22"/>
                <w:szCs w:val="22"/>
              </w:rPr>
              <w:t xml:space="preserve"> </w:t>
            </w:r>
            <w:r>
              <w:rPr>
                <w:spacing w:val="-5"/>
                <w:sz w:val="22"/>
                <w:szCs w:val="22"/>
              </w:rPr>
              <w:t>；</w:t>
            </w:r>
          </w:p>
          <w:p w14:paraId="5EB35C53">
            <w:pPr>
              <w:pStyle w:val="6"/>
              <w:spacing w:before="35" w:line="219" w:lineRule="auto"/>
              <w:ind w:left="122"/>
              <w:rPr>
                <w:sz w:val="22"/>
                <w:szCs w:val="22"/>
              </w:rPr>
            </w:pPr>
            <w:r>
              <w:rPr>
                <w:spacing w:val="10"/>
                <w:sz w:val="22"/>
                <w:szCs w:val="22"/>
              </w:rPr>
              <w:t>(五)在江河、渠道、</w:t>
            </w:r>
          </w:p>
          <w:p w14:paraId="472ED176">
            <w:pPr>
              <w:pStyle w:val="6"/>
              <w:spacing w:before="9" w:line="219" w:lineRule="auto"/>
              <w:ind w:left="122"/>
              <w:rPr>
                <w:sz w:val="22"/>
                <w:szCs w:val="22"/>
              </w:rPr>
            </w:pPr>
            <w:r>
              <w:rPr>
                <w:spacing w:val="1"/>
                <w:sz w:val="22"/>
                <w:szCs w:val="22"/>
              </w:rPr>
              <w:t>水库最高水位线以下</w:t>
            </w:r>
          </w:p>
          <w:p w14:paraId="22974F7C">
            <w:pPr>
              <w:pStyle w:val="6"/>
              <w:spacing w:before="19" w:line="219" w:lineRule="auto"/>
              <w:ind w:left="12"/>
              <w:rPr>
                <w:sz w:val="22"/>
                <w:szCs w:val="22"/>
              </w:rPr>
            </w:pPr>
            <w:r>
              <w:rPr>
                <w:sz w:val="22"/>
                <w:szCs w:val="22"/>
              </w:rPr>
              <w:t>的滩地、岸坡堆放、存</w:t>
            </w:r>
          </w:p>
          <w:p w14:paraId="1EEA221B">
            <w:pPr>
              <w:pStyle w:val="6"/>
              <w:spacing w:before="10" w:line="221" w:lineRule="auto"/>
              <w:ind w:left="72" w:right="145" w:firstLine="50"/>
              <w:rPr>
                <w:sz w:val="22"/>
                <w:szCs w:val="22"/>
              </w:rPr>
            </w:pPr>
            <w:r>
              <w:rPr>
                <w:spacing w:val="-2"/>
                <w:sz w:val="22"/>
                <w:szCs w:val="22"/>
              </w:rPr>
              <w:t>贮固体废弃物或者其</w:t>
            </w:r>
            <w:r>
              <w:rPr>
                <w:spacing w:val="7"/>
                <w:sz w:val="22"/>
                <w:szCs w:val="22"/>
              </w:rPr>
              <w:t xml:space="preserve"> </w:t>
            </w:r>
            <w:r>
              <w:rPr>
                <w:spacing w:val="22"/>
                <w:sz w:val="22"/>
                <w:szCs w:val="22"/>
              </w:rPr>
              <w:t>他污染物；</w:t>
            </w:r>
          </w:p>
          <w:p w14:paraId="68CB7E78">
            <w:pPr>
              <w:pStyle w:val="6"/>
              <w:spacing w:before="24" w:line="217" w:lineRule="auto"/>
              <w:ind w:left="122"/>
              <w:rPr>
                <w:sz w:val="22"/>
                <w:szCs w:val="22"/>
              </w:rPr>
            </w:pPr>
            <w:r>
              <w:rPr>
                <w:spacing w:val="1"/>
                <w:sz w:val="22"/>
                <w:szCs w:val="22"/>
              </w:rPr>
              <w:t>(六)利用无防渗漏措</w:t>
            </w:r>
          </w:p>
          <w:p w14:paraId="270D9F44">
            <w:pPr>
              <w:pStyle w:val="6"/>
              <w:spacing w:line="219" w:lineRule="auto"/>
              <w:ind w:left="12"/>
              <w:rPr>
                <w:sz w:val="22"/>
                <w:szCs w:val="22"/>
              </w:rPr>
            </w:pPr>
            <w:r>
              <w:rPr>
                <w:spacing w:val="-1"/>
                <w:sz w:val="22"/>
                <w:szCs w:val="22"/>
              </w:rPr>
              <w:t>施的沟渠、坑塘等输送</w:t>
            </w:r>
          </w:p>
          <w:p w14:paraId="6F337CA4">
            <w:pPr>
              <w:pStyle w:val="6"/>
              <w:spacing w:before="9" w:line="219" w:lineRule="auto"/>
              <w:ind w:left="122"/>
              <w:rPr>
                <w:sz w:val="22"/>
                <w:szCs w:val="22"/>
              </w:rPr>
            </w:pPr>
            <w:r>
              <w:rPr>
                <w:spacing w:val="1"/>
                <w:sz w:val="22"/>
                <w:szCs w:val="22"/>
              </w:rPr>
              <w:t>或者存贮含有毒污染</w:t>
            </w:r>
          </w:p>
          <w:p w14:paraId="5D298602">
            <w:pPr>
              <w:pStyle w:val="6"/>
              <w:spacing w:before="29" w:line="219" w:lineRule="auto"/>
              <w:ind w:left="12"/>
              <w:rPr>
                <w:sz w:val="22"/>
                <w:szCs w:val="22"/>
              </w:rPr>
            </w:pPr>
            <w:r>
              <w:rPr>
                <w:spacing w:val="1"/>
                <w:sz w:val="22"/>
                <w:szCs w:val="22"/>
              </w:rPr>
              <w:t>物的废水、含病原体的</w:t>
            </w:r>
          </w:p>
          <w:p w14:paraId="5FED63A9">
            <w:pPr>
              <w:pStyle w:val="6"/>
              <w:spacing w:before="9" w:line="219" w:lineRule="auto"/>
              <w:jc w:val="right"/>
              <w:rPr>
                <w:sz w:val="22"/>
                <w:szCs w:val="22"/>
              </w:rPr>
            </w:pPr>
            <w:r>
              <w:rPr>
                <w:spacing w:val="-4"/>
                <w:sz w:val="22"/>
                <w:szCs w:val="22"/>
              </w:rPr>
              <w:t>污水或者其他废弃物。</w:t>
            </w:r>
          </w:p>
        </w:tc>
        <w:tc>
          <w:tcPr>
            <w:tcW w:w="4105" w:type="dxa"/>
            <w:vAlign w:val="top"/>
          </w:tcPr>
          <w:p w14:paraId="66706B89">
            <w:pPr>
              <w:pStyle w:val="6"/>
              <w:spacing w:before="52" w:line="228" w:lineRule="auto"/>
              <w:ind w:left="64" w:right="59" w:firstLine="60"/>
              <w:rPr>
                <w:sz w:val="22"/>
                <w:szCs w:val="22"/>
              </w:rPr>
            </w:pPr>
            <w:r>
              <w:rPr>
                <w:sz w:val="22"/>
                <w:szCs w:val="22"/>
              </w:rPr>
              <w:t>(1)本项目为光伏发电项目，根据《几沃</w:t>
            </w:r>
            <w:r>
              <w:rPr>
                <w:spacing w:val="9"/>
                <w:sz w:val="22"/>
                <w:szCs w:val="22"/>
              </w:rPr>
              <w:t xml:space="preserve"> </w:t>
            </w:r>
            <w:r>
              <w:rPr>
                <w:spacing w:val="-1"/>
                <w:sz w:val="22"/>
                <w:szCs w:val="22"/>
              </w:rPr>
              <w:t>梁子农光互补光伏发电项目使用林地可行</w:t>
            </w:r>
            <w:r>
              <w:rPr>
                <w:spacing w:val="8"/>
                <w:sz w:val="22"/>
                <w:szCs w:val="22"/>
              </w:rPr>
              <w:t xml:space="preserve"> </w:t>
            </w:r>
            <w:r>
              <w:rPr>
                <w:spacing w:val="3"/>
                <w:sz w:val="22"/>
                <w:szCs w:val="22"/>
              </w:rPr>
              <w:t>性报告》,光伏板区内临时用地林地地类</w:t>
            </w:r>
            <w:r>
              <w:rPr>
                <w:spacing w:val="14"/>
                <w:sz w:val="22"/>
                <w:szCs w:val="22"/>
              </w:rPr>
              <w:t xml:space="preserve"> </w:t>
            </w:r>
            <w:r>
              <w:rPr>
                <w:sz w:val="22"/>
                <w:szCs w:val="22"/>
              </w:rPr>
              <w:t>性质为一般灌木林及其他林地，塔基及升</w:t>
            </w:r>
            <w:r>
              <w:rPr>
                <w:spacing w:val="10"/>
                <w:sz w:val="22"/>
                <w:szCs w:val="22"/>
              </w:rPr>
              <w:t xml:space="preserve"> </w:t>
            </w:r>
            <w:r>
              <w:rPr>
                <w:sz w:val="22"/>
                <w:szCs w:val="22"/>
              </w:rPr>
              <w:t>压站永久占地为其他用地，项目在取得使</w:t>
            </w:r>
            <w:r>
              <w:rPr>
                <w:spacing w:val="10"/>
                <w:sz w:val="22"/>
                <w:szCs w:val="22"/>
              </w:rPr>
              <w:t xml:space="preserve"> </w:t>
            </w:r>
            <w:r>
              <w:rPr>
                <w:spacing w:val="3"/>
                <w:sz w:val="22"/>
                <w:szCs w:val="22"/>
              </w:rPr>
              <w:t>用林草地手续后，方可开工建设。</w:t>
            </w:r>
          </w:p>
          <w:p w14:paraId="3DCE6A1B">
            <w:pPr>
              <w:pStyle w:val="6"/>
              <w:spacing w:before="7" w:line="220" w:lineRule="auto"/>
              <w:ind w:left="114" w:right="109" w:firstLine="10"/>
              <w:rPr>
                <w:sz w:val="22"/>
                <w:szCs w:val="22"/>
              </w:rPr>
            </w:pPr>
            <w:r>
              <w:rPr>
                <w:sz w:val="22"/>
                <w:szCs w:val="22"/>
              </w:rPr>
              <w:t>(2)项目光伏板下经济作物种植禁止喷洒</w:t>
            </w:r>
            <w:r>
              <w:rPr>
                <w:spacing w:val="10"/>
                <w:sz w:val="22"/>
                <w:szCs w:val="22"/>
              </w:rPr>
              <w:t xml:space="preserve"> </w:t>
            </w:r>
            <w:r>
              <w:rPr>
                <w:sz w:val="22"/>
                <w:szCs w:val="22"/>
              </w:rPr>
              <w:t>农药。</w:t>
            </w:r>
          </w:p>
          <w:p w14:paraId="201D7D58">
            <w:pPr>
              <w:pStyle w:val="6"/>
              <w:spacing w:before="22" w:line="226" w:lineRule="auto"/>
              <w:ind w:left="64" w:firstLine="59"/>
              <w:rPr>
                <w:sz w:val="22"/>
                <w:szCs w:val="22"/>
              </w:rPr>
            </w:pPr>
            <w:r>
              <w:rPr>
                <w:spacing w:val="-1"/>
                <w:sz w:val="22"/>
                <w:szCs w:val="22"/>
              </w:rPr>
              <w:t>(3)施工期产生的废水经沉淀池处理后回</w:t>
            </w:r>
            <w:r>
              <w:rPr>
                <w:spacing w:val="2"/>
                <w:sz w:val="22"/>
                <w:szCs w:val="22"/>
              </w:rPr>
              <w:t xml:space="preserve">  </w:t>
            </w:r>
            <w:r>
              <w:rPr>
                <w:spacing w:val="-2"/>
                <w:sz w:val="22"/>
                <w:szCs w:val="22"/>
              </w:rPr>
              <w:t>用，不外排；运行期光伏板清洁废水作为</w:t>
            </w:r>
            <w:r>
              <w:rPr>
                <w:spacing w:val="4"/>
                <w:sz w:val="22"/>
                <w:szCs w:val="22"/>
              </w:rPr>
              <w:t xml:space="preserve">  </w:t>
            </w:r>
            <w:r>
              <w:rPr>
                <w:spacing w:val="-2"/>
                <w:sz w:val="22"/>
                <w:szCs w:val="22"/>
              </w:rPr>
              <w:t>组件下发农作物浇灌用水，不外排，升压</w:t>
            </w:r>
            <w:r>
              <w:rPr>
                <w:spacing w:val="3"/>
                <w:sz w:val="22"/>
                <w:szCs w:val="22"/>
              </w:rPr>
              <w:t xml:space="preserve">  </w:t>
            </w:r>
            <w:r>
              <w:rPr>
                <w:spacing w:val="-2"/>
                <w:sz w:val="22"/>
                <w:szCs w:val="22"/>
              </w:rPr>
              <w:t>站生活污水经一体化污水处理设施处理后</w:t>
            </w:r>
            <w:r>
              <w:rPr>
                <w:spacing w:val="6"/>
                <w:sz w:val="22"/>
                <w:szCs w:val="22"/>
              </w:rPr>
              <w:t xml:space="preserve">  </w:t>
            </w:r>
            <w:r>
              <w:rPr>
                <w:spacing w:val="-3"/>
                <w:sz w:val="22"/>
                <w:szCs w:val="22"/>
              </w:rPr>
              <w:t>达标回用于绿化。废水均不外排。项目运</w:t>
            </w:r>
            <w:r>
              <w:rPr>
                <w:spacing w:val="3"/>
                <w:sz w:val="22"/>
                <w:szCs w:val="22"/>
              </w:rPr>
              <w:t xml:space="preserve">  营期生活垃圾由当地环卫部门清运处置；</w:t>
            </w:r>
            <w:r>
              <w:rPr>
                <w:spacing w:val="15"/>
                <w:sz w:val="22"/>
                <w:szCs w:val="22"/>
              </w:rPr>
              <w:t xml:space="preserve"> </w:t>
            </w:r>
            <w:r>
              <w:rPr>
                <w:spacing w:val="-2"/>
                <w:sz w:val="22"/>
                <w:szCs w:val="22"/>
              </w:rPr>
              <w:t>化粪池及一体化污水处理设施运行污泥清</w:t>
            </w:r>
            <w:r>
              <w:rPr>
                <w:spacing w:val="4"/>
                <w:sz w:val="22"/>
                <w:szCs w:val="22"/>
              </w:rPr>
              <w:t xml:space="preserve">  </w:t>
            </w:r>
            <w:r>
              <w:rPr>
                <w:spacing w:val="-1"/>
                <w:sz w:val="22"/>
                <w:szCs w:val="22"/>
              </w:rPr>
              <w:t>掏后作为农肥使用；废旧太阳能电池板由</w:t>
            </w:r>
            <w:r>
              <w:rPr>
                <w:spacing w:val="4"/>
                <w:sz w:val="22"/>
                <w:szCs w:val="22"/>
              </w:rPr>
              <w:t xml:space="preserve"> </w:t>
            </w:r>
            <w:r>
              <w:rPr>
                <w:spacing w:val="-2"/>
                <w:sz w:val="22"/>
                <w:szCs w:val="22"/>
              </w:rPr>
              <w:t>厂家带走处理；废润滑油、废变压器油暂</w:t>
            </w:r>
            <w:r>
              <w:rPr>
                <w:spacing w:val="3"/>
                <w:sz w:val="22"/>
                <w:szCs w:val="22"/>
              </w:rPr>
              <w:t xml:space="preserve">  </w:t>
            </w:r>
            <w:r>
              <w:rPr>
                <w:spacing w:val="-2"/>
                <w:sz w:val="22"/>
                <w:szCs w:val="22"/>
              </w:rPr>
              <w:t>存于危废暂存间，委托有危险废物回收资</w:t>
            </w:r>
            <w:r>
              <w:rPr>
                <w:spacing w:val="6"/>
                <w:sz w:val="22"/>
                <w:szCs w:val="22"/>
              </w:rPr>
              <w:t xml:space="preserve">  </w:t>
            </w:r>
            <w:r>
              <w:rPr>
                <w:spacing w:val="-2"/>
                <w:sz w:val="22"/>
                <w:szCs w:val="22"/>
              </w:rPr>
              <w:t>质的单位妥善处理。废水不外排，废渣妥</w:t>
            </w:r>
            <w:r>
              <w:rPr>
                <w:spacing w:val="4"/>
                <w:sz w:val="22"/>
                <w:szCs w:val="22"/>
              </w:rPr>
              <w:t xml:space="preserve">  </w:t>
            </w:r>
            <w:r>
              <w:rPr>
                <w:spacing w:val="-3"/>
                <w:sz w:val="22"/>
                <w:szCs w:val="22"/>
              </w:rPr>
              <w:t>善处置，不向溶洞、渗井、渗坑、裂隙排</w:t>
            </w:r>
            <w:r>
              <w:rPr>
                <w:spacing w:val="2"/>
                <w:sz w:val="22"/>
                <w:szCs w:val="22"/>
              </w:rPr>
              <w:t xml:space="preserve">  </w:t>
            </w:r>
            <w:r>
              <w:rPr>
                <w:spacing w:val="-3"/>
                <w:sz w:val="22"/>
                <w:szCs w:val="22"/>
              </w:rPr>
              <w:t>放、倾倒，不向水体排放，不在江河、渠</w:t>
            </w:r>
            <w:r>
              <w:rPr>
                <w:spacing w:val="3"/>
                <w:sz w:val="22"/>
                <w:szCs w:val="22"/>
              </w:rPr>
              <w:t xml:space="preserve">  </w:t>
            </w:r>
            <w:r>
              <w:rPr>
                <w:spacing w:val="-3"/>
                <w:sz w:val="22"/>
                <w:szCs w:val="22"/>
              </w:rPr>
              <w:t>道、水库最高水位线以下的滩地、岸坡堆</w:t>
            </w:r>
            <w:r>
              <w:rPr>
                <w:spacing w:val="3"/>
                <w:sz w:val="22"/>
                <w:szCs w:val="22"/>
              </w:rPr>
              <w:t xml:space="preserve">  </w:t>
            </w:r>
            <w:r>
              <w:rPr>
                <w:spacing w:val="-2"/>
                <w:sz w:val="22"/>
                <w:szCs w:val="22"/>
              </w:rPr>
              <w:t>放、存贮固体废弃物或者其他污染物，不</w:t>
            </w:r>
            <w:r>
              <w:rPr>
                <w:spacing w:val="4"/>
                <w:sz w:val="22"/>
                <w:szCs w:val="22"/>
              </w:rPr>
              <w:t xml:space="preserve">  </w:t>
            </w:r>
            <w:r>
              <w:rPr>
                <w:spacing w:val="-3"/>
                <w:sz w:val="22"/>
                <w:szCs w:val="22"/>
              </w:rPr>
              <w:t>利用无防渗漏措施的沟渠、坑塘等输送或</w:t>
            </w:r>
            <w:r>
              <w:rPr>
                <w:spacing w:val="2"/>
                <w:sz w:val="22"/>
                <w:szCs w:val="22"/>
              </w:rPr>
              <w:t xml:space="preserve">  </w:t>
            </w:r>
            <w:r>
              <w:rPr>
                <w:spacing w:val="-2"/>
                <w:sz w:val="22"/>
                <w:szCs w:val="22"/>
              </w:rPr>
              <w:t>者存贮含有毒污染物的废水、含病原体的</w:t>
            </w:r>
            <w:r>
              <w:rPr>
                <w:spacing w:val="7"/>
                <w:sz w:val="22"/>
                <w:szCs w:val="22"/>
              </w:rPr>
              <w:t xml:space="preserve">  </w:t>
            </w:r>
            <w:r>
              <w:rPr>
                <w:spacing w:val="3"/>
                <w:sz w:val="22"/>
                <w:szCs w:val="22"/>
              </w:rPr>
              <w:t>污水或者其他废弃物。</w:t>
            </w:r>
          </w:p>
        </w:tc>
        <w:tc>
          <w:tcPr>
            <w:tcW w:w="884" w:type="dxa"/>
            <w:vAlign w:val="top"/>
          </w:tcPr>
          <w:p w14:paraId="0C634C63">
            <w:pPr>
              <w:spacing w:line="257" w:lineRule="auto"/>
              <w:rPr>
                <w:rFonts w:ascii="Arial"/>
                <w:sz w:val="21"/>
              </w:rPr>
            </w:pPr>
          </w:p>
          <w:p w14:paraId="5F51CF60">
            <w:pPr>
              <w:spacing w:line="257" w:lineRule="auto"/>
              <w:rPr>
                <w:rFonts w:ascii="Arial"/>
                <w:sz w:val="21"/>
              </w:rPr>
            </w:pPr>
          </w:p>
          <w:p w14:paraId="403422FC">
            <w:pPr>
              <w:spacing w:line="257" w:lineRule="auto"/>
              <w:rPr>
                <w:rFonts w:ascii="Arial"/>
                <w:sz w:val="21"/>
              </w:rPr>
            </w:pPr>
          </w:p>
          <w:p w14:paraId="5126E71B">
            <w:pPr>
              <w:spacing w:line="257" w:lineRule="auto"/>
              <w:rPr>
                <w:rFonts w:ascii="Arial"/>
                <w:sz w:val="21"/>
              </w:rPr>
            </w:pPr>
          </w:p>
          <w:p w14:paraId="78031B58">
            <w:pPr>
              <w:spacing w:line="257" w:lineRule="auto"/>
              <w:rPr>
                <w:rFonts w:ascii="Arial"/>
                <w:sz w:val="21"/>
              </w:rPr>
            </w:pPr>
          </w:p>
          <w:p w14:paraId="221C1AC3">
            <w:pPr>
              <w:spacing w:line="258" w:lineRule="auto"/>
              <w:rPr>
                <w:rFonts w:ascii="Arial"/>
                <w:sz w:val="21"/>
              </w:rPr>
            </w:pPr>
          </w:p>
          <w:p w14:paraId="6724F247">
            <w:pPr>
              <w:spacing w:line="258" w:lineRule="auto"/>
              <w:rPr>
                <w:rFonts w:ascii="Arial"/>
                <w:sz w:val="21"/>
              </w:rPr>
            </w:pPr>
          </w:p>
          <w:p w14:paraId="48DC0FB4">
            <w:pPr>
              <w:spacing w:line="258" w:lineRule="auto"/>
              <w:rPr>
                <w:rFonts w:ascii="Arial"/>
                <w:sz w:val="21"/>
              </w:rPr>
            </w:pPr>
          </w:p>
          <w:p w14:paraId="5B129188">
            <w:pPr>
              <w:spacing w:line="258" w:lineRule="auto"/>
              <w:rPr>
                <w:rFonts w:ascii="Arial"/>
                <w:sz w:val="21"/>
              </w:rPr>
            </w:pPr>
          </w:p>
          <w:p w14:paraId="6ADDEF4A">
            <w:pPr>
              <w:spacing w:line="258" w:lineRule="auto"/>
              <w:rPr>
                <w:rFonts w:ascii="Arial"/>
                <w:sz w:val="21"/>
              </w:rPr>
            </w:pPr>
          </w:p>
          <w:p w14:paraId="67E10FBB">
            <w:pPr>
              <w:spacing w:line="258" w:lineRule="auto"/>
              <w:rPr>
                <w:rFonts w:ascii="Arial"/>
                <w:sz w:val="21"/>
              </w:rPr>
            </w:pPr>
          </w:p>
          <w:p w14:paraId="23FDE25E">
            <w:pPr>
              <w:spacing w:line="258" w:lineRule="auto"/>
              <w:rPr>
                <w:rFonts w:ascii="Arial"/>
                <w:sz w:val="21"/>
              </w:rPr>
            </w:pPr>
          </w:p>
          <w:p w14:paraId="6039CC3C">
            <w:pPr>
              <w:spacing w:line="258" w:lineRule="auto"/>
              <w:rPr>
                <w:rFonts w:ascii="Arial"/>
                <w:sz w:val="21"/>
              </w:rPr>
            </w:pPr>
          </w:p>
          <w:p w14:paraId="39EDCDA0">
            <w:pPr>
              <w:pStyle w:val="6"/>
              <w:spacing w:before="72" w:line="219" w:lineRule="auto"/>
              <w:ind w:left="219"/>
              <w:rPr>
                <w:sz w:val="22"/>
                <w:szCs w:val="22"/>
              </w:rPr>
            </w:pPr>
            <w:r>
              <w:rPr>
                <w:spacing w:val="-3"/>
                <w:sz w:val="22"/>
                <w:szCs w:val="22"/>
              </w:rPr>
              <w:t>符合</w:t>
            </w:r>
          </w:p>
        </w:tc>
      </w:tr>
      <w:tr w14:paraId="2C355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1573" w:type="dxa"/>
            <w:vMerge w:val="continue"/>
            <w:tcBorders>
              <w:top w:val="nil"/>
              <w:bottom w:val="nil"/>
            </w:tcBorders>
            <w:vAlign w:val="top"/>
          </w:tcPr>
          <w:p w14:paraId="076789FA">
            <w:pPr>
              <w:rPr>
                <w:rFonts w:ascii="Arial"/>
                <w:sz w:val="21"/>
              </w:rPr>
            </w:pPr>
          </w:p>
        </w:tc>
        <w:tc>
          <w:tcPr>
            <w:tcW w:w="2248" w:type="dxa"/>
            <w:vAlign w:val="top"/>
          </w:tcPr>
          <w:p w14:paraId="6CF702BE">
            <w:pPr>
              <w:spacing w:line="371" w:lineRule="auto"/>
              <w:rPr>
                <w:rFonts w:ascii="Arial"/>
                <w:sz w:val="21"/>
              </w:rPr>
            </w:pPr>
          </w:p>
          <w:p w14:paraId="08F9CE88">
            <w:pPr>
              <w:pStyle w:val="6"/>
              <w:spacing w:before="72" w:line="227" w:lineRule="auto"/>
              <w:ind w:left="12"/>
              <w:rPr>
                <w:sz w:val="22"/>
                <w:szCs w:val="22"/>
              </w:rPr>
            </w:pPr>
            <w:r>
              <w:rPr>
                <w:spacing w:val="-7"/>
                <w:sz w:val="22"/>
                <w:szCs w:val="22"/>
              </w:rPr>
              <w:t>第三十六条、污染控制</w:t>
            </w:r>
            <w:r>
              <w:rPr>
                <w:spacing w:val="7"/>
                <w:sz w:val="22"/>
                <w:szCs w:val="22"/>
              </w:rPr>
              <w:t xml:space="preserve"> </w:t>
            </w:r>
            <w:r>
              <w:rPr>
                <w:spacing w:val="2"/>
                <w:sz w:val="22"/>
                <w:szCs w:val="22"/>
              </w:rPr>
              <w:t>区内禁止新建、改建、</w:t>
            </w:r>
          </w:p>
          <w:p w14:paraId="0E58C45E">
            <w:pPr>
              <w:pStyle w:val="6"/>
              <w:spacing w:line="238" w:lineRule="auto"/>
              <w:ind w:left="92" w:right="144" w:firstLine="30"/>
              <w:rPr>
                <w:sz w:val="22"/>
                <w:szCs w:val="22"/>
              </w:rPr>
            </w:pPr>
            <w:r>
              <w:rPr>
                <w:spacing w:val="-1"/>
                <w:sz w:val="22"/>
                <w:szCs w:val="22"/>
              </w:rPr>
              <w:t>扩建对水体污染严重</w:t>
            </w:r>
            <w:r>
              <w:rPr>
                <w:sz w:val="22"/>
                <w:szCs w:val="22"/>
              </w:rPr>
              <w:t xml:space="preserve"> 的建设项目。</w:t>
            </w:r>
          </w:p>
        </w:tc>
        <w:tc>
          <w:tcPr>
            <w:tcW w:w="4105" w:type="dxa"/>
            <w:vAlign w:val="top"/>
          </w:tcPr>
          <w:p w14:paraId="2AF8668E">
            <w:pPr>
              <w:pStyle w:val="6"/>
              <w:spacing w:before="34" w:line="221" w:lineRule="auto"/>
              <w:ind w:left="64" w:right="56"/>
              <w:jc w:val="both"/>
              <w:rPr>
                <w:sz w:val="22"/>
                <w:szCs w:val="22"/>
              </w:rPr>
            </w:pPr>
            <w:r>
              <w:rPr>
                <w:sz w:val="22"/>
                <w:szCs w:val="22"/>
              </w:rPr>
              <w:t>本项目为光伏发电项目，施工期产生的废</w:t>
            </w:r>
            <w:r>
              <w:rPr>
                <w:spacing w:val="10"/>
                <w:sz w:val="22"/>
                <w:szCs w:val="22"/>
              </w:rPr>
              <w:t xml:space="preserve"> </w:t>
            </w:r>
            <w:r>
              <w:rPr>
                <w:sz w:val="22"/>
                <w:szCs w:val="22"/>
              </w:rPr>
              <w:t>水经沉淀池处理后回用，不外排；运行期</w:t>
            </w:r>
            <w:r>
              <w:rPr>
                <w:spacing w:val="13"/>
                <w:sz w:val="22"/>
                <w:szCs w:val="22"/>
              </w:rPr>
              <w:t xml:space="preserve"> </w:t>
            </w:r>
            <w:r>
              <w:rPr>
                <w:sz w:val="22"/>
                <w:szCs w:val="22"/>
              </w:rPr>
              <w:t>光伏板清洁废水作为组件下经济作物浇灌</w:t>
            </w:r>
            <w:r>
              <w:rPr>
                <w:spacing w:val="11"/>
                <w:sz w:val="22"/>
                <w:szCs w:val="22"/>
              </w:rPr>
              <w:t xml:space="preserve"> </w:t>
            </w:r>
            <w:r>
              <w:rPr>
                <w:spacing w:val="-1"/>
                <w:sz w:val="22"/>
                <w:szCs w:val="22"/>
              </w:rPr>
              <w:t>用水，不外排，升压站生活污水经一体化</w:t>
            </w:r>
            <w:r>
              <w:rPr>
                <w:spacing w:val="6"/>
                <w:sz w:val="22"/>
                <w:szCs w:val="22"/>
              </w:rPr>
              <w:t xml:space="preserve"> </w:t>
            </w:r>
            <w:r>
              <w:rPr>
                <w:sz w:val="22"/>
                <w:szCs w:val="22"/>
              </w:rPr>
              <w:t>污水处理设施处理后达标回用于绿化。废</w:t>
            </w:r>
            <w:r>
              <w:rPr>
                <w:spacing w:val="10"/>
                <w:sz w:val="22"/>
                <w:szCs w:val="22"/>
              </w:rPr>
              <w:t xml:space="preserve"> </w:t>
            </w:r>
            <w:r>
              <w:rPr>
                <w:sz w:val="22"/>
                <w:szCs w:val="22"/>
              </w:rPr>
              <w:t>水均不外排。本项目不属于对水体污染严</w:t>
            </w:r>
            <w:r>
              <w:rPr>
                <w:spacing w:val="8"/>
                <w:sz w:val="22"/>
                <w:szCs w:val="22"/>
              </w:rPr>
              <w:t xml:space="preserve"> </w:t>
            </w:r>
            <w:r>
              <w:rPr>
                <w:spacing w:val="17"/>
                <w:sz w:val="22"/>
                <w:szCs w:val="22"/>
              </w:rPr>
              <w:t>重的建设项目</w:t>
            </w:r>
          </w:p>
        </w:tc>
        <w:tc>
          <w:tcPr>
            <w:tcW w:w="884" w:type="dxa"/>
            <w:vAlign w:val="top"/>
          </w:tcPr>
          <w:p w14:paraId="377E9BC3">
            <w:pPr>
              <w:spacing w:line="256" w:lineRule="auto"/>
              <w:rPr>
                <w:rFonts w:ascii="Arial"/>
                <w:sz w:val="21"/>
              </w:rPr>
            </w:pPr>
          </w:p>
          <w:p w14:paraId="6555EFBF">
            <w:pPr>
              <w:spacing w:line="257" w:lineRule="auto"/>
              <w:rPr>
                <w:rFonts w:ascii="Arial"/>
                <w:sz w:val="21"/>
              </w:rPr>
            </w:pPr>
          </w:p>
          <w:p w14:paraId="6E3E1E70">
            <w:pPr>
              <w:spacing w:line="257" w:lineRule="auto"/>
              <w:rPr>
                <w:rFonts w:ascii="Arial"/>
                <w:sz w:val="21"/>
              </w:rPr>
            </w:pPr>
          </w:p>
          <w:p w14:paraId="61462B41">
            <w:pPr>
              <w:pStyle w:val="6"/>
              <w:spacing w:before="72" w:line="219" w:lineRule="auto"/>
              <w:ind w:left="219"/>
              <w:rPr>
                <w:sz w:val="22"/>
                <w:szCs w:val="22"/>
              </w:rPr>
            </w:pPr>
            <w:r>
              <w:rPr>
                <w:spacing w:val="-3"/>
                <w:sz w:val="22"/>
                <w:szCs w:val="22"/>
              </w:rPr>
              <w:t>符合</w:t>
            </w:r>
          </w:p>
        </w:tc>
      </w:tr>
      <w:tr w14:paraId="6ABA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573" w:type="dxa"/>
            <w:vMerge w:val="continue"/>
            <w:tcBorders>
              <w:top w:val="nil"/>
            </w:tcBorders>
            <w:vAlign w:val="top"/>
          </w:tcPr>
          <w:p w14:paraId="78F8BE10">
            <w:pPr>
              <w:rPr>
                <w:rFonts w:ascii="Arial"/>
                <w:sz w:val="21"/>
              </w:rPr>
            </w:pPr>
          </w:p>
        </w:tc>
        <w:tc>
          <w:tcPr>
            <w:tcW w:w="7237" w:type="dxa"/>
            <w:gridSpan w:val="3"/>
            <w:vAlign w:val="top"/>
          </w:tcPr>
          <w:p w14:paraId="28C28D3E">
            <w:pPr>
              <w:pStyle w:val="6"/>
              <w:spacing w:before="47" w:line="219" w:lineRule="auto"/>
              <w:ind w:left="402"/>
              <w:rPr>
                <w:sz w:val="22"/>
                <w:szCs w:val="22"/>
              </w:rPr>
            </w:pPr>
            <w:r>
              <w:rPr>
                <w:sz w:val="22"/>
                <w:szCs w:val="22"/>
              </w:rPr>
              <w:t>综上所述，本工程的建设满足《云南省牛栏江保护条例》的相关</w:t>
            </w:r>
          </w:p>
        </w:tc>
      </w:tr>
    </w:tbl>
    <w:p w14:paraId="25898F6B">
      <w:pPr>
        <w:pStyle w:val="2"/>
      </w:pPr>
    </w:p>
    <w:p w14:paraId="08A5E13C">
      <w:pPr>
        <w:sectPr>
          <w:footerReference r:id="rId23" w:type="default"/>
          <w:pgSz w:w="11910" w:h="16840"/>
          <w:pgMar w:top="1431" w:right="1594" w:bottom="1255" w:left="1494" w:header="0" w:footer="1093" w:gutter="0"/>
          <w:cols w:space="720" w:num="1"/>
        </w:sectPr>
      </w:pPr>
    </w:p>
    <w:p w14:paraId="2D661983">
      <w:pPr>
        <w:spacing w:before="41" w:line="174" w:lineRule="auto"/>
        <w:ind w:left="8715"/>
        <w:rPr>
          <w:rFonts w:ascii="宋体" w:hAnsi="宋体" w:eastAsia="宋体" w:cs="宋体"/>
          <w:sz w:val="21"/>
          <w:szCs w:val="21"/>
        </w:rPr>
      </w:pPr>
      <w:r>
        <w:rPr>
          <w:rFonts w:ascii="宋体" w:hAnsi="宋体" w:eastAsia="宋体" w:cs="宋体"/>
          <w:sz w:val="21"/>
          <w:szCs w:val="21"/>
        </w:rPr>
        <w:t>0</w:t>
      </w:r>
    </w:p>
    <w:tbl>
      <w:tblPr>
        <w:tblStyle w:val="5"/>
        <w:tblW w:w="8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3446"/>
        <w:gridCol w:w="279"/>
        <w:gridCol w:w="2457"/>
        <w:gridCol w:w="959"/>
        <w:gridCol w:w="135"/>
      </w:tblGrid>
      <w:tr w14:paraId="5C1DE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9" w:hRule="atLeast"/>
        </w:trPr>
        <w:tc>
          <w:tcPr>
            <w:tcW w:w="1563" w:type="dxa"/>
            <w:vMerge w:val="restart"/>
            <w:tcBorders>
              <w:bottom w:val="nil"/>
            </w:tcBorders>
            <w:vAlign w:val="top"/>
          </w:tcPr>
          <w:p w14:paraId="2E9FCB5D">
            <w:pPr>
              <w:rPr>
                <w:rFonts w:ascii="Arial"/>
                <w:sz w:val="21"/>
              </w:rPr>
            </w:pPr>
          </w:p>
        </w:tc>
        <w:tc>
          <w:tcPr>
            <w:tcW w:w="7141" w:type="dxa"/>
            <w:gridSpan w:val="4"/>
            <w:vAlign w:val="top"/>
          </w:tcPr>
          <w:p w14:paraId="7B942E49">
            <w:pPr>
              <w:pStyle w:val="6"/>
              <w:spacing w:before="13" w:line="221" w:lineRule="auto"/>
              <w:ind w:left="12"/>
              <w:rPr>
                <w:sz w:val="22"/>
                <w:szCs w:val="22"/>
              </w:rPr>
            </w:pPr>
            <w:r>
              <w:rPr>
                <w:sz w:val="22"/>
                <w:szCs w:val="22"/>
              </w:rPr>
              <w:t>要求。</w:t>
            </w:r>
          </w:p>
          <w:p w14:paraId="55B38BC0">
            <w:pPr>
              <w:pStyle w:val="6"/>
              <w:spacing w:before="212" w:line="388" w:lineRule="auto"/>
              <w:ind w:left="15" w:right="950" w:firstLine="439"/>
              <w:rPr>
                <w:sz w:val="22"/>
                <w:szCs w:val="22"/>
              </w:rPr>
            </w:pPr>
            <w:r>
              <w:rPr>
                <w:b/>
                <w:bCs/>
                <w:spacing w:val="-2"/>
                <w:sz w:val="22"/>
                <w:szCs w:val="22"/>
              </w:rPr>
              <w:t>10、与《牛栏江流域(云南部分)水环境保护规划(20</w:t>
            </w:r>
            <w:r>
              <w:rPr>
                <w:b/>
                <w:bCs/>
                <w:spacing w:val="-3"/>
                <w:sz w:val="22"/>
                <w:szCs w:val="22"/>
              </w:rPr>
              <w:t>09-2030</w:t>
            </w:r>
            <w:r>
              <w:rPr>
                <w:sz w:val="22"/>
                <w:szCs w:val="22"/>
              </w:rPr>
              <w:t xml:space="preserve"> </w:t>
            </w:r>
            <w:r>
              <w:rPr>
                <w:b/>
                <w:bCs/>
                <w:spacing w:val="36"/>
                <w:sz w:val="22"/>
                <w:szCs w:val="22"/>
              </w:rPr>
              <w:t>年)》符合性</w:t>
            </w:r>
          </w:p>
          <w:p w14:paraId="1A45AFCB">
            <w:pPr>
              <w:pStyle w:val="6"/>
              <w:spacing w:before="6" w:line="395" w:lineRule="auto"/>
              <w:ind w:left="12" w:right="626" w:firstLine="319"/>
              <w:rPr>
                <w:sz w:val="22"/>
                <w:szCs w:val="22"/>
              </w:rPr>
            </w:pPr>
            <w:r>
              <w:rPr>
                <w:sz w:val="22"/>
                <w:szCs w:val="22"/>
              </w:rPr>
              <w:t>项目位于水源涵养区、污染控制区内(详见附图11)。项目与《牛</w:t>
            </w:r>
            <w:r>
              <w:rPr>
                <w:spacing w:val="11"/>
                <w:sz w:val="22"/>
                <w:szCs w:val="22"/>
              </w:rPr>
              <w:t xml:space="preserve"> </w:t>
            </w:r>
            <w:r>
              <w:rPr>
                <w:sz w:val="22"/>
                <w:szCs w:val="22"/>
              </w:rPr>
              <w:t>栏江流域(云南部分)水环境保护规划(2009-20</w:t>
            </w:r>
            <w:r>
              <w:rPr>
                <w:spacing w:val="-1"/>
                <w:sz w:val="22"/>
                <w:szCs w:val="22"/>
              </w:rPr>
              <w:t>30年)》的符合性分</w:t>
            </w:r>
          </w:p>
          <w:p w14:paraId="70314E05">
            <w:pPr>
              <w:pStyle w:val="6"/>
              <w:spacing w:line="219" w:lineRule="auto"/>
              <w:ind w:left="12"/>
              <w:rPr>
                <w:sz w:val="22"/>
                <w:szCs w:val="22"/>
              </w:rPr>
            </w:pPr>
            <w:r>
              <w:rPr>
                <w:spacing w:val="-1"/>
                <w:sz w:val="22"/>
                <w:szCs w:val="22"/>
              </w:rPr>
              <w:t>析见下表。</w:t>
            </w:r>
          </w:p>
          <w:p w14:paraId="6D2C8380">
            <w:pPr>
              <w:pStyle w:val="6"/>
              <w:spacing w:before="195" w:line="382" w:lineRule="auto"/>
              <w:ind w:left="2805" w:right="948" w:hanging="2793"/>
              <w:rPr>
                <w:sz w:val="22"/>
                <w:szCs w:val="22"/>
              </w:rPr>
            </w:pPr>
            <w:r>
              <w:rPr>
                <w:spacing w:val="-2"/>
                <w:sz w:val="22"/>
                <w:szCs w:val="22"/>
              </w:rPr>
              <w:t>表</w:t>
            </w:r>
            <w:r>
              <w:rPr>
                <w:b/>
                <w:bCs/>
                <w:spacing w:val="-2"/>
                <w:sz w:val="22"/>
                <w:szCs w:val="22"/>
              </w:rPr>
              <w:t>1-9项目与《牛栏江流域(云南部分)水环境保护规划(2009-203</w:t>
            </w:r>
            <w:r>
              <w:rPr>
                <w:spacing w:val="1"/>
                <w:sz w:val="22"/>
                <w:szCs w:val="22"/>
              </w:rPr>
              <w:t xml:space="preserve"> </w:t>
            </w:r>
            <w:r>
              <w:rPr>
                <w:b/>
                <w:bCs/>
                <w:spacing w:val="39"/>
                <w:sz w:val="22"/>
                <w:szCs w:val="22"/>
              </w:rPr>
              <w:t>年)》的符合性</w:t>
            </w:r>
          </w:p>
        </w:tc>
        <w:tc>
          <w:tcPr>
            <w:tcW w:w="135" w:type="dxa"/>
            <w:tcBorders>
              <w:bottom w:val="nil"/>
            </w:tcBorders>
            <w:vAlign w:val="top"/>
          </w:tcPr>
          <w:p w14:paraId="50F48C47">
            <w:pPr>
              <w:rPr>
                <w:rFonts w:ascii="Arial"/>
                <w:sz w:val="21"/>
              </w:rPr>
            </w:pPr>
          </w:p>
        </w:tc>
      </w:tr>
      <w:tr w14:paraId="3047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563" w:type="dxa"/>
            <w:vMerge w:val="continue"/>
            <w:tcBorders>
              <w:top w:val="nil"/>
              <w:bottom w:val="nil"/>
            </w:tcBorders>
            <w:vAlign w:val="top"/>
          </w:tcPr>
          <w:p w14:paraId="741FF606">
            <w:pPr>
              <w:rPr>
                <w:rFonts w:ascii="Arial"/>
                <w:sz w:val="21"/>
              </w:rPr>
            </w:pPr>
          </w:p>
        </w:tc>
        <w:tc>
          <w:tcPr>
            <w:tcW w:w="3446" w:type="dxa"/>
            <w:vAlign w:val="top"/>
          </w:tcPr>
          <w:p w14:paraId="7458CFAC">
            <w:pPr>
              <w:pStyle w:val="6"/>
              <w:spacing w:before="24" w:line="197" w:lineRule="auto"/>
              <w:ind w:left="1492"/>
              <w:rPr>
                <w:sz w:val="22"/>
                <w:szCs w:val="22"/>
              </w:rPr>
            </w:pPr>
            <w:r>
              <w:rPr>
                <w:spacing w:val="-3"/>
                <w:sz w:val="22"/>
                <w:szCs w:val="22"/>
              </w:rPr>
              <w:t>要求</w:t>
            </w:r>
          </w:p>
        </w:tc>
        <w:tc>
          <w:tcPr>
            <w:tcW w:w="2736" w:type="dxa"/>
            <w:gridSpan w:val="2"/>
            <w:vAlign w:val="top"/>
          </w:tcPr>
          <w:p w14:paraId="3F2537EC">
            <w:pPr>
              <w:pStyle w:val="6"/>
              <w:spacing w:before="23" w:line="198" w:lineRule="auto"/>
              <w:ind w:left="926"/>
              <w:rPr>
                <w:sz w:val="22"/>
                <w:szCs w:val="22"/>
              </w:rPr>
            </w:pPr>
            <w:r>
              <w:rPr>
                <w:spacing w:val="2"/>
                <w:sz w:val="22"/>
                <w:szCs w:val="22"/>
              </w:rPr>
              <w:t>项目情况</w:t>
            </w:r>
          </w:p>
        </w:tc>
        <w:tc>
          <w:tcPr>
            <w:tcW w:w="959" w:type="dxa"/>
            <w:vAlign w:val="top"/>
          </w:tcPr>
          <w:p w14:paraId="6FA4DC06">
            <w:pPr>
              <w:pStyle w:val="6"/>
              <w:spacing w:before="23" w:line="198" w:lineRule="auto"/>
              <w:ind w:left="150"/>
              <w:rPr>
                <w:sz w:val="22"/>
                <w:szCs w:val="22"/>
              </w:rPr>
            </w:pPr>
            <w:r>
              <w:rPr>
                <w:spacing w:val="-3"/>
                <w:sz w:val="22"/>
                <w:szCs w:val="22"/>
              </w:rPr>
              <w:t>符合性</w:t>
            </w:r>
          </w:p>
        </w:tc>
        <w:tc>
          <w:tcPr>
            <w:tcW w:w="135" w:type="dxa"/>
            <w:tcBorders>
              <w:top w:val="nil"/>
              <w:bottom w:val="nil"/>
            </w:tcBorders>
            <w:vAlign w:val="top"/>
          </w:tcPr>
          <w:p w14:paraId="3063A9BC">
            <w:pPr>
              <w:rPr>
                <w:rFonts w:ascii="Arial"/>
                <w:sz w:val="21"/>
              </w:rPr>
            </w:pPr>
          </w:p>
        </w:tc>
      </w:tr>
      <w:tr w14:paraId="6E64A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5" w:hRule="atLeast"/>
        </w:trPr>
        <w:tc>
          <w:tcPr>
            <w:tcW w:w="1563" w:type="dxa"/>
            <w:vMerge w:val="continue"/>
            <w:tcBorders>
              <w:top w:val="nil"/>
              <w:bottom w:val="nil"/>
            </w:tcBorders>
            <w:vAlign w:val="top"/>
          </w:tcPr>
          <w:p w14:paraId="14DD4AB6">
            <w:pPr>
              <w:rPr>
                <w:rFonts w:ascii="Arial"/>
                <w:sz w:val="21"/>
              </w:rPr>
            </w:pPr>
          </w:p>
        </w:tc>
        <w:tc>
          <w:tcPr>
            <w:tcW w:w="3446" w:type="dxa"/>
            <w:vAlign w:val="top"/>
          </w:tcPr>
          <w:p w14:paraId="209D7A4A">
            <w:pPr>
              <w:pStyle w:val="6"/>
              <w:spacing w:before="34" w:line="219" w:lineRule="auto"/>
              <w:ind w:left="62"/>
              <w:rPr>
                <w:sz w:val="22"/>
                <w:szCs w:val="22"/>
              </w:rPr>
            </w:pPr>
            <w:r>
              <w:rPr>
                <w:sz w:val="22"/>
                <w:szCs w:val="22"/>
              </w:rPr>
              <w:t>规划总目标：严格控制主要污染物</w:t>
            </w:r>
          </w:p>
          <w:p w14:paraId="5D328290">
            <w:pPr>
              <w:pStyle w:val="6"/>
              <w:spacing w:before="18" w:line="219" w:lineRule="auto"/>
              <w:ind w:left="62"/>
              <w:rPr>
                <w:sz w:val="22"/>
                <w:szCs w:val="22"/>
              </w:rPr>
            </w:pPr>
            <w:r>
              <w:rPr>
                <w:spacing w:val="1"/>
                <w:sz w:val="22"/>
                <w:szCs w:val="22"/>
              </w:rPr>
              <w:t>及有毒有害物质的排放，切实控制</w:t>
            </w:r>
          </w:p>
          <w:p w14:paraId="64966662">
            <w:pPr>
              <w:pStyle w:val="6"/>
              <w:spacing w:before="8" w:line="218" w:lineRule="auto"/>
              <w:ind w:left="172"/>
              <w:rPr>
                <w:sz w:val="22"/>
                <w:szCs w:val="22"/>
              </w:rPr>
            </w:pPr>
            <w:r>
              <w:rPr>
                <w:spacing w:val="-1"/>
                <w:sz w:val="22"/>
                <w:szCs w:val="22"/>
              </w:rPr>
              <w:t>重点工业污染源及城镇生活污染</w:t>
            </w:r>
          </w:p>
          <w:p w14:paraId="58AB6793">
            <w:pPr>
              <w:pStyle w:val="6"/>
              <w:spacing w:line="218" w:lineRule="auto"/>
              <w:ind w:left="62"/>
              <w:rPr>
                <w:sz w:val="22"/>
                <w:szCs w:val="22"/>
              </w:rPr>
            </w:pPr>
            <w:r>
              <w:rPr>
                <w:spacing w:val="1"/>
                <w:sz w:val="22"/>
                <w:szCs w:val="22"/>
              </w:rPr>
              <w:t>源，大力削减农业农村面源污染负</w:t>
            </w:r>
          </w:p>
          <w:p w14:paraId="292CF89A">
            <w:pPr>
              <w:pStyle w:val="6"/>
              <w:spacing w:before="30" w:line="219" w:lineRule="auto"/>
              <w:ind w:left="62"/>
              <w:rPr>
                <w:sz w:val="22"/>
                <w:szCs w:val="22"/>
              </w:rPr>
            </w:pPr>
            <w:r>
              <w:rPr>
                <w:spacing w:val="-1"/>
                <w:sz w:val="22"/>
                <w:szCs w:val="22"/>
              </w:rPr>
              <w:t>荷，加强生态保障体系建设，有效</w:t>
            </w:r>
          </w:p>
          <w:p w14:paraId="5FD2E51F">
            <w:pPr>
              <w:pStyle w:val="6"/>
              <w:spacing w:before="8" w:line="218" w:lineRule="auto"/>
              <w:ind w:left="62"/>
              <w:rPr>
                <w:sz w:val="22"/>
                <w:szCs w:val="22"/>
              </w:rPr>
            </w:pPr>
            <w:r>
              <w:rPr>
                <w:spacing w:val="-1"/>
                <w:sz w:val="22"/>
                <w:szCs w:val="22"/>
              </w:rPr>
              <w:t>控制流域水土流失，提高水源涵养</w:t>
            </w:r>
          </w:p>
          <w:p w14:paraId="79EC530F">
            <w:pPr>
              <w:pStyle w:val="6"/>
              <w:spacing w:before="1" w:line="218" w:lineRule="auto"/>
              <w:jc w:val="right"/>
              <w:rPr>
                <w:sz w:val="22"/>
                <w:szCs w:val="22"/>
              </w:rPr>
            </w:pPr>
            <w:r>
              <w:rPr>
                <w:spacing w:val="-7"/>
                <w:sz w:val="22"/>
                <w:szCs w:val="22"/>
              </w:rPr>
              <w:t>能力，保障城镇及农村饮用水安全，</w:t>
            </w:r>
          </w:p>
          <w:p w14:paraId="0321E0D7">
            <w:pPr>
              <w:pStyle w:val="6"/>
              <w:spacing w:before="30" w:line="210" w:lineRule="auto"/>
              <w:ind w:left="172"/>
              <w:rPr>
                <w:sz w:val="22"/>
                <w:szCs w:val="22"/>
              </w:rPr>
            </w:pPr>
            <w:r>
              <w:rPr>
                <w:spacing w:val="-1"/>
                <w:sz w:val="22"/>
                <w:szCs w:val="22"/>
              </w:rPr>
              <w:t>生态环境得到有效恢复和全面保</w:t>
            </w:r>
          </w:p>
          <w:p w14:paraId="69397533">
            <w:pPr>
              <w:pStyle w:val="6"/>
              <w:spacing w:line="219" w:lineRule="auto"/>
              <w:ind w:left="62"/>
              <w:rPr>
                <w:sz w:val="22"/>
                <w:szCs w:val="22"/>
              </w:rPr>
            </w:pPr>
            <w:r>
              <w:rPr>
                <w:sz w:val="22"/>
                <w:szCs w:val="22"/>
              </w:rPr>
              <w:t>护，确保牛栏江调水水源区和下游</w:t>
            </w:r>
          </w:p>
          <w:p w14:paraId="254E66DC">
            <w:pPr>
              <w:pStyle w:val="6"/>
              <w:spacing w:before="9" w:line="219" w:lineRule="auto"/>
              <w:ind w:left="62"/>
              <w:rPr>
                <w:sz w:val="22"/>
                <w:szCs w:val="22"/>
              </w:rPr>
            </w:pPr>
            <w:r>
              <w:rPr>
                <w:sz w:val="22"/>
                <w:szCs w:val="22"/>
              </w:rPr>
              <w:t>区水质达到并稳定保持《地表水环</w:t>
            </w:r>
          </w:p>
          <w:p w14:paraId="43F1268B">
            <w:pPr>
              <w:pStyle w:val="6"/>
              <w:spacing w:before="19" w:line="219" w:lineRule="auto"/>
              <w:ind w:left="122"/>
              <w:rPr>
                <w:sz w:val="22"/>
                <w:szCs w:val="22"/>
              </w:rPr>
            </w:pPr>
            <w:r>
              <w:rPr>
                <w:spacing w:val="-1"/>
                <w:sz w:val="22"/>
                <w:szCs w:val="22"/>
              </w:rPr>
              <w:t>境质量标准》(GB3838-2002)Ⅲ类</w:t>
            </w:r>
          </w:p>
          <w:p w14:paraId="7B7925D4">
            <w:pPr>
              <w:pStyle w:val="6"/>
              <w:spacing w:before="8" w:line="195" w:lineRule="auto"/>
              <w:ind w:left="172"/>
              <w:rPr>
                <w:sz w:val="22"/>
                <w:szCs w:val="22"/>
              </w:rPr>
            </w:pPr>
            <w:r>
              <w:rPr>
                <w:sz w:val="22"/>
                <w:szCs w:val="22"/>
              </w:rPr>
              <w:t>水质标准，促进区域可持续发展</w:t>
            </w:r>
          </w:p>
        </w:tc>
        <w:tc>
          <w:tcPr>
            <w:tcW w:w="2736" w:type="dxa"/>
            <w:gridSpan w:val="2"/>
            <w:vAlign w:val="top"/>
          </w:tcPr>
          <w:p w14:paraId="29E2B2E8">
            <w:pPr>
              <w:pStyle w:val="6"/>
              <w:spacing w:before="182" w:line="221" w:lineRule="auto"/>
              <w:ind w:left="156" w:firstLine="383"/>
              <w:rPr>
                <w:sz w:val="22"/>
                <w:szCs w:val="22"/>
              </w:rPr>
            </w:pPr>
            <w:r>
              <w:rPr>
                <w:spacing w:val="-2"/>
                <w:sz w:val="22"/>
                <w:szCs w:val="22"/>
              </w:rPr>
              <w:t>项目为光伏发电，项目</w:t>
            </w:r>
            <w:r>
              <w:rPr>
                <w:spacing w:val="5"/>
                <w:sz w:val="22"/>
                <w:szCs w:val="22"/>
              </w:rPr>
              <w:t xml:space="preserve"> </w:t>
            </w:r>
            <w:r>
              <w:rPr>
                <w:spacing w:val="-4"/>
                <w:sz w:val="22"/>
                <w:szCs w:val="22"/>
              </w:rPr>
              <w:t>废水主要为升压站生活污</w:t>
            </w:r>
          </w:p>
          <w:p w14:paraId="3A6E5F58">
            <w:pPr>
              <w:pStyle w:val="6"/>
              <w:spacing w:before="22" w:line="226" w:lineRule="auto"/>
              <w:ind w:left="46"/>
              <w:rPr>
                <w:sz w:val="22"/>
                <w:szCs w:val="22"/>
              </w:rPr>
            </w:pPr>
            <w:r>
              <w:rPr>
                <w:sz w:val="22"/>
                <w:szCs w:val="22"/>
              </w:rPr>
              <w:t>水。生活污水经处理达标后</w:t>
            </w:r>
            <w:r>
              <w:rPr>
                <w:spacing w:val="5"/>
                <w:sz w:val="22"/>
                <w:szCs w:val="22"/>
              </w:rPr>
              <w:t xml:space="preserve"> </w:t>
            </w:r>
            <w:r>
              <w:rPr>
                <w:spacing w:val="-2"/>
                <w:sz w:val="22"/>
                <w:szCs w:val="22"/>
              </w:rPr>
              <w:t>全部回用于升压站绿化；光</w:t>
            </w:r>
            <w:r>
              <w:rPr>
                <w:spacing w:val="4"/>
                <w:sz w:val="22"/>
                <w:szCs w:val="22"/>
              </w:rPr>
              <w:t xml:space="preserve"> </w:t>
            </w:r>
            <w:r>
              <w:rPr>
                <w:spacing w:val="8"/>
                <w:sz w:val="22"/>
                <w:szCs w:val="22"/>
              </w:rPr>
              <w:t>伏电池板清洗废水直接顺</w:t>
            </w:r>
            <w:r>
              <w:rPr>
                <w:spacing w:val="1"/>
                <w:sz w:val="22"/>
                <w:szCs w:val="22"/>
              </w:rPr>
              <w:t xml:space="preserve">  </w:t>
            </w:r>
            <w:r>
              <w:rPr>
                <w:spacing w:val="8"/>
                <w:sz w:val="22"/>
                <w:szCs w:val="22"/>
              </w:rPr>
              <w:t>着流在光伏板下面的经济</w:t>
            </w:r>
            <w:r>
              <w:rPr>
                <w:spacing w:val="1"/>
                <w:sz w:val="22"/>
                <w:szCs w:val="22"/>
              </w:rPr>
              <w:t xml:space="preserve">  </w:t>
            </w:r>
            <w:r>
              <w:rPr>
                <w:spacing w:val="-2"/>
                <w:sz w:val="22"/>
                <w:szCs w:val="22"/>
              </w:rPr>
              <w:t>作物上，作为经济作物灌溉</w:t>
            </w:r>
            <w:r>
              <w:rPr>
                <w:spacing w:val="3"/>
                <w:sz w:val="22"/>
                <w:szCs w:val="22"/>
              </w:rPr>
              <w:t xml:space="preserve"> </w:t>
            </w:r>
            <w:r>
              <w:rPr>
                <w:sz w:val="22"/>
                <w:szCs w:val="22"/>
              </w:rPr>
              <w:t>补充水，不外排，清洗时间</w:t>
            </w:r>
            <w:r>
              <w:rPr>
                <w:spacing w:val="10"/>
                <w:sz w:val="22"/>
                <w:szCs w:val="22"/>
              </w:rPr>
              <w:t xml:space="preserve"> 选择在经济作物可浇灌期</w:t>
            </w:r>
            <w:r>
              <w:rPr>
                <w:spacing w:val="1"/>
                <w:sz w:val="22"/>
                <w:szCs w:val="22"/>
              </w:rPr>
              <w:t xml:space="preserve">  </w:t>
            </w:r>
            <w:r>
              <w:rPr>
                <w:spacing w:val="3"/>
                <w:sz w:val="22"/>
                <w:szCs w:val="22"/>
              </w:rPr>
              <w:t>间进行。项目废水不外排，</w:t>
            </w:r>
            <w:r>
              <w:rPr>
                <w:spacing w:val="2"/>
                <w:sz w:val="22"/>
                <w:szCs w:val="22"/>
              </w:rPr>
              <w:t xml:space="preserve"> </w:t>
            </w:r>
            <w:r>
              <w:rPr>
                <w:spacing w:val="7"/>
                <w:sz w:val="22"/>
                <w:szCs w:val="22"/>
              </w:rPr>
              <w:t>不会污染牛栏江水质。</w:t>
            </w:r>
          </w:p>
        </w:tc>
        <w:tc>
          <w:tcPr>
            <w:tcW w:w="959" w:type="dxa"/>
            <w:vAlign w:val="top"/>
          </w:tcPr>
          <w:p w14:paraId="7CA6139F">
            <w:pPr>
              <w:rPr>
                <w:rFonts w:ascii="Arial"/>
                <w:sz w:val="21"/>
              </w:rPr>
            </w:pPr>
          </w:p>
          <w:p w14:paraId="684A0E9D">
            <w:pPr>
              <w:rPr>
                <w:rFonts w:ascii="Arial"/>
                <w:sz w:val="21"/>
              </w:rPr>
            </w:pPr>
          </w:p>
          <w:p w14:paraId="10696959">
            <w:pPr>
              <w:rPr>
                <w:rFonts w:ascii="Arial"/>
                <w:sz w:val="21"/>
              </w:rPr>
            </w:pPr>
          </w:p>
          <w:p w14:paraId="20CA2C86">
            <w:pPr>
              <w:spacing w:line="241" w:lineRule="auto"/>
              <w:rPr>
                <w:rFonts w:ascii="Arial"/>
                <w:sz w:val="21"/>
              </w:rPr>
            </w:pPr>
          </w:p>
          <w:p w14:paraId="4DB03E57">
            <w:pPr>
              <w:spacing w:line="241" w:lineRule="auto"/>
              <w:rPr>
                <w:rFonts w:ascii="Arial"/>
                <w:sz w:val="21"/>
              </w:rPr>
            </w:pPr>
          </w:p>
          <w:p w14:paraId="79B6CEFD">
            <w:pPr>
              <w:spacing w:line="241" w:lineRule="auto"/>
              <w:rPr>
                <w:rFonts w:ascii="Arial"/>
                <w:sz w:val="21"/>
              </w:rPr>
            </w:pPr>
          </w:p>
          <w:p w14:paraId="2193258D">
            <w:pPr>
              <w:pStyle w:val="6"/>
              <w:spacing w:before="72" w:line="219" w:lineRule="auto"/>
              <w:ind w:left="260"/>
              <w:rPr>
                <w:sz w:val="22"/>
                <w:szCs w:val="22"/>
              </w:rPr>
            </w:pPr>
            <w:r>
              <w:rPr>
                <w:spacing w:val="-3"/>
                <w:sz w:val="22"/>
                <w:szCs w:val="22"/>
              </w:rPr>
              <w:t>符合</w:t>
            </w:r>
          </w:p>
        </w:tc>
        <w:tc>
          <w:tcPr>
            <w:tcW w:w="135" w:type="dxa"/>
            <w:tcBorders>
              <w:top w:val="nil"/>
              <w:bottom w:val="nil"/>
            </w:tcBorders>
            <w:vAlign w:val="top"/>
          </w:tcPr>
          <w:p w14:paraId="569F1776">
            <w:pPr>
              <w:rPr>
                <w:rFonts w:ascii="Arial"/>
                <w:sz w:val="21"/>
              </w:rPr>
            </w:pPr>
          </w:p>
        </w:tc>
      </w:tr>
      <w:tr w14:paraId="5C9F2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6" w:hRule="atLeast"/>
        </w:trPr>
        <w:tc>
          <w:tcPr>
            <w:tcW w:w="1563" w:type="dxa"/>
            <w:vMerge w:val="continue"/>
            <w:tcBorders>
              <w:top w:val="nil"/>
              <w:bottom w:val="nil"/>
            </w:tcBorders>
            <w:vAlign w:val="top"/>
          </w:tcPr>
          <w:p w14:paraId="10B8E942">
            <w:pPr>
              <w:rPr>
                <w:rFonts w:ascii="Arial"/>
                <w:sz w:val="21"/>
              </w:rPr>
            </w:pPr>
          </w:p>
        </w:tc>
        <w:tc>
          <w:tcPr>
            <w:tcW w:w="3446" w:type="dxa"/>
            <w:vAlign w:val="top"/>
          </w:tcPr>
          <w:p w14:paraId="75AA8A66">
            <w:pPr>
              <w:pStyle w:val="6"/>
              <w:spacing w:before="38" w:line="218" w:lineRule="auto"/>
              <w:ind w:left="62"/>
              <w:rPr>
                <w:sz w:val="22"/>
                <w:szCs w:val="22"/>
              </w:rPr>
            </w:pPr>
            <w:r>
              <w:rPr>
                <w:spacing w:val="-1"/>
                <w:sz w:val="22"/>
                <w:szCs w:val="22"/>
              </w:rPr>
              <w:t>在重点污染控制区内，通过适度控</w:t>
            </w:r>
          </w:p>
          <w:p w14:paraId="64783020">
            <w:pPr>
              <w:pStyle w:val="6"/>
              <w:spacing w:line="219" w:lineRule="auto"/>
              <w:ind w:left="62"/>
              <w:rPr>
                <w:sz w:val="22"/>
                <w:szCs w:val="22"/>
              </w:rPr>
            </w:pPr>
            <w:r>
              <w:rPr>
                <w:spacing w:val="-1"/>
                <w:sz w:val="22"/>
                <w:szCs w:val="22"/>
              </w:rPr>
              <w:t>制养殖规模、建设养殖小区或规模</w:t>
            </w:r>
          </w:p>
          <w:p w14:paraId="0CDF47D1">
            <w:pPr>
              <w:pStyle w:val="6"/>
              <w:spacing w:before="29" w:line="219" w:lineRule="auto"/>
              <w:ind w:left="62"/>
              <w:rPr>
                <w:sz w:val="22"/>
                <w:szCs w:val="22"/>
              </w:rPr>
            </w:pPr>
            <w:r>
              <w:rPr>
                <w:spacing w:val="-1"/>
                <w:sz w:val="22"/>
                <w:szCs w:val="22"/>
              </w:rPr>
              <w:t>化养殖场、畜禽粪便处理等限制性</w:t>
            </w:r>
          </w:p>
          <w:p w14:paraId="2549CA51">
            <w:pPr>
              <w:pStyle w:val="6"/>
              <w:spacing w:before="8" w:line="218" w:lineRule="auto"/>
              <w:jc w:val="right"/>
              <w:rPr>
                <w:sz w:val="22"/>
                <w:szCs w:val="22"/>
              </w:rPr>
            </w:pPr>
            <w:r>
              <w:rPr>
                <w:spacing w:val="-14"/>
                <w:sz w:val="22"/>
                <w:szCs w:val="22"/>
              </w:rPr>
              <w:t>措施，实施畜禽养殖污染重点控制；</w:t>
            </w:r>
          </w:p>
          <w:p w14:paraId="2002D534">
            <w:pPr>
              <w:pStyle w:val="6"/>
              <w:spacing w:line="219" w:lineRule="auto"/>
              <w:ind w:left="62"/>
              <w:rPr>
                <w:sz w:val="22"/>
                <w:szCs w:val="22"/>
              </w:rPr>
            </w:pPr>
            <w:r>
              <w:rPr>
                <w:spacing w:val="-1"/>
                <w:sz w:val="22"/>
                <w:szCs w:val="22"/>
              </w:rPr>
              <w:t>在水源涵养区，通过发展畜牧业提</w:t>
            </w:r>
          </w:p>
          <w:p w14:paraId="3F599E55">
            <w:pPr>
              <w:pStyle w:val="6"/>
              <w:spacing w:before="29" w:line="218" w:lineRule="auto"/>
              <w:ind w:left="62"/>
              <w:rPr>
                <w:sz w:val="22"/>
                <w:szCs w:val="22"/>
              </w:rPr>
            </w:pPr>
            <w:r>
              <w:rPr>
                <w:sz w:val="22"/>
                <w:szCs w:val="22"/>
              </w:rPr>
              <w:t>高畜牧业在农业产业结构中的结构</w:t>
            </w:r>
          </w:p>
          <w:p w14:paraId="26F70441">
            <w:pPr>
              <w:pStyle w:val="6"/>
              <w:spacing w:before="1" w:line="199" w:lineRule="auto"/>
              <w:ind w:left="62"/>
              <w:rPr>
                <w:sz w:val="22"/>
                <w:szCs w:val="22"/>
              </w:rPr>
            </w:pPr>
            <w:r>
              <w:rPr>
                <w:sz w:val="22"/>
                <w:szCs w:val="22"/>
              </w:rPr>
              <w:t>比，增加农业总产值，增加农民收</w:t>
            </w:r>
          </w:p>
          <w:p w14:paraId="698658FE">
            <w:pPr>
              <w:pStyle w:val="6"/>
              <w:spacing w:line="217" w:lineRule="auto"/>
              <w:ind w:left="1552"/>
              <w:rPr>
                <w:sz w:val="22"/>
                <w:szCs w:val="22"/>
              </w:rPr>
            </w:pPr>
            <w:r>
              <w:rPr>
                <w:sz w:val="22"/>
                <w:szCs w:val="22"/>
              </w:rPr>
              <w:t>入。</w:t>
            </w:r>
          </w:p>
        </w:tc>
        <w:tc>
          <w:tcPr>
            <w:tcW w:w="2736" w:type="dxa"/>
            <w:gridSpan w:val="2"/>
            <w:vAlign w:val="top"/>
          </w:tcPr>
          <w:p w14:paraId="7DF3D967">
            <w:pPr>
              <w:spacing w:line="260" w:lineRule="auto"/>
              <w:rPr>
                <w:rFonts w:ascii="Arial"/>
                <w:sz w:val="21"/>
              </w:rPr>
            </w:pPr>
          </w:p>
          <w:p w14:paraId="433F55A3">
            <w:pPr>
              <w:spacing w:line="261" w:lineRule="auto"/>
              <w:rPr>
                <w:rFonts w:ascii="Arial"/>
                <w:sz w:val="21"/>
              </w:rPr>
            </w:pPr>
          </w:p>
          <w:p w14:paraId="45F871C7">
            <w:pPr>
              <w:spacing w:line="261" w:lineRule="auto"/>
              <w:rPr>
                <w:rFonts w:ascii="Arial"/>
                <w:sz w:val="21"/>
              </w:rPr>
            </w:pPr>
          </w:p>
          <w:p w14:paraId="485B0921">
            <w:pPr>
              <w:pStyle w:val="6"/>
              <w:spacing w:before="71" w:line="230" w:lineRule="auto"/>
              <w:ind w:left="1146" w:right="30" w:hanging="1100"/>
              <w:rPr>
                <w:sz w:val="22"/>
                <w:szCs w:val="22"/>
              </w:rPr>
            </w:pPr>
            <w:r>
              <w:rPr>
                <w:sz w:val="22"/>
                <w:szCs w:val="22"/>
              </w:rPr>
              <w:t>项目为光伏发电，非养殖类</w:t>
            </w:r>
            <w:r>
              <w:rPr>
                <w:spacing w:val="8"/>
                <w:sz w:val="22"/>
                <w:szCs w:val="22"/>
              </w:rPr>
              <w:t xml:space="preserve"> </w:t>
            </w:r>
            <w:r>
              <w:rPr>
                <w:spacing w:val="-6"/>
                <w:sz w:val="22"/>
                <w:szCs w:val="22"/>
              </w:rPr>
              <w:t>项 目</w:t>
            </w:r>
          </w:p>
        </w:tc>
        <w:tc>
          <w:tcPr>
            <w:tcW w:w="959" w:type="dxa"/>
            <w:vAlign w:val="top"/>
          </w:tcPr>
          <w:p w14:paraId="7FEA1653">
            <w:pPr>
              <w:spacing w:line="300" w:lineRule="auto"/>
              <w:rPr>
                <w:rFonts w:ascii="Arial"/>
                <w:sz w:val="21"/>
              </w:rPr>
            </w:pPr>
          </w:p>
          <w:p w14:paraId="24B297AF">
            <w:pPr>
              <w:spacing w:line="300" w:lineRule="auto"/>
              <w:rPr>
                <w:rFonts w:ascii="Arial"/>
                <w:sz w:val="21"/>
              </w:rPr>
            </w:pPr>
          </w:p>
          <w:p w14:paraId="5FF91EFE">
            <w:pPr>
              <w:spacing w:line="301" w:lineRule="auto"/>
              <w:rPr>
                <w:rFonts w:ascii="Arial"/>
                <w:sz w:val="21"/>
              </w:rPr>
            </w:pPr>
          </w:p>
          <w:p w14:paraId="05A79BD4">
            <w:pPr>
              <w:pStyle w:val="6"/>
              <w:spacing w:before="72" w:line="219" w:lineRule="auto"/>
              <w:ind w:left="260"/>
              <w:rPr>
                <w:sz w:val="22"/>
                <w:szCs w:val="22"/>
              </w:rPr>
            </w:pPr>
            <w:r>
              <w:rPr>
                <w:spacing w:val="-3"/>
                <w:sz w:val="22"/>
                <w:szCs w:val="22"/>
              </w:rPr>
              <w:t>符合</w:t>
            </w:r>
          </w:p>
        </w:tc>
        <w:tc>
          <w:tcPr>
            <w:tcW w:w="135" w:type="dxa"/>
            <w:tcBorders>
              <w:top w:val="nil"/>
              <w:bottom w:val="nil"/>
            </w:tcBorders>
            <w:vAlign w:val="top"/>
          </w:tcPr>
          <w:p w14:paraId="763015C5">
            <w:pPr>
              <w:rPr>
                <w:rFonts w:ascii="Arial"/>
                <w:sz w:val="21"/>
              </w:rPr>
            </w:pPr>
          </w:p>
        </w:tc>
      </w:tr>
      <w:tr w14:paraId="418E4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4" w:hRule="atLeast"/>
        </w:trPr>
        <w:tc>
          <w:tcPr>
            <w:tcW w:w="1563" w:type="dxa"/>
            <w:vMerge w:val="continue"/>
            <w:tcBorders>
              <w:top w:val="nil"/>
              <w:bottom w:val="nil"/>
            </w:tcBorders>
            <w:vAlign w:val="top"/>
          </w:tcPr>
          <w:p w14:paraId="0A83E1D6">
            <w:pPr>
              <w:rPr>
                <w:rFonts w:ascii="Arial"/>
                <w:sz w:val="21"/>
              </w:rPr>
            </w:pPr>
          </w:p>
        </w:tc>
        <w:tc>
          <w:tcPr>
            <w:tcW w:w="7141" w:type="dxa"/>
            <w:gridSpan w:val="4"/>
            <w:vAlign w:val="top"/>
          </w:tcPr>
          <w:p w14:paraId="11A2D5A0">
            <w:pPr>
              <w:pStyle w:val="6"/>
              <w:spacing w:before="42" w:line="388" w:lineRule="auto"/>
              <w:ind w:left="12" w:right="762" w:firstLine="399"/>
              <w:rPr>
                <w:sz w:val="22"/>
                <w:szCs w:val="22"/>
              </w:rPr>
            </w:pPr>
            <w:r>
              <w:rPr>
                <w:sz w:val="22"/>
                <w:szCs w:val="22"/>
              </w:rPr>
              <w:t>根据以上分析，项目与《牛栏江流域(云南省部分)水环境保护</w:t>
            </w:r>
            <w:r>
              <w:rPr>
                <w:spacing w:val="15"/>
                <w:sz w:val="22"/>
                <w:szCs w:val="22"/>
              </w:rPr>
              <w:t xml:space="preserve"> </w:t>
            </w:r>
            <w:r>
              <w:rPr>
                <w:spacing w:val="26"/>
                <w:sz w:val="22"/>
                <w:szCs w:val="22"/>
              </w:rPr>
              <w:t>规划(2009-</w:t>
            </w:r>
            <w:r>
              <w:rPr>
                <w:spacing w:val="-60"/>
                <w:sz w:val="22"/>
                <w:szCs w:val="22"/>
              </w:rPr>
              <w:t xml:space="preserve"> </w:t>
            </w:r>
            <w:r>
              <w:rPr>
                <w:spacing w:val="26"/>
                <w:sz w:val="22"/>
                <w:szCs w:val="22"/>
              </w:rPr>
              <w:t>2030年)》相符。</w:t>
            </w:r>
          </w:p>
          <w:p w14:paraId="4F262525">
            <w:pPr>
              <w:pStyle w:val="6"/>
              <w:spacing w:before="22" w:line="219" w:lineRule="auto"/>
              <w:ind w:left="495"/>
              <w:rPr>
                <w:sz w:val="22"/>
                <w:szCs w:val="22"/>
              </w:rPr>
            </w:pPr>
            <w:r>
              <w:rPr>
                <w:b/>
                <w:bCs/>
                <w:spacing w:val="-3"/>
                <w:sz w:val="22"/>
                <w:szCs w:val="22"/>
              </w:rPr>
              <w:t>11、与《中华人民共和国长江保护法》的符合性</w:t>
            </w:r>
          </w:p>
          <w:p w14:paraId="4412DCE7">
            <w:pPr>
              <w:pStyle w:val="6"/>
              <w:spacing w:before="192" w:line="219" w:lineRule="auto"/>
              <w:ind w:left="492"/>
              <w:rPr>
                <w:sz w:val="22"/>
                <w:szCs w:val="22"/>
              </w:rPr>
            </w:pPr>
            <w:r>
              <w:rPr>
                <w:sz w:val="22"/>
                <w:szCs w:val="22"/>
              </w:rPr>
              <w:t>2020年12月26日，中华人民共和国第十三届全国人民代表大</w:t>
            </w:r>
          </w:p>
          <w:p w14:paraId="73F52C9D">
            <w:pPr>
              <w:pStyle w:val="6"/>
              <w:spacing w:before="194" w:line="396" w:lineRule="auto"/>
              <w:ind w:left="12" w:right="591"/>
              <w:rPr>
                <w:sz w:val="22"/>
                <w:szCs w:val="22"/>
              </w:rPr>
            </w:pPr>
            <w:r>
              <w:rPr>
                <w:spacing w:val="1"/>
                <w:sz w:val="22"/>
                <w:szCs w:val="22"/>
              </w:rPr>
              <w:t>常务委员会第二十四次会议通过《中华人民共和国长江保护法》,自</w:t>
            </w:r>
            <w:r>
              <w:rPr>
                <w:spacing w:val="6"/>
                <w:sz w:val="22"/>
                <w:szCs w:val="22"/>
              </w:rPr>
              <w:t xml:space="preserve"> </w:t>
            </w:r>
            <w:r>
              <w:rPr>
                <w:sz w:val="22"/>
                <w:szCs w:val="22"/>
              </w:rPr>
              <w:t>2021年3月1日起施行。项目与《中华</w:t>
            </w:r>
            <w:r>
              <w:rPr>
                <w:spacing w:val="-1"/>
                <w:sz w:val="22"/>
                <w:szCs w:val="22"/>
              </w:rPr>
              <w:t>人民共和国长江保护法》符</w:t>
            </w:r>
          </w:p>
          <w:p w14:paraId="2BA79E47">
            <w:pPr>
              <w:pStyle w:val="6"/>
              <w:spacing w:line="219" w:lineRule="auto"/>
              <w:ind w:left="12"/>
              <w:rPr>
                <w:sz w:val="22"/>
                <w:szCs w:val="22"/>
              </w:rPr>
            </w:pPr>
            <w:r>
              <w:rPr>
                <w:spacing w:val="-1"/>
                <w:sz w:val="22"/>
                <w:szCs w:val="22"/>
              </w:rPr>
              <w:t>性，见下表所示。</w:t>
            </w:r>
          </w:p>
          <w:p w14:paraId="7FE7B6D3">
            <w:pPr>
              <w:pStyle w:val="6"/>
              <w:spacing w:before="196" w:line="219" w:lineRule="auto"/>
              <w:ind w:left="975"/>
              <w:rPr>
                <w:sz w:val="22"/>
                <w:szCs w:val="22"/>
              </w:rPr>
            </w:pPr>
            <w:r>
              <w:rPr>
                <w:b/>
                <w:bCs/>
                <w:spacing w:val="-3"/>
                <w:sz w:val="22"/>
                <w:szCs w:val="22"/>
              </w:rPr>
              <w:t>表1-10与“中华人民共和国长江保护法”的符合性</w:t>
            </w:r>
          </w:p>
        </w:tc>
        <w:tc>
          <w:tcPr>
            <w:tcW w:w="135" w:type="dxa"/>
            <w:tcBorders>
              <w:top w:val="nil"/>
              <w:bottom w:val="nil"/>
            </w:tcBorders>
            <w:textDirection w:val="tbRlV"/>
            <w:vAlign w:val="top"/>
          </w:tcPr>
          <w:p w14:paraId="465E80B0">
            <w:pPr>
              <w:pStyle w:val="6"/>
              <w:spacing w:line="190" w:lineRule="auto"/>
              <w:ind w:left="1428"/>
              <w:rPr>
                <w:sz w:val="12"/>
                <w:szCs w:val="12"/>
              </w:rPr>
            </w:pPr>
            <w:r>
              <w:rPr>
                <w:spacing w:val="-1"/>
                <w:sz w:val="12"/>
                <w:szCs w:val="12"/>
              </w:rPr>
              <w:t>会</w:t>
            </w:r>
            <w:r>
              <w:rPr>
                <w:spacing w:val="2"/>
                <w:sz w:val="12"/>
                <w:szCs w:val="12"/>
              </w:rPr>
              <w:t xml:space="preserve">             </w:t>
            </w:r>
            <w:r>
              <w:rPr>
                <w:spacing w:val="-1"/>
                <w:sz w:val="12"/>
                <w:szCs w:val="12"/>
              </w:rPr>
              <w:t>合</w:t>
            </w:r>
          </w:p>
        </w:tc>
      </w:tr>
      <w:tr w14:paraId="73167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563" w:type="dxa"/>
            <w:vMerge w:val="continue"/>
            <w:tcBorders>
              <w:top w:val="nil"/>
            </w:tcBorders>
            <w:vAlign w:val="top"/>
          </w:tcPr>
          <w:p w14:paraId="7BFF6518">
            <w:pPr>
              <w:rPr>
                <w:rFonts w:ascii="Arial"/>
                <w:sz w:val="21"/>
              </w:rPr>
            </w:pPr>
          </w:p>
        </w:tc>
        <w:tc>
          <w:tcPr>
            <w:tcW w:w="3725" w:type="dxa"/>
            <w:gridSpan w:val="2"/>
            <w:vAlign w:val="top"/>
          </w:tcPr>
          <w:p w14:paraId="1A02A967">
            <w:pPr>
              <w:pStyle w:val="6"/>
              <w:spacing w:before="38" w:line="211" w:lineRule="auto"/>
              <w:ind w:left="1776" w:right="61" w:hanging="1776"/>
              <w:rPr>
                <w:sz w:val="22"/>
                <w:szCs w:val="22"/>
              </w:rPr>
            </w:pPr>
            <w:r>
              <w:rPr>
                <w:spacing w:val="-6"/>
                <w:sz w:val="22"/>
                <w:szCs w:val="22"/>
              </w:rPr>
              <w:t>《中华人民共和国长江保护法》相关规</w:t>
            </w:r>
            <w:r>
              <w:rPr>
                <w:spacing w:val="14"/>
                <w:sz w:val="22"/>
                <w:szCs w:val="22"/>
              </w:rPr>
              <w:t xml:space="preserve"> </w:t>
            </w:r>
            <w:r>
              <w:rPr>
                <w:sz w:val="22"/>
                <w:szCs w:val="22"/>
              </w:rPr>
              <w:t>定</w:t>
            </w:r>
          </w:p>
        </w:tc>
        <w:tc>
          <w:tcPr>
            <w:tcW w:w="2457" w:type="dxa"/>
            <w:vAlign w:val="top"/>
          </w:tcPr>
          <w:p w14:paraId="204C236F">
            <w:pPr>
              <w:pStyle w:val="6"/>
              <w:spacing w:before="179" w:line="220" w:lineRule="auto"/>
              <w:ind w:left="817"/>
              <w:rPr>
                <w:sz w:val="22"/>
                <w:szCs w:val="22"/>
              </w:rPr>
            </w:pPr>
            <w:r>
              <w:rPr>
                <w:spacing w:val="2"/>
                <w:sz w:val="22"/>
                <w:szCs w:val="22"/>
              </w:rPr>
              <w:t>项目情况</w:t>
            </w:r>
          </w:p>
        </w:tc>
        <w:tc>
          <w:tcPr>
            <w:tcW w:w="959" w:type="dxa"/>
            <w:vAlign w:val="top"/>
          </w:tcPr>
          <w:p w14:paraId="5F38FB4E">
            <w:pPr>
              <w:pStyle w:val="6"/>
              <w:spacing w:before="178" w:line="219" w:lineRule="auto"/>
              <w:ind w:left="150"/>
              <w:rPr>
                <w:sz w:val="22"/>
                <w:szCs w:val="22"/>
              </w:rPr>
            </w:pPr>
            <w:r>
              <w:rPr>
                <w:spacing w:val="-2"/>
                <w:sz w:val="22"/>
                <w:szCs w:val="22"/>
              </w:rPr>
              <w:t>相符性</w:t>
            </w:r>
          </w:p>
        </w:tc>
        <w:tc>
          <w:tcPr>
            <w:tcW w:w="135" w:type="dxa"/>
            <w:tcBorders>
              <w:top w:val="nil"/>
            </w:tcBorders>
            <w:vAlign w:val="top"/>
          </w:tcPr>
          <w:p w14:paraId="1913A698">
            <w:pPr>
              <w:rPr>
                <w:rFonts w:ascii="Arial"/>
                <w:sz w:val="21"/>
              </w:rPr>
            </w:pPr>
          </w:p>
        </w:tc>
      </w:tr>
    </w:tbl>
    <w:p w14:paraId="0509D654">
      <w:pPr>
        <w:pStyle w:val="2"/>
      </w:pPr>
    </w:p>
    <w:p w14:paraId="45AA8576">
      <w:pPr>
        <w:sectPr>
          <w:footerReference r:id="rId24" w:type="default"/>
          <w:pgSz w:w="11910" w:h="16840"/>
          <w:pgMar w:top="1297" w:right="1565" w:bottom="1234" w:left="1494" w:header="0" w:footer="1099" w:gutter="0"/>
          <w:cols w:space="720" w:num="1"/>
        </w:sectPr>
      </w:pPr>
    </w:p>
    <w:p w14:paraId="07BE57DC">
      <w:pPr>
        <w:spacing w:line="93" w:lineRule="exact"/>
      </w:pPr>
    </w:p>
    <w:tbl>
      <w:tblPr>
        <w:tblStyle w:val="5"/>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609"/>
        <w:gridCol w:w="3077"/>
        <w:gridCol w:w="2507"/>
        <w:gridCol w:w="879"/>
        <w:gridCol w:w="185"/>
      </w:tblGrid>
      <w:tr w14:paraId="0E35E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3" w:hRule="atLeast"/>
        </w:trPr>
        <w:tc>
          <w:tcPr>
            <w:tcW w:w="1573" w:type="dxa"/>
            <w:vMerge w:val="restart"/>
            <w:tcBorders>
              <w:bottom w:val="nil"/>
            </w:tcBorders>
            <w:vAlign w:val="top"/>
          </w:tcPr>
          <w:p w14:paraId="0A04ABB3">
            <w:pPr>
              <w:rPr>
                <w:rFonts w:ascii="Arial"/>
                <w:sz w:val="21"/>
              </w:rPr>
            </w:pPr>
          </w:p>
        </w:tc>
        <w:tc>
          <w:tcPr>
            <w:tcW w:w="609" w:type="dxa"/>
            <w:textDirection w:val="tbRlV"/>
            <w:vAlign w:val="top"/>
          </w:tcPr>
          <w:p w14:paraId="5AA68F67">
            <w:pPr>
              <w:pStyle w:val="6"/>
              <w:spacing w:before="206" w:line="200" w:lineRule="auto"/>
              <w:ind w:left="514"/>
              <w:rPr>
                <w:sz w:val="21"/>
                <w:szCs w:val="21"/>
              </w:rPr>
            </w:pPr>
            <w:r>
              <w:rPr>
                <w:sz w:val="21"/>
                <w:szCs w:val="21"/>
              </w:rPr>
              <w:t>第</w:t>
            </w:r>
            <w:r>
              <w:rPr>
                <w:spacing w:val="-34"/>
                <w:sz w:val="21"/>
                <w:szCs w:val="21"/>
              </w:rPr>
              <w:t xml:space="preserve"> </w:t>
            </w:r>
            <w:r>
              <w:rPr>
                <w:sz w:val="21"/>
                <w:szCs w:val="21"/>
              </w:rPr>
              <w:t>二</w:t>
            </w:r>
            <w:r>
              <w:rPr>
                <w:spacing w:val="-34"/>
                <w:sz w:val="21"/>
                <w:szCs w:val="21"/>
              </w:rPr>
              <w:t xml:space="preserve"> </w:t>
            </w:r>
            <w:r>
              <w:rPr>
                <w:sz w:val="21"/>
                <w:szCs w:val="21"/>
              </w:rPr>
              <w:t>十</w:t>
            </w:r>
            <w:r>
              <w:rPr>
                <w:spacing w:val="-34"/>
                <w:sz w:val="21"/>
                <w:szCs w:val="21"/>
              </w:rPr>
              <w:t xml:space="preserve"> </w:t>
            </w:r>
            <w:r>
              <w:rPr>
                <w:sz w:val="21"/>
                <w:szCs w:val="21"/>
              </w:rPr>
              <w:t>六</w:t>
            </w:r>
            <w:r>
              <w:rPr>
                <w:spacing w:val="-34"/>
                <w:sz w:val="21"/>
                <w:szCs w:val="21"/>
              </w:rPr>
              <w:t xml:space="preserve"> </w:t>
            </w:r>
            <w:r>
              <w:rPr>
                <w:sz w:val="21"/>
                <w:szCs w:val="21"/>
              </w:rPr>
              <w:t>条</w:t>
            </w:r>
          </w:p>
        </w:tc>
        <w:tc>
          <w:tcPr>
            <w:tcW w:w="3077" w:type="dxa"/>
            <w:vAlign w:val="top"/>
          </w:tcPr>
          <w:p w14:paraId="5139AC70">
            <w:pPr>
              <w:pStyle w:val="6"/>
              <w:spacing w:before="261" w:line="244" w:lineRule="auto"/>
              <w:ind w:left="63" w:right="18" w:firstLine="100"/>
              <w:rPr>
                <w:sz w:val="21"/>
                <w:szCs w:val="21"/>
              </w:rPr>
            </w:pPr>
            <w:r>
              <w:rPr>
                <w:spacing w:val="-1"/>
                <w:sz w:val="21"/>
                <w:szCs w:val="21"/>
              </w:rPr>
              <w:t>禁止在长江干支流岸线一公里</w:t>
            </w:r>
            <w:r>
              <w:rPr>
                <w:spacing w:val="1"/>
                <w:sz w:val="21"/>
                <w:szCs w:val="21"/>
              </w:rPr>
              <w:t xml:space="preserve">  </w:t>
            </w:r>
            <w:r>
              <w:rPr>
                <w:sz w:val="21"/>
                <w:szCs w:val="21"/>
              </w:rPr>
              <w:t>范围内新建、扩建化工园区和化</w:t>
            </w:r>
            <w:r>
              <w:rPr>
                <w:spacing w:val="8"/>
                <w:sz w:val="21"/>
                <w:szCs w:val="21"/>
              </w:rPr>
              <w:t xml:space="preserve"> </w:t>
            </w:r>
            <w:r>
              <w:rPr>
                <w:spacing w:val="-1"/>
                <w:sz w:val="21"/>
                <w:szCs w:val="21"/>
              </w:rPr>
              <w:t>工项目。禁止在长江干流岸线三</w:t>
            </w:r>
            <w:r>
              <w:rPr>
                <w:spacing w:val="2"/>
                <w:sz w:val="21"/>
                <w:szCs w:val="21"/>
              </w:rPr>
              <w:t xml:space="preserve"> </w:t>
            </w:r>
            <w:r>
              <w:rPr>
                <w:spacing w:val="8"/>
                <w:sz w:val="21"/>
                <w:szCs w:val="21"/>
              </w:rPr>
              <w:t>公里范围内和重要支流岸线一</w:t>
            </w:r>
            <w:r>
              <w:rPr>
                <w:spacing w:val="3"/>
                <w:sz w:val="21"/>
                <w:szCs w:val="21"/>
              </w:rPr>
              <w:t xml:space="preserve">  </w:t>
            </w:r>
            <w:r>
              <w:rPr>
                <w:sz w:val="21"/>
                <w:szCs w:val="21"/>
              </w:rPr>
              <w:t>公里范围内新建、改建、扩建尾</w:t>
            </w:r>
            <w:r>
              <w:rPr>
                <w:spacing w:val="7"/>
                <w:sz w:val="21"/>
                <w:szCs w:val="21"/>
              </w:rPr>
              <w:t xml:space="preserve"> </w:t>
            </w:r>
            <w:r>
              <w:rPr>
                <w:spacing w:val="-1"/>
                <w:sz w:val="21"/>
                <w:szCs w:val="21"/>
              </w:rPr>
              <w:t>矿库；但是以提升安全、生态环</w:t>
            </w:r>
            <w:r>
              <w:rPr>
                <w:spacing w:val="5"/>
                <w:sz w:val="21"/>
                <w:szCs w:val="21"/>
              </w:rPr>
              <w:t xml:space="preserve"> </w:t>
            </w:r>
            <w:r>
              <w:rPr>
                <w:spacing w:val="3"/>
                <w:sz w:val="21"/>
                <w:szCs w:val="21"/>
              </w:rPr>
              <w:t>境保护水平为目的的改建除外。</w:t>
            </w:r>
          </w:p>
        </w:tc>
        <w:tc>
          <w:tcPr>
            <w:tcW w:w="2507" w:type="dxa"/>
            <w:vAlign w:val="top"/>
          </w:tcPr>
          <w:p w14:paraId="2FDD1531">
            <w:pPr>
              <w:spacing w:line="292" w:lineRule="auto"/>
              <w:rPr>
                <w:rFonts w:ascii="Arial"/>
                <w:sz w:val="21"/>
              </w:rPr>
            </w:pPr>
          </w:p>
          <w:p w14:paraId="79DF1F87">
            <w:pPr>
              <w:spacing w:line="293" w:lineRule="auto"/>
              <w:rPr>
                <w:rFonts w:ascii="Arial"/>
                <w:sz w:val="21"/>
              </w:rPr>
            </w:pPr>
          </w:p>
          <w:p w14:paraId="4FA16FCC">
            <w:pPr>
              <w:spacing w:line="293" w:lineRule="auto"/>
              <w:rPr>
                <w:rFonts w:ascii="Arial"/>
                <w:sz w:val="21"/>
              </w:rPr>
            </w:pPr>
          </w:p>
          <w:p w14:paraId="43AD0900">
            <w:pPr>
              <w:pStyle w:val="6"/>
              <w:spacing w:before="68" w:line="249" w:lineRule="auto"/>
              <w:ind w:left="145" w:right="45" w:hanging="49"/>
              <w:rPr>
                <w:sz w:val="21"/>
                <w:szCs w:val="21"/>
              </w:rPr>
            </w:pPr>
            <w:r>
              <w:rPr>
                <w:spacing w:val="1"/>
                <w:sz w:val="21"/>
                <w:szCs w:val="21"/>
              </w:rPr>
              <w:t>项目为光伏发电项目，不</w:t>
            </w:r>
            <w:r>
              <w:rPr>
                <w:sz w:val="21"/>
                <w:szCs w:val="21"/>
              </w:rPr>
              <w:t xml:space="preserve"> </w:t>
            </w:r>
            <w:r>
              <w:rPr>
                <w:spacing w:val="-1"/>
                <w:sz w:val="21"/>
                <w:szCs w:val="21"/>
              </w:rPr>
              <w:t>属于化工、尾矿库项目。</w:t>
            </w:r>
          </w:p>
        </w:tc>
        <w:tc>
          <w:tcPr>
            <w:tcW w:w="879" w:type="dxa"/>
            <w:vAlign w:val="top"/>
          </w:tcPr>
          <w:p w14:paraId="272C5A5E">
            <w:pPr>
              <w:spacing w:line="252" w:lineRule="auto"/>
              <w:rPr>
                <w:rFonts w:ascii="Arial"/>
                <w:sz w:val="21"/>
              </w:rPr>
            </w:pPr>
          </w:p>
          <w:p w14:paraId="7138E90C">
            <w:pPr>
              <w:spacing w:line="252" w:lineRule="auto"/>
              <w:rPr>
                <w:rFonts w:ascii="Arial"/>
                <w:sz w:val="21"/>
              </w:rPr>
            </w:pPr>
          </w:p>
          <w:p w14:paraId="419CE11E">
            <w:pPr>
              <w:spacing w:line="252" w:lineRule="auto"/>
              <w:rPr>
                <w:rFonts w:ascii="Arial"/>
                <w:sz w:val="21"/>
              </w:rPr>
            </w:pPr>
          </w:p>
          <w:p w14:paraId="3E633647">
            <w:pPr>
              <w:spacing w:line="253" w:lineRule="auto"/>
              <w:rPr>
                <w:rFonts w:ascii="Arial"/>
                <w:sz w:val="21"/>
              </w:rPr>
            </w:pPr>
          </w:p>
          <w:p w14:paraId="368CB56E">
            <w:pPr>
              <w:pStyle w:val="6"/>
              <w:spacing w:before="68" w:line="219" w:lineRule="auto"/>
              <w:ind w:left="229"/>
              <w:rPr>
                <w:sz w:val="21"/>
                <w:szCs w:val="21"/>
              </w:rPr>
            </w:pPr>
            <w:r>
              <w:rPr>
                <w:spacing w:val="-3"/>
                <w:sz w:val="21"/>
                <w:szCs w:val="21"/>
              </w:rPr>
              <w:t>符合</w:t>
            </w:r>
          </w:p>
        </w:tc>
        <w:tc>
          <w:tcPr>
            <w:tcW w:w="185" w:type="dxa"/>
            <w:vMerge w:val="restart"/>
            <w:tcBorders>
              <w:bottom w:val="nil"/>
            </w:tcBorders>
            <w:vAlign w:val="top"/>
          </w:tcPr>
          <w:p w14:paraId="1D101642">
            <w:pPr>
              <w:rPr>
                <w:rFonts w:ascii="Arial"/>
                <w:sz w:val="21"/>
              </w:rPr>
            </w:pPr>
          </w:p>
        </w:tc>
      </w:tr>
      <w:tr w14:paraId="42AD3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573" w:type="dxa"/>
            <w:vMerge w:val="continue"/>
            <w:tcBorders>
              <w:top w:val="nil"/>
              <w:bottom w:val="nil"/>
            </w:tcBorders>
            <w:vAlign w:val="top"/>
          </w:tcPr>
          <w:p w14:paraId="299E4AAD">
            <w:pPr>
              <w:rPr>
                <w:rFonts w:ascii="Arial"/>
                <w:sz w:val="21"/>
              </w:rPr>
            </w:pPr>
          </w:p>
        </w:tc>
        <w:tc>
          <w:tcPr>
            <w:tcW w:w="609" w:type="dxa"/>
            <w:textDirection w:val="tbRlV"/>
            <w:vAlign w:val="top"/>
          </w:tcPr>
          <w:p w14:paraId="6E47DC8E">
            <w:pPr>
              <w:pStyle w:val="6"/>
              <w:spacing w:before="206" w:line="200" w:lineRule="auto"/>
              <w:rPr>
                <w:sz w:val="21"/>
                <w:szCs w:val="21"/>
              </w:rPr>
            </w:pPr>
            <w:r>
              <w:rPr>
                <w:sz w:val="21"/>
                <w:szCs w:val="21"/>
              </w:rPr>
              <w:t>第</w:t>
            </w:r>
            <w:r>
              <w:rPr>
                <w:spacing w:val="-29"/>
                <w:sz w:val="21"/>
                <w:szCs w:val="21"/>
              </w:rPr>
              <w:t xml:space="preserve"> </w:t>
            </w:r>
            <w:r>
              <w:rPr>
                <w:sz w:val="21"/>
                <w:szCs w:val="21"/>
              </w:rPr>
              <w:t>二</w:t>
            </w:r>
            <w:r>
              <w:rPr>
                <w:spacing w:val="-29"/>
                <w:sz w:val="21"/>
                <w:szCs w:val="21"/>
              </w:rPr>
              <w:t xml:space="preserve"> </w:t>
            </w:r>
            <w:r>
              <w:rPr>
                <w:sz w:val="21"/>
                <w:szCs w:val="21"/>
              </w:rPr>
              <w:t>十</w:t>
            </w:r>
            <w:r>
              <w:rPr>
                <w:spacing w:val="-29"/>
                <w:sz w:val="21"/>
                <w:szCs w:val="21"/>
              </w:rPr>
              <w:t xml:space="preserve"> </w:t>
            </w:r>
            <w:r>
              <w:rPr>
                <w:sz w:val="21"/>
                <w:szCs w:val="21"/>
              </w:rPr>
              <w:t>八</w:t>
            </w:r>
            <w:r>
              <w:rPr>
                <w:spacing w:val="-29"/>
                <w:sz w:val="21"/>
                <w:szCs w:val="21"/>
              </w:rPr>
              <w:t xml:space="preserve"> </w:t>
            </w:r>
            <w:r>
              <w:rPr>
                <w:sz w:val="21"/>
                <w:szCs w:val="21"/>
              </w:rPr>
              <w:t>条</w:t>
            </w:r>
          </w:p>
        </w:tc>
        <w:tc>
          <w:tcPr>
            <w:tcW w:w="3077" w:type="dxa"/>
            <w:vAlign w:val="top"/>
          </w:tcPr>
          <w:p w14:paraId="5D35A79F">
            <w:pPr>
              <w:spacing w:line="389" w:lineRule="auto"/>
              <w:rPr>
                <w:rFonts w:ascii="Arial"/>
                <w:sz w:val="21"/>
              </w:rPr>
            </w:pPr>
          </w:p>
          <w:p w14:paraId="1D39A4B7">
            <w:pPr>
              <w:pStyle w:val="6"/>
              <w:spacing w:before="68" w:line="239" w:lineRule="auto"/>
              <w:ind w:left="322" w:right="156" w:hanging="159"/>
              <w:rPr>
                <w:sz w:val="21"/>
                <w:szCs w:val="21"/>
              </w:rPr>
            </w:pPr>
            <w:r>
              <w:rPr>
                <w:spacing w:val="1"/>
                <w:sz w:val="21"/>
                <w:szCs w:val="21"/>
              </w:rPr>
              <w:t>禁止在长江流域禁止采砂区和</w:t>
            </w:r>
            <w:r>
              <w:rPr>
                <w:spacing w:val="3"/>
                <w:sz w:val="21"/>
                <w:szCs w:val="21"/>
              </w:rPr>
              <w:t xml:space="preserve"> </w:t>
            </w:r>
            <w:r>
              <w:rPr>
                <w:spacing w:val="-1"/>
                <w:sz w:val="21"/>
                <w:szCs w:val="21"/>
              </w:rPr>
              <w:t>禁止采砂期从事采砂活动。</w:t>
            </w:r>
          </w:p>
        </w:tc>
        <w:tc>
          <w:tcPr>
            <w:tcW w:w="2507" w:type="dxa"/>
            <w:vAlign w:val="top"/>
          </w:tcPr>
          <w:p w14:paraId="7BD23E86">
            <w:pPr>
              <w:pStyle w:val="6"/>
              <w:spacing w:before="309" w:line="219" w:lineRule="auto"/>
              <w:ind w:left="96"/>
              <w:rPr>
                <w:sz w:val="21"/>
                <w:szCs w:val="21"/>
              </w:rPr>
            </w:pPr>
            <w:r>
              <w:rPr>
                <w:sz w:val="21"/>
                <w:szCs w:val="21"/>
              </w:rPr>
              <w:t>项目不设砂石料开采，施</w:t>
            </w:r>
          </w:p>
          <w:p w14:paraId="216486EE">
            <w:pPr>
              <w:pStyle w:val="6"/>
              <w:spacing w:before="43" w:line="220" w:lineRule="auto"/>
              <w:ind w:left="96"/>
              <w:rPr>
                <w:sz w:val="21"/>
                <w:szCs w:val="21"/>
              </w:rPr>
            </w:pPr>
            <w:r>
              <w:rPr>
                <w:spacing w:val="1"/>
                <w:sz w:val="21"/>
                <w:szCs w:val="21"/>
              </w:rPr>
              <w:t>工所需砂石料从合法的砂</w:t>
            </w:r>
          </w:p>
          <w:p w14:paraId="4487B0DA">
            <w:pPr>
              <w:pStyle w:val="6"/>
              <w:spacing w:before="9" w:line="220" w:lineRule="auto"/>
              <w:ind w:left="666"/>
              <w:rPr>
                <w:sz w:val="21"/>
                <w:szCs w:val="21"/>
              </w:rPr>
            </w:pPr>
            <w:r>
              <w:rPr>
                <w:sz w:val="21"/>
                <w:szCs w:val="21"/>
              </w:rPr>
              <w:t>石料场购买。</w:t>
            </w:r>
          </w:p>
        </w:tc>
        <w:tc>
          <w:tcPr>
            <w:tcW w:w="879" w:type="dxa"/>
            <w:vAlign w:val="top"/>
          </w:tcPr>
          <w:p w14:paraId="708F3BCC">
            <w:pPr>
              <w:spacing w:line="259" w:lineRule="auto"/>
              <w:rPr>
                <w:rFonts w:ascii="Arial"/>
                <w:sz w:val="21"/>
              </w:rPr>
            </w:pPr>
          </w:p>
          <w:p w14:paraId="7A533220">
            <w:pPr>
              <w:spacing w:line="260" w:lineRule="auto"/>
              <w:rPr>
                <w:rFonts w:ascii="Arial"/>
                <w:sz w:val="21"/>
              </w:rPr>
            </w:pPr>
          </w:p>
          <w:p w14:paraId="02E1AF41">
            <w:pPr>
              <w:pStyle w:val="6"/>
              <w:spacing w:before="68" w:line="219" w:lineRule="auto"/>
              <w:ind w:left="229"/>
              <w:rPr>
                <w:sz w:val="21"/>
                <w:szCs w:val="21"/>
              </w:rPr>
            </w:pPr>
            <w:r>
              <w:rPr>
                <w:spacing w:val="-3"/>
                <w:sz w:val="21"/>
                <w:szCs w:val="21"/>
              </w:rPr>
              <w:t>符合</w:t>
            </w:r>
          </w:p>
        </w:tc>
        <w:tc>
          <w:tcPr>
            <w:tcW w:w="185" w:type="dxa"/>
            <w:vMerge w:val="continue"/>
            <w:tcBorders>
              <w:top w:val="nil"/>
              <w:bottom w:val="nil"/>
            </w:tcBorders>
            <w:vAlign w:val="top"/>
          </w:tcPr>
          <w:p w14:paraId="7EA3579E">
            <w:pPr>
              <w:rPr>
                <w:rFonts w:ascii="Arial"/>
                <w:sz w:val="21"/>
              </w:rPr>
            </w:pPr>
          </w:p>
        </w:tc>
      </w:tr>
      <w:tr w14:paraId="4A606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8" w:hRule="atLeast"/>
        </w:trPr>
        <w:tc>
          <w:tcPr>
            <w:tcW w:w="1573" w:type="dxa"/>
            <w:vMerge w:val="continue"/>
            <w:tcBorders>
              <w:top w:val="nil"/>
              <w:bottom w:val="nil"/>
            </w:tcBorders>
            <w:vAlign w:val="top"/>
          </w:tcPr>
          <w:p w14:paraId="1B2B6B40">
            <w:pPr>
              <w:rPr>
                <w:rFonts w:ascii="Arial"/>
                <w:sz w:val="21"/>
              </w:rPr>
            </w:pPr>
          </w:p>
        </w:tc>
        <w:tc>
          <w:tcPr>
            <w:tcW w:w="609" w:type="dxa"/>
            <w:textDirection w:val="tbRlV"/>
            <w:vAlign w:val="top"/>
          </w:tcPr>
          <w:p w14:paraId="393C9451">
            <w:pPr>
              <w:pStyle w:val="6"/>
              <w:spacing w:before="204" w:line="201" w:lineRule="auto"/>
              <w:ind w:left="352"/>
              <w:rPr>
                <w:sz w:val="21"/>
                <w:szCs w:val="21"/>
              </w:rPr>
            </w:pPr>
            <w:r>
              <w:rPr>
                <w:sz w:val="21"/>
                <w:szCs w:val="21"/>
              </w:rPr>
              <w:t>第</w:t>
            </w:r>
            <w:r>
              <w:rPr>
                <w:spacing w:val="-29"/>
                <w:sz w:val="21"/>
                <w:szCs w:val="21"/>
              </w:rPr>
              <w:t xml:space="preserve"> </w:t>
            </w:r>
            <w:r>
              <w:rPr>
                <w:sz w:val="21"/>
                <w:szCs w:val="21"/>
              </w:rPr>
              <w:t>三</w:t>
            </w:r>
            <w:r>
              <w:rPr>
                <w:spacing w:val="-29"/>
                <w:sz w:val="21"/>
                <w:szCs w:val="21"/>
              </w:rPr>
              <w:t xml:space="preserve"> </w:t>
            </w:r>
            <w:r>
              <w:rPr>
                <w:sz w:val="21"/>
                <w:szCs w:val="21"/>
              </w:rPr>
              <w:t>十</w:t>
            </w:r>
            <w:r>
              <w:rPr>
                <w:spacing w:val="-29"/>
                <w:sz w:val="21"/>
                <w:szCs w:val="21"/>
              </w:rPr>
              <w:t xml:space="preserve"> </w:t>
            </w:r>
            <w:r>
              <w:rPr>
                <w:sz w:val="21"/>
                <w:szCs w:val="21"/>
              </w:rPr>
              <w:t>八</w:t>
            </w:r>
            <w:r>
              <w:rPr>
                <w:spacing w:val="-29"/>
                <w:sz w:val="21"/>
                <w:szCs w:val="21"/>
              </w:rPr>
              <w:t xml:space="preserve"> </w:t>
            </w:r>
            <w:r>
              <w:rPr>
                <w:sz w:val="21"/>
                <w:szCs w:val="21"/>
              </w:rPr>
              <w:t>条</w:t>
            </w:r>
          </w:p>
        </w:tc>
        <w:tc>
          <w:tcPr>
            <w:tcW w:w="3077" w:type="dxa"/>
            <w:vAlign w:val="top"/>
          </w:tcPr>
          <w:p w14:paraId="1DA07E3C">
            <w:pPr>
              <w:spacing w:line="470" w:lineRule="auto"/>
              <w:rPr>
                <w:rFonts w:ascii="Arial"/>
                <w:sz w:val="21"/>
              </w:rPr>
            </w:pPr>
          </w:p>
          <w:p w14:paraId="29995D9D">
            <w:pPr>
              <w:pStyle w:val="6"/>
              <w:spacing w:before="68" w:line="219" w:lineRule="auto"/>
              <w:ind w:left="163"/>
              <w:rPr>
                <w:sz w:val="21"/>
                <w:szCs w:val="21"/>
              </w:rPr>
            </w:pPr>
            <w:r>
              <w:rPr>
                <w:spacing w:val="-1"/>
                <w:sz w:val="21"/>
                <w:szCs w:val="21"/>
              </w:rPr>
              <w:t>完善规划和建设项目水资源论</w:t>
            </w:r>
          </w:p>
          <w:p w14:paraId="50C6560C">
            <w:pPr>
              <w:pStyle w:val="6"/>
              <w:spacing w:before="20" w:line="219" w:lineRule="auto"/>
              <w:ind w:left="63"/>
              <w:rPr>
                <w:sz w:val="21"/>
                <w:szCs w:val="21"/>
              </w:rPr>
            </w:pPr>
            <w:r>
              <w:rPr>
                <w:spacing w:val="-1"/>
                <w:sz w:val="21"/>
                <w:szCs w:val="21"/>
              </w:rPr>
              <w:t>证制度；加强对高耗水行业、重</w:t>
            </w:r>
          </w:p>
          <w:p w14:paraId="28665F44">
            <w:pPr>
              <w:pStyle w:val="6"/>
              <w:spacing w:before="10" w:line="219" w:lineRule="auto"/>
              <w:ind w:left="63"/>
              <w:rPr>
                <w:sz w:val="21"/>
                <w:szCs w:val="21"/>
              </w:rPr>
            </w:pPr>
            <w:r>
              <w:rPr>
                <w:sz w:val="21"/>
                <w:szCs w:val="21"/>
              </w:rPr>
              <w:t>点用水单位的用水定额管理，严</w:t>
            </w:r>
          </w:p>
          <w:p w14:paraId="475721E8">
            <w:pPr>
              <w:pStyle w:val="6"/>
              <w:spacing w:before="31" w:line="219" w:lineRule="auto"/>
              <w:ind w:left="423"/>
              <w:rPr>
                <w:sz w:val="21"/>
                <w:szCs w:val="21"/>
              </w:rPr>
            </w:pPr>
            <w:r>
              <w:rPr>
                <w:sz w:val="21"/>
                <w:szCs w:val="21"/>
              </w:rPr>
              <w:t>格控制高耗水项目建设。</w:t>
            </w:r>
          </w:p>
        </w:tc>
        <w:tc>
          <w:tcPr>
            <w:tcW w:w="2507" w:type="dxa"/>
            <w:vAlign w:val="top"/>
          </w:tcPr>
          <w:p w14:paraId="699C9D34">
            <w:pPr>
              <w:spacing w:line="246" w:lineRule="auto"/>
              <w:rPr>
                <w:rFonts w:ascii="Arial"/>
                <w:sz w:val="21"/>
              </w:rPr>
            </w:pPr>
          </w:p>
          <w:p w14:paraId="03A94668">
            <w:pPr>
              <w:spacing w:line="246" w:lineRule="auto"/>
              <w:rPr>
                <w:rFonts w:ascii="Arial"/>
                <w:sz w:val="21"/>
              </w:rPr>
            </w:pPr>
          </w:p>
          <w:p w14:paraId="607E62CC">
            <w:pPr>
              <w:spacing w:line="246" w:lineRule="auto"/>
              <w:rPr>
                <w:rFonts w:ascii="Arial"/>
                <w:sz w:val="21"/>
              </w:rPr>
            </w:pPr>
          </w:p>
          <w:p w14:paraId="2E397669">
            <w:pPr>
              <w:pStyle w:val="6"/>
              <w:spacing w:before="68" w:line="231" w:lineRule="auto"/>
              <w:ind w:left="406" w:right="210" w:hanging="210"/>
              <w:rPr>
                <w:sz w:val="21"/>
                <w:szCs w:val="21"/>
              </w:rPr>
            </w:pPr>
            <w:r>
              <w:rPr>
                <w:spacing w:val="-1"/>
                <w:sz w:val="21"/>
                <w:szCs w:val="21"/>
              </w:rPr>
              <w:t>本项目不属于高耗水行</w:t>
            </w:r>
            <w:r>
              <w:rPr>
                <w:sz w:val="21"/>
                <w:szCs w:val="21"/>
              </w:rPr>
              <w:t xml:space="preserve"> </w:t>
            </w:r>
            <w:r>
              <w:rPr>
                <w:spacing w:val="-1"/>
                <w:sz w:val="21"/>
                <w:szCs w:val="21"/>
              </w:rPr>
              <w:t>业、重点用水单位</w:t>
            </w:r>
          </w:p>
        </w:tc>
        <w:tc>
          <w:tcPr>
            <w:tcW w:w="879" w:type="dxa"/>
            <w:vAlign w:val="top"/>
          </w:tcPr>
          <w:p w14:paraId="66517116">
            <w:pPr>
              <w:spacing w:line="286" w:lineRule="auto"/>
              <w:rPr>
                <w:rFonts w:ascii="Arial"/>
                <w:sz w:val="21"/>
              </w:rPr>
            </w:pPr>
          </w:p>
          <w:p w14:paraId="17C2CC35">
            <w:pPr>
              <w:spacing w:line="286" w:lineRule="auto"/>
              <w:rPr>
                <w:rFonts w:ascii="Arial"/>
                <w:sz w:val="21"/>
              </w:rPr>
            </w:pPr>
          </w:p>
          <w:p w14:paraId="1C977890">
            <w:pPr>
              <w:spacing w:line="286" w:lineRule="auto"/>
              <w:rPr>
                <w:rFonts w:ascii="Arial"/>
                <w:sz w:val="21"/>
              </w:rPr>
            </w:pPr>
          </w:p>
          <w:p w14:paraId="4FF67974">
            <w:pPr>
              <w:pStyle w:val="6"/>
              <w:spacing w:before="68" w:line="219" w:lineRule="auto"/>
              <w:ind w:left="229"/>
              <w:rPr>
                <w:sz w:val="21"/>
                <w:szCs w:val="21"/>
              </w:rPr>
            </w:pPr>
            <w:r>
              <w:rPr>
                <w:spacing w:val="-3"/>
                <w:sz w:val="21"/>
                <w:szCs w:val="21"/>
              </w:rPr>
              <w:t>符合</w:t>
            </w:r>
          </w:p>
        </w:tc>
        <w:tc>
          <w:tcPr>
            <w:tcW w:w="185" w:type="dxa"/>
            <w:vMerge w:val="continue"/>
            <w:tcBorders>
              <w:top w:val="nil"/>
              <w:bottom w:val="nil"/>
            </w:tcBorders>
            <w:vAlign w:val="top"/>
          </w:tcPr>
          <w:p w14:paraId="5276386F">
            <w:pPr>
              <w:rPr>
                <w:rFonts w:ascii="Arial"/>
                <w:sz w:val="21"/>
              </w:rPr>
            </w:pPr>
          </w:p>
        </w:tc>
      </w:tr>
      <w:tr w14:paraId="57D44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7" w:hRule="atLeast"/>
        </w:trPr>
        <w:tc>
          <w:tcPr>
            <w:tcW w:w="1573" w:type="dxa"/>
            <w:vMerge w:val="continue"/>
            <w:tcBorders>
              <w:top w:val="nil"/>
              <w:bottom w:val="nil"/>
            </w:tcBorders>
            <w:vAlign w:val="top"/>
          </w:tcPr>
          <w:p w14:paraId="3A0BB926">
            <w:pPr>
              <w:rPr>
                <w:rFonts w:ascii="Arial"/>
                <w:sz w:val="21"/>
              </w:rPr>
            </w:pPr>
          </w:p>
        </w:tc>
        <w:tc>
          <w:tcPr>
            <w:tcW w:w="609" w:type="dxa"/>
            <w:textDirection w:val="tbRlV"/>
            <w:vAlign w:val="top"/>
          </w:tcPr>
          <w:p w14:paraId="6274F1DD">
            <w:pPr>
              <w:pStyle w:val="6"/>
              <w:spacing w:before="205" w:line="201" w:lineRule="auto"/>
              <w:ind w:left="953"/>
              <w:rPr>
                <w:sz w:val="21"/>
                <w:szCs w:val="21"/>
              </w:rPr>
            </w:pPr>
            <w:r>
              <w:rPr>
                <w:sz w:val="21"/>
                <w:szCs w:val="21"/>
              </w:rPr>
              <w:t>第</w:t>
            </w:r>
            <w:r>
              <w:rPr>
                <w:spacing w:val="-29"/>
                <w:sz w:val="21"/>
                <w:szCs w:val="21"/>
              </w:rPr>
              <w:t xml:space="preserve"> </w:t>
            </w:r>
            <w:r>
              <w:rPr>
                <w:sz w:val="21"/>
                <w:szCs w:val="21"/>
              </w:rPr>
              <w:t>四</w:t>
            </w:r>
            <w:r>
              <w:rPr>
                <w:spacing w:val="-29"/>
                <w:sz w:val="21"/>
                <w:szCs w:val="21"/>
              </w:rPr>
              <w:t xml:space="preserve"> </w:t>
            </w:r>
            <w:r>
              <w:rPr>
                <w:sz w:val="21"/>
                <w:szCs w:val="21"/>
              </w:rPr>
              <w:t>十</w:t>
            </w:r>
            <w:r>
              <w:rPr>
                <w:spacing w:val="-29"/>
                <w:sz w:val="21"/>
                <w:szCs w:val="21"/>
              </w:rPr>
              <w:t xml:space="preserve"> </w:t>
            </w:r>
            <w:r>
              <w:rPr>
                <w:sz w:val="21"/>
                <w:szCs w:val="21"/>
              </w:rPr>
              <w:t>七</w:t>
            </w:r>
            <w:r>
              <w:rPr>
                <w:spacing w:val="-29"/>
                <w:sz w:val="21"/>
                <w:szCs w:val="21"/>
              </w:rPr>
              <w:t xml:space="preserve"> </w:t>
            </w:r>
            <w:r>
              <w:rPr>
                <w:sz w:val="21"/>
                <w:szCs w:val="21"/>
              </w:rPr>
              <w:t>条</w:t>
            </w:r>
          </w:p>
        </w:tc>
        <w:tc>
          <w:tcPr>
            <w:tcW w:w="3077" w:type="dxa"/>
            <w:vAlign w:val="top"/>
          </w:tcPr>
          <w:p w14:paraId="5AE12B4A">
            <w:pPr>
              <w:spacing w:line="393" w:lineRule="auto"/>
              <w:rPr>
                <w:rFonts w:ascii="Arial"/>
                <w:sz w:val="21"/>
              </w:rPr>
            </w:pPr>
          </w:p>
          <w:p w14:paraId="131C1910">
            <w:pPr>
              <w:pStyle w:val="6"/>
              <w:spacing w:before="68" w:line="239" w:lineRule="auto"/>
              <w:ind w:left="63" w:right="42"/>
              <w:rPr>
                <w:sz w:val="21"/>
                <w:szCs w:val="21"/>
              </w:rPr>
            </w:pPr>
            <w:r>
              <w:rPr>
                <w:spacing w:val="-1"/>
                <w:sz w:val="21"/>
                <w:szCs w:val="21"/>
              </w:rPr>
              <w:t>在长江流域江河、湖泊新设、改</w:t>
            </w:r>
            <w:r>
              <w:rPr>
                <w:spacing w:val="5"/>
                <w:sz w:val="21"/>
                <w:szCs w:val="21"/>
              </w:rPr>
              <w:t xml:space="preserve"> </w:t>
            </w:r>
            <w:r>
              <w:rPr>
                <w:spacing w:val="1"/>
                <w:sz w:val="21"/>
                <w:szCs w:val="21"/>
              </w:rPr>
              <w:t>设或者扩大排污口，应当按照国</w:t>
            </w:r>
            <w:r>
              <w:rPr>
                <w:spacing w:val="6"/>
                <w:sz w:val="21"/>
                <w:szCs w:val="21"/>
              </w:rPr>
              <w:t xml:space="preserve"> 家有关规定报经有管辖权的生</w:t>
            </w:r>
            <w:r>
              <w:rPr>
                <w:spacing w:val="5"/>
                <w:sz w:val="21"/>
                <w:szCs w:val="21"/>
              </w:rPr>
              <w:t xml:space="preserve">  </w:t>
            </w:r>
            <w:r>
              <w:rPr>
                <w:spacing w:val="7"/>
                <w:sz w:val="21"/>
                <w:szCs w:val="21"/>
              </w:rPr>
              <w:t>态环境主管部门或者长江流域</w:t>
            </w:r>
            <w:r>
              <w:rPr>
                <w:sz w:val="21"/>
                <w:szCs w:val="21"/>
              </w:rPr>
              <w:t xml:space="preserve">  </w:t>
            </w:r>
            <w:r>
              <w:rPr>
                <w:spacing w:val="-1"/>
                <w:sz w:val="21"/>
                <w:szCs w:val="21"/>
              </w:rPr>
              <w:t>生态环境监督管理机构同意。对</w:t>
            </w:r>
          </w:p>
          <w:p w14:paraId="02F5096F">
            <w:pPr>
              <w:pStyle w:val="6"/>
              <w:spacing w:line="246" w:lineRule="auto"/>
              <w:ind w:left="63" w:firstLine="109"/>
              <w:rPr>
                <w:sz w:val="21"/>
                <w:szCs w:val="21"/>
              </w:rPr>
            </w:pPr>
            <w:r>
              <w:rPr>
                <w:spacing w:val="-4"/>
                <w:sz w:val="21"/>
                <w:szCs w:val="21"/>
              </w:rPr>
              <w:t>未达到水质目标的水功能区，除</w:t>
            </w:r>
            <w:r>
              <w:rPr>
                <w:spacing w:val="9"/>
                <w:sz w:val="21"/>
                <w:szCs w:val="21"/>
              </w:rPr>
              <w:t xml:space="preserve"> </w:t>
            </w:r>
            <w:r>
              <w:rPr>
                <w:spacing w:val="-2"/>
                <w:sz w:val="21"/>
                <w:szCs w:val="21"/>
              </w:rPr>
              <w:t>污水集中处理设施排污口外，应</w:t>
            </w:r>
          </w:p>
          <w:p w14:paraId="51ADD231">
            <w:pPr>
              <w:pStyle w:val="6"/>
              <w:spacing w:line="219" w:lineRule="auto"/>
              <w:jc w:val="right"/>
              <w:rPr>
                <w:sz w:val="21"/>
                <w:szCs w:val="21"/>
              </w:rPr>
            </w:pPr>
            <w:r>
              <w:rPr>
                <w:spacing w:val="-4"/>
                <w:sz w:val="21"/>
                <w:szCs w:val="21"/>
              </w:rPr>
              <w:t>当严格控制新设、改设或者扩大</w:t>
            </w:r>
          </w:p>
          <w:p w14:paraId="2E4E2A86">
            <w:pPr>
              <w:pStyle w:val="6"/>
              <w:spacing w:before="13" w:line="221" w:lineRule="auto"/>
              <w:ind w:left="1163"/>
              <w:rPr>
                <w:sz w:val="21"/>
                <w:szCs w:val="21"/>
              </w:rPr>
            </w:pPr>
            <w:r>
              <w:rPr>
                <w:spacing w:val="-1"/>
                <w:sz w:val="21"/>
                <w:szCs w:val="21"/>
              </w:rPr>
              <w:t>排污口。</w:t>
            </w:r>
          </w:p>
        </w:tc>
        <w:tc>
          <w:tcPr>
            <w:tcW w:w="2507" w:type="dxa"/>
            <w:vAlign w:val="top"/>
          </w:tcPr>
          <w:p w14:paraId="01245C9C">
            <w:pPr>
              <w:pStyle w:val="6"/>
              <w:spacing w:before="43" w:line="219" w:lineRule="auto"/>
              <w:ind w:left="196"/>
              <w:rPr>
                <w:sz w:val="21"/>
                <w:szCs w:val="21"/>
              </w:rPr>
            </w:pPr>
            <w:r>
              <w:rPr>
                <w:spacing w:val="1"/>
                <w:sz w:val="21"/>
                <w:szCs w:val="21"/>
              </w:rPr>
              <w:t>项目施工期设置截排水</w:t>
            </w:r>
          </w:p>
          <w:p w14:paraId="59994D21">
            <w:pPr>
              <w:pStyle w:val="6"/>
              <w:spacing w:before="30" w:line="219" w:lineRule="auto"/>
              <w:ind w:left="196"/>
              <w:rPr>
                <w:sz w:val="21"/>
                <w:szCs w:val="21"/>
              </w:rPr>
            </w:pPr>
            <w:r>
              <w:rPr>
                <w:spacing w:val="-1"/>
                <w:sz w:val="21"/>
                <w:szCs w:val="21"/>
              </w:rPr>
              <w:t>沟，施工废水及少量施</w:t>
            </w:r>
          </w:p>
          <w:p w14:paraId="67F971CE">
            <w:pPr>
              <w:pStyle w:val="6"/>
              <w:spacing w:before="11"/>
              <w:ind w:left="196"/>
              <w:rPr>
                <w:sz w:val="21"/>
                <w:szCs w:val="21"/>
              </w:rPr>
            </w:pPr>
            <w:r>
              <w:rPr>
                <w:spacing w:val="-8"/>
                <w:sz w:val="21"/>
                <w:szCs w:val="21"/>
              </w:rPr>
              <w:t>工人员清洗废水经沉淀</w:t>
            </w:r>
            <w:r>
              <w:rPr>
                <w:sz w:val="21"/>
                <w:szCs w:val="21"/>
              </w:rPr>
              <w:t xml:space="preserve">   </w:t>
            </w:r>
            <w:r>
              <w:rPr>
                <w:spacing w:val="-1"/>
                <w:sz w:val="21"/>
                <w:szCs w:val="21"/>
              </w:rPr>
              <w:t>池处理后回用，不外排；</w:t>
            </w:r>
            <w:r>
              <w:rPr>
                <w:sz w:val="21"/>
                <w:szCs w:val="21"/>
              </w:rPr>
              <w:t xml:space="preserve"> </w:t>
            </w:r>
            <w:r>
              <w:rPr>
                <w:spacing w:val="-9"/>
                <w:sz w:val="21"/>
                <w:szCs w:val="21"/>
              </w:rPr>
              <w:t>运行期光伏板清洁废水</w:t>
            </w:r>
          </w:p>
          <w:p w14:paraId="4B3300C1">
            <w:pPr>
              <w:pStyle w:val="6"/>
              <w:spacing w:before="1" w:line="250" w:lineRule="auto"/>
              <w:ind w:left="196" w:right="175"/>
              <w:rPr>
                <w:sz w:val="21"/>
                <w:szCs w:val="21"/>
              </w:rPr>
            </w:pPr>
            <w:r>
              <w:rPr>
                <w:spacing w:val="2"/>
                <w:sz w:val="21"/>
                <w:szCs w:val="21"/>
              </w:rPr>
              <w:t>一部分被蒸发损耗，另</w:t>
            </w:r>
            <w:r>
              <w:rPr>
                <w:spacing w:val="4"/>
                <w:sz w:val="21"/>
                <w:szCs w:val="21"/>
              </w:rPr>
              <w:t xml:space="preserve"> </w:t>
            </w:r>
            <w:r>
              <w:rPr>
                <w:spacing w:val="1"/>
                <w:sz w:val="21"/>
                <w:szCs w:val="21"/>
              </w:rPr>
              <w:t>一部分作为组件下经济</w:t>
            </w:r>
          </w:p>
          <w:p w14:paraId="21A03BB8">
            <w:pPr>
              <w:pStyle w:val="6"/>
              <w:spacing w:line="219" w:lineRule="auto"/>
              <w:jc w:val="right"/>
              <w:rPr>
                <w:sz w:val="21"/>
                <w:szCs w:val="21"/>
              </w:rPr>
            </w:pPr>
            <w:r>
              <w:rPr>
                <w:spacing w:val="-5"/>
                <w:sz w:val="21"/>
                <w:szCs w:val="21"/>
              </w:rPr>
              <w:t>作物生长用水，不外排；</w:t>
            </w:r>
          </w:p>
          <w:p w14:paraId="240F05D5">
            <w:pPr>
              <w:pStyle w:val="6"/>
              <w:spacing w:before="11" w:line="219" w:lineRule="auto"/>
              <w:ind w:left="196"/>
              <w:rPr>
                <w:sz w:val="21"/>
                <w:szCs w:val="21"/>
              </w:rPr>
            </w:pPr>
            <w:r>
              <w:rPr>
                <w:spacing w:val="-1"/>
                <w:sz w:val="21"/>
                <w:szCs w:val="21"/>
              </w:rPr>
              <w:t>运营期生活污水经一体</w:t>
            </w:r>
          </w:p>
          <w:p w14:paraId="313B0E21">
            <w:pPr>
              <w:pStyle w:val="6"/>
              <w:spacing w:before="41" w:line="219" w:lineRule="auto"/>
              <w:ind w:left="196"/>
              <w:rPr>
                <w:sz w:val="21"/>
                <w:szCs w:val="21"/>
              </w:rPr>
            </w:pPr>
            <w:r>
              <w:rPr>
                <w:spacing w:val="-1"/>
                <w:sz w:val="21"/>
                <w:szCs w:val="21"/>
              </w:rPr>
              <w:t>化污水处理设施处理达</w:t>
            </w:r>
          </w:p>
          <w:p w14:paraId="5F839A9F">
            <w:pPr>
              <w:pStyle w:val="6"/>
              <w:spacing w:before="1" w:line="220" w:lineRule="auto"/>
              <w:ind w:left="196"/>
              <w:rPr>
                <w:sz w:val="21"/>
                <w:szCs w:val="21"/>
              </w:rPr>
            </w:pPr>
            <w:r>
              <w:rPr>
                <w:spacing w:val="1"/>
                <w:sz w:val="21"/>
                <w:szCs w:val="21"/>
              </w:rPr>
              <w:t>标后回用于绿化，不外</w:t>
            </w:r>
          </w:p>
          <w:p w14:paraId="019C6657">
            <w:pPr>
              <w:pStyle w:val="6"/>
              <w:spacing w:before="2" w:line="212" w:lineRule="auto"/>
              <w:ind w:left="1086"/>
              <w:rPr>
                <w:sz w:val="21"/>
                <w:szCs w:val="21"/>
              </w:rPr>
            </w:pPr>
            <w:r>
              <w:rPr>
                <w:spacing w:val="2"/>
                <w:sz w:val="21"/>
                <w:szCs w:val="21"/>
              </w:rPr>
              <w:t>排。</w:t>
            </w:r>
          </w:p>
        </w:tc>
        <w:tc>
          <w:tcPr>
            <w:tcW w:w="879" w:type="dxa"/>
            <w:vAlign w:val="top"/>
          </w:tcPr>
          <w:p w14:paraId="49C66AFF">
            <w:pPr>
              <w:spacing w:line="244" w:lineRule="auto"/>
              <w:rPr>
                <w:rFonts w:ascii="Arial"/>
                <w:sz w:val="21"/>
              </w:rPr>
            </w:pPr>
          </w:p>
          <w:p w14:paraId="435E8EBC">
            <w:pPr>
              <w:spacing w:line="244" w:lineRule="auto"/>
              <w:rPr>
                <w:rFonts w:ascii="Arial"/>
                <w:sz w:val="21"/>
              </w:rPr>
            </w:pPr>
          </w:p>
          <w:p w14:paraId="5317F9C5">
            <w:pPr>
              <w:spacing w:line="244" w:lineRule="auto"/>
              <w:rPr>
                <w:rFonts w:ascii="Arial"/>
                <w:sz w:val="21"/>
              </w:rPr>
            </w:pPr>
          </w:p>
          <w:p w14:paraId="4399C00D">
            <w:pPr>
              <w:spacing w:line="244" w:lineRule="auto"/>
              <w:rPr>
                <w:rFonts w:ascii="Arial"/>
                <w:sz w:val="21"/>
              </w:rPr>
            </w:pPr>
          </w:p>
          <w:p w14:paraId="7C5149D7">
            <w:pPr>
              <w:spacing w:line="245" w:lineRule="auto"/>
              <w:rPr>
                <w:rFonts w:ascii="Arial"/>
                <w:sz w:val="21"/>
              </w:rPr>
            </w:pPr>
          </w:p>
          <w:p w14:paraId="1A6D15B6">
            <w:pPr>
              <w:spacing w:line="245" w:lineRule="auto"/>
              <w:rPr>
                <w:rFonts w:ascii="Arial"/>
                <w:sz w:val="21"/>
              </w:rPr>
            </w:pPr>
          </w:p>
          <w:p w14:paraId="373D3519">
            <w:pPr>
              <w:pStyle w:val="6"/>
              <w:spacing w:before="68" w:line="219" w:lineRule="auto"/>
              <w:ind w:left="229"/>
              <w:rPr>
                <w:sz w:val="21"/>
                <w:szCs w:val="21"/>
              </w:rPr>
            </w:pPr>
            <w:r>
              <w:rPr>
                <w:spacing w:val="-3"/>
                <w:sz w:val="21"/>
                <w:szCs w:val="21"/>
              </w:rPr>
              <w:t>符合</w:t>
            </w:r>
          </w:p>
        </w:tc>
        <w:tc>
          <w:tcPr>
            <w:tcW w:w="185" w:type="dxa"/>
            <w:vMerge w:val="continue"/>
            <w:tcBorders>
              <w:top w:val="nil"/>
              <w:bottom w:val="nil"/>
            </w:tcBorders>
            <w:vAlign w:val="top"/>
          </w:tcPr>
          <w:p w14:paraId="5A9EDB55">
            <w:pPr>
              <w:rPr>
                <w:rFonts w:ascii="Arial"/>
                <w:sz w:val="21"/>
              </w:rPr>
            </w:pPr>
          </w:p>
        </w:tc>
      </w:tr>
      <w:tr w14:paraId="2DD2E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trPr>
        <w:tc>
          <w:tcPr>
            <w:tcW w:w="1573" w:type="dxa"/>
            <w:vMerge w:val="continue"/>
            <w:tcBorders>
              <w:top w:val="nil"/>
              <w:bottom w:val="nil"/>
            </w:tcBorders>
            <w:vAlign w:val="top"/>
          </w:tcPr>
          <w:p w14:paraId="62E5C240">
            <w:pPr>
              <w:rPr>
                <w:rFonts w:ascii="Arial"/>
                <w:sz w:val="21"/>
              </w:rPr>
            </w:pPr>
          </w:p>
        </w:tc>
        <w:tc>
          <w:tcPr>
            <w:tcW w:w="609" w:type="dxa"/>
            <w:textDirection w:val="tbRlV"/>
            <w:vAlign w:val="top"/>
          </w:tcPr>
          <w:p w14:paraId="179B60E5">
            <w:pPr>
              <w:pStyle w:val="6"/>
              <w:spacing w:before="266" w:line="200" w:lineRule="auto"/>
              <w:ind w:left="157"/>
              <w:rPr>
                <w:sz w:val="21"/>
                <w:szCs w:val="21"/>
              </w:rPr>
            </w:pPr>
            <w:r>
              <w:rPr>
                <w:sz w:val="21"/>
                <w:szCs w:val="21"/>
              </w:rPr>
              <w:t>第</w:t>
            </w:r>
            <w:r>
              <w:rPr>
                <w:spacing w:val="-34"/>
                <w:sz w:val="21"/>
                <w:szCs w:val="21"/>
              </w:rPr>
              <w:t xml:space="preserve"> </w:t>
            </w:r>
            <w:r>
              <w:rPr>
                <w:sz w:val="21"/>
                <w:szCs w:val="21"/>
              </w:rPr>
              <w:t>四</w:t>
            </w:r>
            <w:r>
              <w:rPr>
                <w:spacing w:val="-34"/>
                <w:sz w:val="21"/>
                <w:szCs w:val="21"/>
              </w:rPr>
              <w:t xml:space="preserve"> </w:t>
            </w:r>
            <w:r>
              <w:rPr>
                <w:sz w:val="21"/>
                <w:szCs w:val="21"/>
              </w:rPr>
              <w:t>十</w:t>
            </w:r>
            <w:r>
              <w:rPr>
                <w:spacing w:val="-34"/>
                <w:sz w:val="21"/>
                <w:szCs w:val="21"/>
              </w:rPr>
              <w:t xml:space="preserve"> </w:t>
            </w:r>
            <w:r>
              <w:rPr>
                <w:sz w:val="21"/>
                <w:szCs w:val="21"/>
              </w:rPr>
              <w:t>九</w:t>
            </w:r>
            <w:r>
              <w:rPr>
                <w:spacing w:val="-34"/>
                <w:sz w:val="21"/>
                <w:szCs w:val="21"/>
              </w:rPr>
              <w:t xml:space="preserve"> </w:t>
            </w:r>
            <w:r>
              <w:rPr>
                <w:sz w:val="21"/>
                <w:szCs w:val="21"/>
              </w:rPr>
              <w:t>条</w:t>
            </w:r>
          </w:p>
        </w:tc>
        <w:tc>
          <w:tcPr>
            <w:tcW w:w="3077" w:type="dxa"/>
            <w:vAlign w:val="top"/>
          </w:tcPr>
          <w:p w14:paraId="27E3BFFD">
            <w:pPr>
              <w:pStyle w:val="6"/>
              <w:spacing w:before="46" w:line="219" w:lineRule="auto"/>
              <w:ind w:left="163"/>
              <w:rPr>
                <w:sz w:val="21"/>
                <w:szCs w:val="21"/>
              </w:rPr>
            </w:pPr>
            <w:r>
              <w:rPr>
                <w:spacing w:val="1"/>
                <w:sz w:val="21"/>
                <w:szCs w:val="21"/>
              </w:rPr>
              <w:t>禁止在长江流域河湖管理范围</w:t>
            </w:r>
          </w:p>
          <w:p w14:paraId="669D0D1C">
            <w:pPr>
              <w:pStyle w:val="6"/>
              <w:spacing w:before="20" w:line="219" w:lineRule="auto"/>
              <w:ind w:left="163"/>
              <w:rPr>
                <w:sz w:val="21"/>
                <w:szCs w:val="21"/>
              </w:rPr>
            </w:pPr>
            <w:r>
              <w:rPr>
                <w:spacing w:val="8"/>
                <w:sz w:val="21"/>
                <w:szCs w:val="21"/>
              </w:rPr>
              <w:t>内倾倒、填埋、堆放、弃置、</w:t>
            </w:r>
          </w:p>
          <w:p w14:paraId="7B5118DE">
            <w:pPr>
              <w:pStyle w:val="6"/>
              <w:spacing w:before="21" w:line="220" w:lineRule="auto"/>
              <w:ind w:left="163"/>
              <w:rPr>
                <w:sz w:val="21"/>
                <w:szCs w:val="21"/>
              </w:rPr>
            </w:pPr>
            <w:r>
              <w:rPr>
                <w:spacing w:val="1"/>
                <w:sz w:val="21"/>
                <w:szCs w:val="21"/>
              </w:rPr>
              <w:t>处理固体废物。长江流域县级</w:t>
            </w:r>
          </w:p>
          <w:p w14:paraId="00A83981">
            <w:pPr>
              <w:pStyle w:val="6"/>
              <w:spacing w:before="37" w:line="219" w:lineRule="auto"/>
              <w:ind w:left="163"/>
              <w:rPr>
                <w:sz w:val="21"/>
                <w:szCs w:val="21"/>
              </w:rPr>
            </w:pPr>
            <w:r>
              <w:rPr>
                <w:sz w:val="21"/>
                <w:szCs w:val="21"/>
              </w:rPr>
              <w:t>以上地方人民政府应当加强对</w:t>
            </w:r>
          </w:p>
          <w:p w14:paraId="1226F1EF">
            <w:pPr>
              <w:pStyle w:val="6"/>
              <w:spacing w:before="23" w:line="219" w:lineRule="auto"/>
              <w:ind w:left="163"/>
              <w:rPr>
                <w:sz w:val="21"/>
                <w:szCs w:val="21"/>
              </w:rPr>
            </w:pPr>
            <w:r>
              <w:rPr>
                <w:sz w:val="21"/>
                <w:szCs w:val="21"/>
              </w:rPr>
              <w:t>固体废物非法转移和倾倒的联</w:t>
            </w:r>
          </w:p>
          <w:p w14:paraId="26805A84">
            <w:pPr>
              <w:pStyle w:val="6"/>
              <w:spacing w:before="11" w:line="204" w:lineRule="auto"/>
              <w:ind w:left="1052"/>
              <w:rPr>
                <w:sz w:val="21"/>
                <w:szCs w:val="21"/>
              </w:rPr>
            </w:pPr>
            <w:r>
              <w:rPr>
                <w:spacing w:val="-1"/>
                <w:sz w:val="21"/>
                <w:szCs w:val="21"/>
              </w:rPr>
              <w:t>防联控。</w:t>
            </w:r>
          </w:p>
        </w:tc>
        <w:tc>
          <w:tcPr>
            <w:tcW w:w="2507" w:type="dxa"/>
            <w:vAlign w:val="top"/>
          </w:tcPr>
          <w:p w14:paraId="23F7A0D0">
            <w:pPr>
              <w:spacing w:line="386" w:lineRule="auto"/>
              <w:rPr>
                <w:rFonts w:ascii="Arial"/>
                <w:sz w:val="21"/>
              </w:rPr>
            </w:pPr>
          </w:p>
          <w:p w14:paraId="3B9A6437">
            <w:pPr>
              <w:pStyle w:val="6"/>
              <w:spacing w:before="68" w:line="219" w:lineRule="auto"/>
              <w:ind w:left="196"/>
              <w:rPr>
                <w:sz w:val="21"/>
                <w:szCs w:val="21"/>
              </w:rPr>
            </w:pPr>
            <w:r>
              <w:rPr>
                <w:sz w:val="21"/>
                <w:szCs w:val="21"/>
              </w:rPr>
              <w:t>项目固废均得到100%合</w:t>
            </w:r>
          </w:p>
          <w:p w14:paraId="0A3886E3">
            <w:pPr>
              <w:pStyle w:val="6"/>
              <w:spacing w:before="21" w:line="219" w:lineRule="auto"/>
              <w:ind w:left="96"/>
              <w:rPr>
                <w:sz w:val="21"/>
                <w:szCs w:val="21"/>
              </w:rPr>
            </w:pPr>
            <w:r>
              <w:rPr>
                <w:spacing w:val="-1"/>
                <w:sz w:val="21"/>
                <w:szCs w:val="21"/>
              </w:rPr>
              <w:t>理处置，不向水体进行倾</w:t>
            </w:r>
          </w:p>
          <w:p w14:paraId="1E0926F7">
            <w:pPr>
              <w:pStyle w:val="6"/>
              <w:spacing w:before="1" w:line="220" w:lineRule="auto"/>
              <w:ind w:left="1086"/>
              <w:rPr>
                <w:sz w:val="21"/>
                <w:szCs w:val="21"/>
              </w:rPr>
            </w:pPr>
            <w:r>
              <w:rPr>
                <w:spacing w:val="2"/>
                <w:sz w:val="21"/>
                <w:szCs w:val="21"/>
              </w:rPr>
              <w:t>倒。</w:t>
            </w:r>
          </w:p>
        </w:tc>
        <w:tc>
          <w:tcPr>
            <w:tcW w:w="879" w:type="dxa"/>
            <w:vAlign w:val="top"/>
          </w:tcPr>
          <w:p w14:paraId="4B728465">
            <w:pPr>
              <w:spacing w:line="327" w:lineRule="auto"/>
              <w:rPr>
                <w:rFonts w:ascii="Arial"/>
                <w:sz w:val="21"/>
              </w:rPr>
            </w:pPr>
          </w:p>
          <w:p w14:paraId="22B2AABB">
            <w:pPr>
              <w:spacing w:line="327" w:lineRule="auto"/>
              <w:rPr>
                <w:rFonts w:ascii="Arial"/>
                <w:sz w:val="21"/>
              </w:rPr>
            </w:pPr>
          </w:p>
          <w:p w14:paraId="108BEA81">
            <w:pPr>
              <w:pStyle w:val="6"/>
              <w:spacing w:before="68" w:line="219" w:lineRule="auto"/>
              <w:ind w:left="229"/>
              <w:rPr>
                <w:sz w:val="21"/>
                <w:szCs w:val="21"/>
              </w:rPr>
            </w:pPr>
            <w:r>
              <w:rPr>
                <w:spacing w:val="-3"/>
                <w:sz w:val="21"/>
                <w:szCs w:val="21"/>
              </w:rPr>
              <w:t>符合</w:t>
            </w:r>
          </w:p>
        </w:tc>
        <w:tc>
          <w:tcPr>
            <w:tcW w:w="185" w:type="dxa"/>
            <w:vMerge w:val="continue"/>
            <w:tcBorders>
              <w:top w:val="nil"/>
              <w:bottom w:val="nil"/>
            </w:tcBorders>
            <w:vAlign w:val="top"/>
          </w:tcPr>
          <w:p w14:paraId="3592749B">
            <w:pPr>
              <w:rPr>
                <w:rFonts w:ascii="Arial"/>
                <w:sz w:val="21"/>
              </w:rPr>
            </w:pPr>
          </w:p>
        </w:tc>
      </w:tr>
      <w:tr w14:paraId="3BA6B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1573" w:type="dxa"/>
            <w:vMerge w:val="continue"/>
            <w:tcBorders>
              <w:top w:val="nil"/>
              <w:bottom w:val="nil"/>
            </w:tcBorders>
            <w:vAlign w:val="top"/>
          </w:tcPr>
          <w:p w14:paraId="4A3BEB37">
            <w:pPr>
              <w:rPr>
                <w:rFonts w:ascii="Arial"/>
                <w:sz w:val="21"/>
              </w:rPr>
            </w:pPr>
          </w:p>
        </w:tc>
        <w:tc>
          <w:tcPr>
            <w:tcW w:w="609" w:type="dxa"/>
            <w:textDirection w:val="tbRlV"/>
            <w:vAlign w:val="top"/>
          </w:tcPr>
          <w:p w14:paraId="4D60ADE8">
            <w:pPr>
              <w:pStyle w:val="6"/>
              <w:spacing w:before="206" w:line="200" w:lineRule="auto"/>
              <w:ind w:left="98"/>
              <w:rPr>
                <w:sz w:val="21"/>
                <w:szCs w:val="21"/>
              </w:rPr>
            </w:pPr>
            <w:r>
              <w:rPr>
                <w:sz w:val="21"/>
                <w:szCs w:val="21"/>
              </w:rPr>
              <w:t>第</w:t>
            </w:r>
            <w:r>
              <w:rPr>
                <w:spacing w:val="-29"/>
                <w:sz w:val="21"/>
                <w:szCs w:val="21"/>
              </w:rPr>
              <w:t xml:space="preserve"> </w:t>
            </w:r>
            <w:r>
              <w:rPr>
                <w:sz w:val="21"/>
                <w:szCs w:val="21"/>
              </w:rPr>
              <w:t>五</w:t>
            </w:r>
            <w:r>
              <w:rPr>
                <w:spacing w:val="-29"/>
                <w:sz w:val="21"/>
                <w:szCs w:val="21"/>
              </w:rPr>
              <w:t xml:space="preserve"> </w:t>
            </w:r>
            <w:r>
              <w:rPr>
                <w:sz w:val="21"/>
                <w:szCs w:val="21"/>
              </w:rPr>
              <w:t>十</w:t>
            </w:r>
            <w:r>
              <w:rPr>
                <w:spacing w:val="-29"/>
                <w:sz w:val="21"/>
                <w:szCs w:val="21"/>
              </w:rPr>
              <w:t xml:space="preserve"> </w:t>
            </w:r>
            <w:r>
              <w:rPr>
                <w:sz w:val="21"/>
                <w:szCs w:val="21"/>
              </w:rPr>
              <w:t>一</w:t>
            </w:r>
            <w:r>
              <w:rPr>
                <w:spacing w:val="-29"/>
                <w:sz w:val="21"/>
                <w:szCs w:val="21"/>
              </w:rPr>
              <w:t xml:space="preserve"> </w:t>
            </w:r>
            <w:r>
              <w:rPr>
                <w:sz w:val="21"/>
                <w:szCs w:val="21"/>
              </w:rPr>
              <w:t>条</w:t>
            </w:r>
          </w:p>
        </w:tc>
        <w:tc>
          <w:tcPr>
            <w:tcW w:w="3077" w:type="dxa"/>
            <w:vAlign w:val="top"/>
          </w:tcPr>
          <w:p w14:paraId="4AA93ADA">
            <w:pPr>
              <w:spacing w:line="347" w:lineRule="auto"/>
              <w:rPr>
                <w:rFonts w:ascii="Arial"/>
                <w:sz w:val="21"/>
              </w:rPr>
            </w:pPr>
          </w:p>
          <w:p w14:paraId="6316715C">
            <w:pPr>
              <w:pStyle w:val="6"/>
              <w:spacing w:before="68" w:line="219" w:lineRule="auto"/>
              <w:ind w:left="163"/>
              <w:rPr>
                <w:sz w:val="21"/>
                <w:szCs w:val="21"/>
              </w:rPr>
            </w:pPr>
            <w:r>
              <w:rPr>
                <w:spacing w:val="-1"/>
                <w:sz w:val="21"/>
                <w:szCs w:val="21"/>
              </w:rPr>
              <w:t>禁止在长江流域水上运输剧毒</w:t>
            </w:r>
          </w:p>
          <w:p w14:paraId="0C7BFD58">
            <w:pPr>
              <w:pStyle w:val="6"/>
              <w:spacing w:before="21" w:line="219" w:lineRule="auto"/>
              <w:ind w:left="163"/>
              <w:rPr>
                <w:sz w:val="21"/>
                <w:szCs w:val="21"/>
              </w:rPr>
            </w:pPr>
            <w:r>
              <w:rPr>
                <w:spacing w:val="2"/>
                <w:sz w:val="21"/>
                <w:szCs w:val="21"/>
              </w:rPr>
              <w:t>化学品和国家规定禁止通过内</w:t>
            </w:r>
          </w:p>
          <w:p w14:paraId="1C717902">
            <w:pPr>
              <w:pStyle w:val="6"/>
              <w:spacing w:before="20" w:line="219" w:lineRule="auto"/>
              <w:ind w:left="323"/>
              <w:rPr>
                <w:sz w:val="21"/>
                <w:szCs w:val="21"/>
              </w:rPr>
            </w:pPr>
            <w:r>
              <w:rPr>
                <w:spacing w:val="-1"/>
                <w:sz w:val="21"/>
                <w:szCs w:val="21"/>
              </w:rPr>
              <w:t>河运输的其他危险化学品。</w:t>
            </w:r>
          </w:p>
        </w:tc>
        <w:tc>
          <w:tcPr>
            <w:tcW w:w="2507" w:type="dxa"/>
            <w:vAlign w:val="top"/>
          </w:tcPr>
          <w:p w14:paraId="74B145D2">
            <w:pPr>
              <w:spacing w:line="477" w:lineRule="auto"/>
              <w:rPr>
                <w:rFonts w:ascii="Arial"/>
                <w:sz w:val="21"/>
              </w:rPr>
            </w:pPr>
          </w:p>
          <w:p w14:paraId="77E851AD">
            <w:pPr>
              <w:pStyle w:val="6"/>
              <w:spacing w:before="68" w:line="219" w:lineRule="auto"/>
              <w:ind w:left="96"/>
              <w:rPr>
                <w:sz w:val="21"/>
                <w:szCs w:val="21"/>
              </w:rPr>
            </w:pPr>
            <w:r>
              <w:rPr>
                <w:spacing w:val="-1"/>
                <w:sz w:val="21"/>
                <w:szCs w:val="21"/>
              </w:rPr>
              <w:t>项目所需物料均为陆域运</w:t>
            </w:r>
          </w:p>
          <w:p w14:paraId="33EC7E31">
            <w:pPr>
              <w:pStyle w:val="6"/>
              <w:spacing w:line="219" w:lineRule="auto"/>
              <w:ind w:left="1086"/>
              <w:rPr>
                <w:sz w:val="21"/>
                <w:szCs w:val="21"/>
              </w:rPr>
            </w:pPr>
            <w:r>
              <w:rPr>
                <w:spacing w:val="2"/>
                <w:sz w:val="21"/>
                <w:szCs w:val="21"/>
              </w:rPr>
              <w:t>输。</w:t>
            </w:r>
          </w:p>
        </w:tc>
        <w:tc>
          <w:tcPr>
            <w:tcW w:w="879" w:type="dxa"/>
            <w:vAlign w:val="top"/>
          </w:tcPr>
          <w:p w14:paraId="1F13D688">
            <w:pPr>
              <w:spacing w:line="307" w:lineRule="auto"/>
              <w:rPr>
                <w:rFonts w:ascii="Arial"/>
                <w:sz w:val="21"/>
              </w:rPr>
            </w:pPr>
          </w:p>
          <w:p w14:paraId="46F0C589">
            <w:pPr>
              <w:spacing w:line="308" w:lineRule="auto"/>
              <w:rPr>
                <w:rFonts w:ascii="Arial"/>
                <w:sz w:val="21"/>
              </w:rPr>
            </w:pPr>
          </w:p>
          <w:p w14:paraId="3E13BF28">
            <w:pPr>
              <w:pStyle w:val="6"/>
              <w:spacing w:before="68" w:line="219" w:lineRule="auto"/>
              <w:ind w:left="229"/>
              <w:rPr>
                <w:sz w:val="21"/>
                <w:szCs w:val="21"/>
              </w:rPr>
            </w:pPr>
            <w:r>
              <w:rPr>
                <w:spacing w:val="-3"/>
                <w:sz w:val="21"/>
                <w:szCs w:val="21"/>
              </w:rPr>
              <w:t>符合</w:t>
            </w:r>
          </w:p>
        </w:tc>
        <w:tc>
          <w:tcPr>
            <w:tcW w:w="185" w:type="dxa"/>
            <w:vMerge w:val="continue"/>
            <w:tcBorders>
              <w:top w:val="nil"/>
            </w:tcBorders>
            <w:vAlign w:val="top"/>
          </w:tcPr>
          <w:p w14:paraId="08BE3D77">
            <w:pPr>
              <w:rPr>
                <w:rFonts w:ascii="Arial"/>
                <w:sz w:val="21"/>
              </w:rPr>
            </w:pPr>
          </w:p>
        </w:tc>
      </w:tr>
      <w:tr w14:paraId="271CF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573" w:type="dxa"/>
            <w:vMerge w:val="continue"/>
            <w:tcBorders>
              <w:top w:val="nil"/>
            </w:tcBorders>
            <w:vAlign w:val="top"/>
          </w:tcPr>
          <w:p w14:paraId="7F258257">
            <w:pPr>
              <w:rPr>
                <w:rFonts w:ascii="Arial"/>
                <w:sz w:val="21"/>
              </w:rPr>
            </w:pPr>
          </w:p>
        </w:tc>
        <w:tc>
          <w:tcPr>
            <w:tcW w:w="7257" w:type="dxa"/>
            <w:gridSpan w:val="5"/>
            <w:vAlign w:val="top"/>
          </w:tcPr>
          <w:p w14:paraId="35A04597">
            <w:pPr>
              <w:pStyle w:val="6"/>
              <w:spacing w:before="48" w:line="219" w:lineRule="auto"/>
              <w:ind w:left="732"/>
              <w:rPr>
                <w:sz w:val="21"/>
                <w:szCs w:val="21"/>
              </w:rPr>
            </w:pPr>
            <w:r>
              <w:rPr>
                <w:sz w:val="21"/>
                <w:szCs w:val="21"/>
              </w:rPr>
              <w:t>根据上述分析，项目建设符合《中华人民共和国长</w:t>
            </w:r>
            <w:r>
              <w:rPr>
                <w:spacing w:val="-1"/>
                <w:sz w:val="21"/>
                <w:szCs w:val="21"/>
              </w:rPr>
              <w:t>江保护法》。</w:t>
            </w:r>
          </w:p>
          <w:p w14:paraId="05F709EB">
            <w:pPr>
              <w:pStyle w:val="6"/>
              <w:spacing w:before="217" w:line="219" w:lineRule="auto"/>
              <w:ind w:left="735"/>
              <w:rPr>
                <w:sz w:val="21"/>
                <w:szCs w:val="21"/>
              </w:rPr>
            </w:pPr>
            <w:r>
              <w:rPr>
                <w:b/>
                <w:bCs/>
                <w:spacing w:val="-2"/>
                <w:sz w:val="21"/>
                <w:szCs w:val="21"/>
              </w:rPr>
              <w:t>12、与《云南省推动长江经济带发展领导小组办公室关</w:t>
            </w:r>
            <w:r>
              <w:rPr>
                <w:b/>
                <w:bCs/>
                <w:spacing w:val="-3"/>
                <w:sz w:val="21"/>
                <w:szCs w:val="21"/>
              </w:rPr>
              <w:t>于印发&lt;</w:t>
            </w:r>
          </w:p>
        </w:tc>
      </w:tr>
    </w:tbl>
    <w:p w14:paraId="476EC969">
      <w:pPr>
        <w:pStyle w:val="2"/>
      </w:pPr>
    </w:p>
    <w:p w14:paraId="65543523">
      <w:pPr>
        <w:sectPr>
          <w:footerReference r:id="rId25" w:type="default"/>
          <w:pgSz w:w="11910" w:h="16840"/>
          <w:pgMar w:top="1431" w:right="1574" w:bottom="1269" w:left="1494" w:header="0" w:footer="1089" w:gutter="0"/>
          <w:cols w:space="720" w:num="1"/>
        </w:sectPr>
      </w:pPr>
    </w:p>
    <w:p w14:paraId="3530EA44">
      <w:pPr>
        <w:spacing w:line="93" w:lineRule="exact"/>
      </w:pPr>
    </w:p>
    <w:tbl>
      <w:tblPr>
        <w:tblStyle w:val="5"/>
        <w:tblW w:w="87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100"/>
        <w:gridCol w:w="669"/>
        <w:gridCol w:w="4046"/>
        <w:gridCol w:w="1568"/>
        <w:gridCol w:w="814"/>
      </w:tblGrid>
      <w:tr w14:paraId="6C3BB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2" w:hRule="atLeast"/>
        </w:trPr>
        <w:tc>
          <w:tcPr>
            <w:tcW w:w="1563" w:type="dxa"/>
            <w:vMerge w:val="restart"/>
            <w:tcBorders>
              <w:bottom w:val="nil"/>
            </w:tcBorders>
            <w:vAlign w:val="top"/>
          </w:tcPr>
          <w:p w14:paraId="4DDEE6C7">
            <w:pPr>
              <w:rPr>
                <w:rFonts w:ascii="Arial"/>
                <w:sz w:val="21"/>
              </w:rPr>
            </w:pPr>
          </w:p>
        </w:tc>
        <w:tc>
          <w:tcPr>
            <w:tcW w:w="7197" w:type="dxa"/>
            <w:gridSpan w:val="5"/>
            <w:vAlign w:val="top"/>
          </w:tcPr>
          <w:p w14:paraId="586E30FB">
            <w:pPr>
              <w:pStyle w:val="6"/>
              <w:spacing w:before="30" w:line="401" w:lineRule="auto"/>
              <w:ind w:left="15"/>
              <w:rPr>
                <w:sz w:val="21"/>
                <w:szCs w:val="21"/>
              </w:rPr>
            </w:pPr>
            <w:r>
              <w:rPr>
                <w:b/>
                <w:bCs/>
                <w:spacing w:val="35"/>
                <w:sz w:val="21"/>
                <w:szCs w:val="21"/>
              </w:rPr>
              <w:t>云南省长江经济带发展负面清单指南实施细则(试行，202</w:t>
            </w:r>
            <w:r>
              <w:rPr>
                <w:b/>
                <w:bCs/>
                <w:spacing w:val="34"/>
                <w:sz w:val="21"/>
                <w:szCs w:val="21"/>
              </w:rPr>
              <w:t>2年版)&gt;</w:t>
            </w:r>
            <w:r>
              <w:rPr>
                <w:sz w:val="21"/>
                <w:szCs w:val="21"/>
              </w:rPr>
              <w:t xml:space="preserve"> </w:t>
            </w:r>
            <w:r>
              <w:rPr>
                <w:b/>
                <w:bCs/>
                <w:spacing w:val="-5"/>
                <w:sz w:val="21"/>
                <w:szCs w:val="21"/>
              </w:rPr>
              <w:t>的通知》</w:t>
            </w:r>
          </w:p>
          <w:p w14:paraId="503A5A36">
            <w:pPr>
              <w:pStyle w:val="6"/>
              <w:spacing w:before="31" w:line="219" w:lineRule="auto"/>
              <w:ind w:left="462"/>
              <w:rPr>
                <w:sz w:val="21"/>
                <w:szCs w:val="21"/>
              </w:rPr>
            </w:pPr>
            <w:r>
              <w:rPr>
                <w:sz w:val="21"/>
                <w:szCs w:val="21"/>
              </w:rPr>
              <w:t>项目与《云南省推动长江经济带发展领导小组办公室关于印发&lt;</w:t>
            </w:r>
          </w:p>
          <w:p w14:paraId="2D7496B6">
            <w:pPr>
              <w:pStyle w:val="6"/>
              <w:spacing w:before="210" w:line="412" w:lineRule="auto"/>
              <w:ind w:left="12"/>
              <w:rPr>
                <w:sz w:val="21"/>
                <w:szCs w:val="21"/>
              </w:rPr>
            </w:pPr>
            <w:r>
              <w:rPr>
                <w:spacing w:val="37"/>
                <w:sz w:val="21"/>
                <w:szCs w:val="21"/>
              </w:rPr>
              <w:t>云南省长江经济带发展负面清单指南实施细则(试行，2022年版)&gt;</w:t>
            </w:r>
            <w:r>
              <w:rPr>
                <w:spacing w:val="4"/>
                <w:sz w:val="21"/>
                <w:szCs w:val="21"/>
              </w:rPr>
              <w:t xml:space="preserve"> </w:t>
            </w:r>
            <w:r>
              <w:rPr>
                <w:spacing w:val="1"/>
                <w:sz w:val="21"/>
                <w:szCs w:val="21"/>
              </w:rPr>
              <w:t>的通知》的相符性分析详见表1-11:</w:t>
            </w:r>
          </w:p>
          <w:p w14:paraId="4AC51393">
            <w:pPr>
              <w:pStyle w:val="6"/>
              <w:spacing w:line="260" w:lineRule="auto"/>
              <w:ind w:left="2379" w:hanging="2354"/>
              <w:rPr>
                <w:sz w:val="21"/>
                <w:szCs w:val="21"/>
              </w:rPr>
            </w:pPr>
            <w:r>
              <w:rPr>
                <w:b/>
                <w:bCs/>
                <w:spacing w:val="32"/>
                <w:sz w:val="21"/>
                <w:szCs w:val="21"/>
              </w:rPr>
              <w:t>表1</w:t>
            </w:r>
            <w:r>
              <w:rPr>
                <w:spacing w:val="-55"/>
                <w:sz w:val="21"/>
                <w:szCs w:val="21"/>
              </w:rPr>
              <w:t xml:space="preserve"> </w:t>
            </w:r>
            <w:r>
              <w:rPr>
                <w:b/>
                <w:bCs/>
                <w:spacing w:val="32"/>
                <w:sz w:val="21"/>
                <w:szCs w:val="21"/>
              </w:rPr>
              <w:t>-</w:t>
            </w:r>
            <w:r>
              <w:rPr>
                <w:spacing w:val="-40"/>
                <w:sz w:val="21"/>
                <w:szCs w:val="21"/>
              </w:rPr>
              <w:t xml:space="preserve"> </w:t>
            </w:r>
            <w:r>
              <w:rPr>
                <w:b/>
                <w:bCs/>
                <w:spacing w:val="32"/>
                <w:sz w:val="21"/>
                <w:szCs w:val="21"/>
              </w:rPr>
              <w:t>11与《云南省长江经济带发展负面清单指南实施细则(试行，</w:t>
            </w:r>
            <w:r>
              <w:rPr>
                <w:sz w:val="21"/>
                <w:szCs w:val="21"/>
              </w:rPr>
              <w:t xml:space="preserve"> </w:t>
            </w:r>
            <w:r>
              <w:rPr>
                <w:b/>
                <w:bCs/>
                <w:spacing w:val="-14"/>
                <w:sz w:val="21"/>
                <w:szCs w:val="21"/>
              </w:rPr>
              <w:t>2</w:t>
            </w:r>
            <w:r>
              <w:rPr>
                <w:spacing w:val="-43"/>
                <w:sz w:val="21"/>
                <w:szCs w:val="21"/>
              </w:rPr>
              <w:t xml:space="preserve"> </w:t>
            </w:r>
            <w:r>
              <w:rPr>
                <w:b/>
                <w:bCs/>
                <w:spacing w:val="-14"/>
                <w:sz w:val="21"/>
                <w:szCs w:val="21"/>
              </w:rPr>
              <w:t>0</w:t>
            </w:r>
            <w:r>
              <w:rPr>
                <w:spacing w:val="-46"/>
                <w:sz w:val="21"/>
                <w:szCs w:val="21"/>
              </w:rPr>
              <w:t xml:space="preserve"> </w:t>
            </w:r>
            <w:r>
              <w:rPr>
                <w:b/>
                <w:bCs/>
                <w:spacing w:val="-14"/>
                <w:sz w:val="21"/>
                <w:szCs w:val="21"/>
              </w:rPr>
              <w:t>2</w:t>
            </w:r>
            <w:r>
              <w:rPr>
                <w:spacing w:val="-45"/>
                <w:sz w:val="21"/>
                <w:szCs w:val="21"/>
              </w:rPr>
              <w:t xml:space="preserve"> </w:t>
            </w:r>
            <w:r>
              <w:rPr>
                <w:b/>
                <w:bCs/>
                <w:spacing w:val="-14"/>
                <w:sz w:val="21"/>
                <w:szCs w:val="21"/>
              </w:rPr>
              <w:t>2</w:t>
            </w:r>
            <w:r>
              <w:rPr>
                <w:spacing w:val="-47"/>
                <w:sz w:val="21"/>
                <w:szCs w:val="21"/>
              </w:rPr>
              <w:t xml:space="preserve"> </w:t>
            </w:r>
            <w:r>
              <w:rPr>
                <w:b/>
                <w:bCs/>
                <w:spacing w:val="-14"/>
                <w:sz w:val="21"/>
                <w:szCs w:val="21"/>
              </w:rPr>
              <w:t>年</w:t>
            </w:r>
            <w:r>
              <w:rPr>
                <w:spacing w:val="-48"/>
                <w:sz w:val="21"/>
                <w:szCs w:val="21"/>
              </w:rPr>
              <w:t xml:space="preserve"> </w:t>
            </w:r>
            <w:r>
              <w:rPr>
                <w:b/>
                <w:bCs/>
                <w:spacing w:val="-14"/>
                <w:sz w:val="21"/>
                <w:szCs w:val="21"/>
              </w:rPr>
              <w:t>版</w:t>
            </w:r>
            <w:r>
              <w:rPr>
                <w:spacing w:val="-47"/>
                <w:sz w:val="21"/>
                <w:szCs w:val="21"/>
              </w:rPr>
              <w:t xml:space="preserve"> </w:t>
            </w:r>
            <w:r>
              <w:rPr>
                <w:b/>
                <w:bCs/>
                <w:spacing w:val="-14"/>
                <w:sz w:val="21"/>
                <w:szCs w:val="21"/>
              </w:rPr>
              <w:t>)</w:t>
            </w:r>
            <w:r>
              <w:rPr>
                <w:spacing w:val="-36"/>
                <w:sz w:val="21"/>
                <w:szCs w:val="21"/>
              </w:rPr>
              <w:t xml:space="preserve"> </w:t>
            </w:r>
            <w:r>
              <w:rPr>
                <w:b/>
                <w:bCs/>
                <w:spacing w:val="-14"/>
                <w:sz w:val="21"/>
                <w:szCs w:val="21"/>
              </w:rPr>
              <w:t>》</w:t>
            </w:r>
            <w:r>
              <w:rPr>
                <w:spacing w:val="-31"/>
                <w:sz w:val="21"/>
                <w:szCs w:val="21"/>
              </w:rPr>
              <w:t xml:space="preserve"> </w:t>
            </w:r>
            <w:r>
              <w:rPr>
                <w:b/>
                <w:bCs/>
                <w:spacing w:val="-14"/>
                <w:sz w:val="21"/>
                <w:szCs w:val="21"/>
              </w:rPr>
              <w:t>的</w:t>
            </w:r>
            <w:r>
              <w:rPr>
                <w:spacing w:val="-47"/>
                <w:sz w:val="21"/>
                <w:szCs w:val="21"/>
              </w:rPr>
              <w:t xml:space="preserve"> </w:t>
            </w:r>
            <w:r>
              <w:rPr>
                <w:b/>
                <w:bCs/>
                <w:spacing w:val="-14"/>
                <w:sz w:val="21"/>
                <w:szCs w:val="21"/>
              </w:rPr>
              <w:t>符</w:t>
            </w:r>
            <w:r>
              <w:rPr>
                <w:spacing w:val="-47"/>
                <w:sz w:val="21"/>
                <w:szCs w:val="21"/>
              </w:rPr>
              <w:t xml:space="preserve"> </w:t>
            </w:r>
            <w:r>
              <w:rPr>
                <w:b/>
                <w:bCs/>
                <w:spacing w:val="-14"/>
                <w:sz w:val="21"/>
                <w:szCs w:val="21"/>
              </w:rPr>
              <w:t>合</w:t>
            </w:r>
            <w:r>
              <w:rPr>
                <w:spacing w:val="-46"/>
                <w:sz w:val="21"/>
                <w:szCs w:val="21"/>
              </w:rPr>
              <w:t xml:space="preserve"> </w:t>
            </w:r>
            <w:r>
              <w:rPr>
                <w:b/>
                <w:bCs/>
                <w:spacing w:val="-14"/>
                <w:sz w:val="21"/>
                <w:szCs w:val="21"/>
              </w:rPr>
              <w:t>性</w:t>
            </w:r>
          </w:p>
        </w:tc>
      </w:tr>
      <w:tr w14:paraId="660B4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563" w:type="dxa"/>
            <w:vMerge w:val="continue"/>
            <w:tcBorders>
              <w:top w:val="nil"/>
              <w:bottom w:val="nil"/>
            </w:tcBorders>
            <w:vAlign w:val="top"/>
          </w:tcPr>
          <w:p w14:paraId="526D9449">
            <w:pPr>
              <w:rPr>
                <w:rFonts w:ascii="Arial"/>
                <w:sz w:val="21"/>
              </w:rPr>
            </w:pPr>
          </w:p>
        </w:tc>
        <w:tc>
          <w:tcPr>
            <w:tcW w:w="100" w:type="dxa"/>
            <w:tcBorders>
              <w:bottom w:val="nil"/>
            </w:tcBorders>
            <w:shd w:val="clear" w:color="auto" w:fill="FFFFFF"/>
            <w:vAlign w:val="top"/>
          </w:tcPr>
          <w:p w14:paraId="10B95E6A">
            <w:pPr>
              <w:rPr>
                <w:rFonts w:ascii="Arial"/>
                <w:sz w:val="21"/>
              </w:rPr>
            </w:pPr>
          </w:p>
        </w:tc>
        <w:tc>
          <w:tcPr>
            <w:tcW w:w="4715" w:type="dxa"/>
            <w:gridSpan w:val="2"/>
            <w:vAlign w:val="top"/>
          </w:tcPr>
          <w:p w14:paraId="61E493E5">
            <w:pPr>
              <w:pStyle w:val="6"/>
              <w:spacing w:before="171" w:line="219" w:lineRule="auto"/>
              <w:ind w:left="1532"/>
              <w:rPr>
                <w:sz w:val="21"/>
                <w:szCs w:val="21"/>
              </w:rPr>
            </w:pPr>
            <w:r>
              <w:rPr>
                <w:spacing w:val="1"/>
                <w:sz w:val="21"/>
                <w:szCs w:val="21"/>
              </w:rPr>
              <w:t>负面清单指南要求</w:t>
            </w:r>
          </w:p>
        </w:tc>
        <w:tc>
          <w:tcPr>
            <w:tcW w:w="1568" w:type="dxa"/>
            <w:vAlign w:val="top"/>
          </w:tcPr>
          <w:p w14:paraId="1D3B0CD4">
            <w:pPr>
              <w:pStyle w:val="6"/>
              <w:spacing w:before="172" w:line="220" w:lineRule="auto"/>
              <w:ind w:left="357"/>
              <w:rPr>
                <w:sz w:val="21"/>
                <w:szCs w:val="21"/>
              </w:rPr>
            </w:pPr>
            <w:r>
              <w:rPr>
                <w:spacing w:val="2"/>
                <w:sz w:val="21"/>
                <w:szCs w:val="21"/>
              </w:rPr>
              <w:t>项目情况</w:t>
            </w:r>
          </w:p>
        </w:tc>
        <w:tc>
          <w:tcPr>
            <w:tcW w:w="814" w:type="dxa"/>
            <w:vAlign w:val="top"/>
          </w:tcPr>
          <w:p w14:paraId="6AF3B667">
            <w:pPr>
              <w:pStyle w:val="6"/>
              <w:spacing w:before="11" w:line="228" w:lineRule="auto"/>
              <w:ind w:left="299" w:right="203" w:hanging="110"/>
              <w:rPr>
                <w:sz w:val="21"/>
                <w:szCs w:val="21"/>
              </w:rPr>
            </w:pPr>
            <w:r>
              <w:rPr>
                <w:spacing w:val="-5"/>
                <w:sz w:val="21"/>
                <w:szCs w:val="21"/>
              </w:rPr>
              <w:t>相符</w:t>
            </w:r>
            <w:r>
              <w:rPr>
                <w:sz w:val="21"/>
                <w:szCs w:val="21"/>
              </w:rPr>
              <w:t xml:space="preserve"> 性</w:t>
            </w:r>
          </w:p>
        </w:tc>
      </w:tr>
      <w:tr w14:paraId="4B9E8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1563" w:type="dxa"/>
            <w:vMerge w:val="continue"/>
            <w:tcBorders>
              <w:top w:val="nil"/>
              <w:bottom w:val="nil"/>
            </w:tcBorders>
            <w:vAlign w:val="top"/>
          </w:tcPr>
          <w:p w14:paraId="14FB2EF3">
            <w:pPr>
              <w:rPr>
                <w:rFonts w:ascii="Arial"/>
                <w:sz w:val="21"/>
              </w:rPr>
            </w:pPr>
          </w:p>
        </w:tc>
        <w:tc>
          <w:tcPr>
            <w:tcW w:w="100" w:type="dxa"/>
            <w:tcBorders>
              <w:top w:val="nil"/>
              <w:bottom w:val="nil"/>
            </w:tcBorders>
            <w:shd w:val="clear" w:color="auto" w:fill="FFFFFF"/>
            <w:vAlign w:val="top"/>
          </w:tcPr>
          <w:p w14:paraId="2A4C08BC">
            <w:pPr>
              <w:rPr>
                <w:rFonts w:ascii="Arial"/>
                <w:sz w:val="21"/>
              </w:rPr>
            </w:pPr>
          </w:p>
        </w:tc>
        <w:tc>
          <w:tcPr>
            <w:tcW w:w="669" w:type="dxa"/>
            <w:textDirection w:val="tbRlV"/>
            <w:vAlign w:val="top"/>
          </w:tcPr>
          <w:p w14:paraId="2F24E557">
            <w:pPr>
              <w:pStyle w:val="6"/>
              <w:spacing w:before="246" w:line="200" w:lineRule="auto"/>
              <w:ind w:left="542"/>
              <w:rPr>
                <w:sz w:val="21"/>
                <w:szCs w:val="21"/>
              </w:rPr>
            </w:pPr>
            <w:r>
              <w:rPr>
                <w:sz w:val="21"/>
                <w:szCs w:val="21"/>
              </w:rPr>
              <w:t>第</w:t>
            </w:r>
            <w:r>
              <w:rPr>
                <w:spacing w:val="-13"/>
                <w:sz w:val="21"/>
                <w:szCs w:val="21"/>
              </w:rPr>
              <w:t xml:space="preserve"> </w:t>
            </w:r>
            <w:r>
              <w:rPr>
                <w:sz w:val="21"/>
                <w:szCs w:val="21"/>
              </w:rPr>
              <w:t>一</w:t>
            </w:r>
            <w:r>
              <w:rPr>
                <w:spacing w:val="-13"/>
                <w:sz w:val="21"/>
                <w:szCs w:val="21"/>
              </w:rPr>
              <w:t xml:space="preserve"> </w:t>
            </w:r>
            <w:r>
              <w:rPr>
                <w:sz w:val="21"/>
                <w:szCs w:val="21"/>
              </w:rPr>
              <w:t>条</w:t>
            </w:r>
          </w:p>
        </w:tc>
        <w:tc>
          <w:tcPr>
            <w:tcW w:w="4046" w:type="dxa"/>
            <w:vAlign w:val="top"/>
          </w:tcPr>
          <w:p w14:paraId="7CC2C17E">
            <w:pPr>
              <w:pStyle w:val="6"/>
              <w:spacing w:before="32"/>
              <w:ind w:left="123" w:right="115"/>
              <w:rPr>
                <w:sz w:val="21"/>
                <w:szCs w:val="21"/>
              </w:rPr>
            </w:pPr>
            <w:r>
              <w:rPr>
                <w:spacing w:val="-1"/>
                <w:sz w:val="21"/>
                <w:szCs w:val="21"/>
              </w:rPr>
              <w:t>禁止新建、改建和扩建不符合《全国内河</w:t>
            </w:r>
            <w:r>
              <w:rPr>
                <w:spacing w:val="8"/>
                <w:sz w:val="21"/>
                <w:szCs w:val="21"/>
              </w:rPr>
              <w:t xml:space="preserve"> </w:t>
            </w:r>
            <w:r>
              <w:rPr>
                <w:sz w:val="21"/>
                <w:szCs w:val="21"/>
              </w:rPr>
              <w:t>航道与港口布局规划》等全国港口规划和</w:t>
            </w:r>
            <w:r>
              <w:rPr>
                <w:spacing w:val="16"/>
                <w:sz w:val="21"/>
                <w:szCs w:val="21"/>
              </w:rPr>
              <w:t xml:space="preserve"> </w:t>
            </w:r>
            <w:r>
              <w:rPr>
                <w:spacing w:val="5"/>
                <w:sz w:val="21"/>
                <w:szCs w:val="21"/>
              </w:rPr>
              <w:t>《昭通市港口码头岸线规划(金沙江段</w:t>
            </w:r>
          </w:p>
          <w:p w14:paraId="34AB179C">
            <w:pPr>
              <w:pStyle w:val="6"/>
              <w:spacing w:before="1" w:line="245" w:lineRule="auto"/>
              <w:ind w:left="232" w:right="357" w:hanging="140"/>
              <w:rPr>
                <w:sz w:val="21"/>
                <w:szCs w:val="21"/>
              </w:rPr>
            </w:pPr>
            <w:r>
              <w:rPr>
                <w:sz w:val="21"/>
                <w:szCs w:val="21"/>
              </w:rPr>
              <w:t>2019年-2035年)》、《景洪港总体规划</w:t>
            </w:r>
            <w:r>
              <w:rPr>
                <w:spacing w:val="14"/>
                <w:sz w:val="21"/>
                <w:szCs w:val="21"/>
              </w:rPr>
              <w:t xml:space="preserve"> </w:t>
            </w:r>
            <w:r>
              <w:rPr>
                <w:sz w:val="21"/>
                <w:szCs w:val="21"/>
              </w:rPr>
              <w:t>(2019-2035年)》等州(市)级以上港</w:t>
            </w:r>
          </w:p>
          <w:p w14:paraId="42583F04">
            <w:pPr>
              <w:pStyle w:val="6"/>
              <w:spacing w:line="205" w:lineRule="auto"/>
              <w:ind w:left="233"/>
              <w:rPr>
                <w:sz w:val="21"/>
                <w:szCs w:val="21"/>
              </w:rPr>
            </w:pPr>
            <w:r>
              <w:rPr>
                <w:sz w:val="21"/>
                <w:szCs w:val="21"/>
              </w:rPr>
              <w:t>口布局规划以及港口总体规划的码头项</w:t>
            </w:r>
          </w:p>
          <w:p w14:paraId="5BD8BCB7">
            <w:pPr>
              <w:pStyle w:val="6"/>
              <w:spacing w:line="222" w:lineRule="auto"/>
              <w:ind w:left="1733"/>
              <w:rPr>
                <w:sz w:val="21"/>
                <w:szCs w:val="21"/>
              </w:rPr>
            </w:pPr>
            <w:r>
              <w:rPr>
                <w:spacing w:val="-25"/>
                <w:sz w:val="21"/>
                <w:szCs w:val="21"/>
              </w:rPr>
              <w:t>目</w:t>
            </w:r>
            <w:r>
              <w:rPr>
                <w:spacing w:val="-31"/>
                <w:sz w:val="21"/>
                <w:szCs w:val="21"/>
              </w:rPr>
              <w:t xml:space="preserve"> </w:t>
            </w:r>
            <w:r>
              <w:rPr>
                <w:spacing w:val="-25"/>
                <w:sz w:val="21"/>
                <w:szCs w:val="21"/>
              </w:rPr>
              <w:t>。</w:t>
            </w:r>
          </w:p>
        </w:tc>
        <w:tc>
          <w:tcPr>
            <w:tcW w:w="1568" w:type="dxa"/>
            <w:vAlign w:val="top"/>
          </w:tcPr>
          <w:p w14:paraId="20A94282">
            <w:pPr>
              <w:spacing w:line="251" w:lineRule="auto"/>
              <w:rPr>
                <w:rFonts w:ascii="Arial"/>
                <w:sz w:val="21"/>
              </w:rPr>
            </w:pPr>
          </w:p>
          <w:p w14:paraId="4E6ECA4F">
            <w:pPr>
              <w:spacing w:line="251" w:lineRule="auto"/>
              <w:rPr>
                <w:rFonts w:ascii="Arial"/>
                <w:sz w:val="21"/>
              </w:rPr>
            </w:pPr>
          </w:p>
          <w:p w14:paraId="465114F8">
            <w:pPr>
              <w:pStyle w:val="6"/>
              <w:spacing w:before="68" w:line="248" w:lineRule="auto"/>
              <w:ind w:left="97" w:right="95" w:firstLine="159"/>
              <w:jc w:val="both"/>
              <w:rPr>
                <w:sz w:val="21"/>
                <w:szCs w:val="21"/>
              </w:rPr>
            </w:pPr>
            <w:r>
              <w:rPr>
                <w:spacing w:val="4"/>
                <w:sz w:val="21"/>
                <w:szCs w:val="21"/>
              </w:rPr>
              <w:t>项目位于曲</w:t>
            </w:r>
            <w:r>
              <w:rPr>
                <w:spacing w:val="1"/>
                <w:sz w:val="21"/>
                <w:szCs w:val="21"/>
              </w:rPr>
              <w:t xml:space="preserve">  </w:t>
            </w:r>
            <w:r>
              <w:rPr>
                <w:spacing w:val="-1"/>
                <w:sz w:val="21"/>
                <w:szCs w:val="21"/>
              </w:rPr>
              <w:t>靖市马龙区，</w:t>
            </w:r>
            <w:r>
              <w:rPr>
                <w:sz w:val="21"/>
                <w:szCs w:val="21"/>
              </w:rPr>
              <w:t xml:space="preserve">  </w:t>
            </w:r>
            <w:r>
              <w:rPr>
                <w:spacing w:val="17"/>
                <w:sz w:val="21"/>
                <w:szCs w:val="21"/>
              </w:rPr>
              <w:t>不涉及港口。</w:t>
            </w:r>
          </w:p>
        </w:tc>
        <w:tc>
          <w:tcPr>
            <w:tcW w:w="814" w:type="dxa"/>
            <w:vAlign w:val="top"/>
          </w:tcPr>
          <w:p w14:paraId="47CEF721">
            <w:pPr>
              <w:spacing w:line="262" w:lineRule="auto"/>
              <w:rPr>
                <w:rFonts w:ascii="Arial"/>
                <w:sz w:val="21"/>
              </w:rPr>
            </w:pPr>
          </w:p>
          <w:p w14:paraId="26DD8500">
            <w:pPr>
              <w:spacing w:line="263" w:lineRule="auto"/>
              <w:rPr>
                <w:rFonts w:ascii="Arial"/>
                <w:sz w:val="21"/>
              </w:rPr>
            </w:pPr>
          </w:p>
          <w:p w14:paraId="41D5307C">
            <w:pPr>
              <w:spacing w:line="263" w:lineRule="auto"/>
              <w:rPr>
                <w:rFonts w:ascii="Arial"/>
                <w:sz w:val="21"/>
              </w:rPr>
            </w:pPr>
          </w:p>
          <w:p w14:paraId="355CEC4C">
            <w:pPr>
              <w:pStyle w:val="6"/>
              <w:spacing w:before="68" w:line="219" w:lineRule="auto"/>
              <w:ind w:left="189"/>
              <w:rPr>
                <w:sz w:val="21"/>
                <w:szCs w:val="21"/>
              </w:rPr>
            </w:pPr>
            <w:r>
              <w:rPr>
                <w:spacing w:val="-3"/>
                <w:sz w:val="21"/>
                <w:szCs w:val="21"/>
              </w:rPr>
              <w:t>符合</w:t>
            </w:r>
          </w:p>
        </w:tc>
      </w:tr>
      <w:tr w14:paraId="0E887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9" w:hRule="atLeast"/>
        </w:trPr>
        <w:tc>
          <w:tcPr>
            <w:tcW w:w="1563" w:type="dxa"/>
            <w:vMerge w:val="continue"/>
            <w:tcBorders>
              <w:top w:val="nil"/>
              <w:bottom w:val="nil"/>
            </w:tcBorders>
            <w:vAlign w:val="top"/>
          </w:tcPr>
          <w:p w14:paraId="2FED042C">
            <w:pPr>
              <w:rPr>
                <w:rFonts w:ascii="Arial"/>
                <w:sz w:val="21"/>
              </w:rPr>
            </w:pPr>
          </w:p>
        </w:tc>
        <w:tc>
          <w:tcPr>
            <w:tcW w:w="100" w:type="dxa"/>
            <w:tcBorders>
              <w:top w:val="nil"/>
              <w:bottom w:val="nil"/>
            </w:tcBorders>
            <w:shd w:val="clear" w:color="auto" w:fill="FFFFFF"/>
            <w:vAlign w:val="top"/>
          </w:tcPr>
          <w:p w14:paraId="3A73A71F">
            <w:pPr>
              <w:rPr>
                <w:rFonts w:ascii="Arial"/>
                <w:sz w:val="21"/>
              </w:rPr>
            </w:pPr>
          </w:p>
        </w:tc>
        <w:tc>
          <w:tcPr>
            <w:tcW w:w="669" w:type="dxa"/>
            <w:textDirection w:val="tbRlV"/>
            <w:vAlign w:val="top"/>
          </w:tcPr>
          <w:p w14:paraId="2D15835F">
            <w:pPr>
              <w:pStyle w:val="6"/>
              <w:spacing w:before="256" w:line="200" w:lineRule="auto"/>
              <w:ind w:left="524"/>
              <w:rPr>
                <w:sz w:val="21"/>
                <w:szCs w:val="21"/>
              </w:rPr>
            </w:pPr>
            <w:r>
              <w:rPr>
                <w:sz w:val="21"/>
                <w:szCs w:val="21"/>
              </w:rPr>
              <w:t>第</w:t>
            </w:r>
            <w:r>
              <w:rPr>
                <w:spacing w:val="-13"/>
                <w:sz w:val="21"/>
                <w:szCs w:val="21"/>
              </w:rPr>
              <w:t xml:space="preserve"> </w:t>
            </w:r>
            <w:r>
              <w:rPr>
                <w:sz w:val="21"/>
                <w:szCs w:val="21"/>
              </w:rPr>
              <w:t>二</w:t>
            </w:r>
            <w:r>
              <w:rPr>
                <w:spacing w:val="-13"/>
                <w:sz w:val="21"/>
                <w:szCs w:val="21"/>
              </w:rPr>
              <w:t xml:space="preserve"> </w:t>
            </w:r>
            <w:r>
              <w:rPr>
                <w:sz w:val="21"/>
                <w:szCs w:val="21"/>
              </w:rPr>
              <w:t>条</w:t>
            </w:r>
          </w:p>
        </w:tc>
        <w:tc>
          <w:tcPr>
            <w:tcW w:w="4046" w:type="dxa"/>
            <w:vAlign w:val="top"/>
          </w:tcPr>
          <w:p w14:paraId="2F3E965A">
            <w:pPr>
              <w:pStyle w:val="6"/>
              <w:spacing w:before="23" w:line="219" w:lineRule="auto"/>
              <w:ind w:left="123"/>
              <w:rPr>
                <w:sz w:val="21"/>
                <w:szCs w:val="21"/>
              </w:rPr>
            </w:pPr>
            <w:r>
              <w:rPr>
                <w:sz w:val="21"/>
                <w:szCs w:val="21"/>
              </w:rPr>
              <w:t>禁止在自然保护区核心区、缓冲区的岸线</w:t>
            </w:r>
          </w:p>
          <w:p w14:paraId="648C5493">
            <w:pPr>
              <w:pStyle w:val="6"/>
              <w:spacing w:before="30" w:line="219" w:lineRule="auto"/>
              <w:ind w:left="233"/>
              <w:rPr>
                <w:sz w:val="21"/>
                <w:szCs w:val="21"/>
              </w:rPr>
            </w:pPr>
            <w:r>
              <w:rPr>
                <w:sz w:val="21"/>
                <w:szCs w:val="21"/>
              </w:rPr>
              <w:t>和河段范围内投资建设旅游和生产经营</w:t>
            </w:r>
          </w:p>
          <w:p w14:paraId="21B90611">
            <w:pPr>
              <w:pStyle w:val="6"/>
              <w:spacing w:before="19" w:line="219" w:lineRule="auto"/>
              <w:ind w:left="123"/>
              <w:rPr>
                <w:sz w:val="21"/>
                <w:szCs w:val="21"/>
              </w:rPr>
            </w:pPr>
            <w:r>
              <w:rPr>
                <w:sz w:val="21"/>
                <w:szCs w:val="21"/>
              </w:rPr>
              <w:t>项目。禁止在自然保护区内进行开矿、采</w:t>
            </w:r>
          </w:p>
          <w:p w14:paraId="7A02977F">
            <w:pPr>
              <w:pStyle w:val="6"/>
              <w:spacing w:before="12" w:line="219" w:lineRule="auto"/>
              <w:ind w:left="123"/>
              <w:rPr>
                <w:sz w:val="21"/>
                <w:szCs w:val="21"/>
              </w:rPr>
            </w:pPr>
            <w:r>
              <w:rPr>
                <w:sz w:val="21"/>
                <w:szCs w:val="21"/>
              </w:rPr>
              <w:t>石、挖沙等活动。禁止在自然保护区的核</w:t>
            </w:r>
          </w:p>
          <w:p w14:paraId="42C698E2">
            <w:pPr>
              <w:pStyle w:val="6"/>
              <w:spacing w:before="21" w:line="219" w:lineRule="auto"/>
              <w:ind w:left="123"/>
              <w:rPr>
                <w:sz w:val="21"/>
                <w:szCs w:val="21"/>
              </w:rPr>
            </w:pPr>
            <w:r>
              <w:rPr>
                <w:sz w:val="21"/>
                <w:szCs w:val="21"/>
              </w:rPr>
              <w:t>心区和缓冲区内建设任何生产设施，禁止</w:t>
            </w:r>
          </w:p>
          <w:p w14:paraId="4C01C9ED">
            <w:pPr>
              <w:pStyle w:val="6"/>
              <w:spacing w:before="31" w:line="219" w:lineRule="auto"/>
              <w:ind w:left="123"/>
              <w:rPr>
                <w:sz w:val="21"/>
                <w:szCs w:val="21"/>
              </w:rPr>
            </w:pPr>
            <w:r>
              <w:rPr>
                <w:spacing w:val="5"/>
                <w:sz w:val="21"/>
                <w:szCs w:val="21"/>
              </w:rPr>
              <w:t>在自然保护区的实验区内建设污染环境、</w:t>
            </w:r>
          </w:p>
          <w:p w14:paraId="787C5960">
            <w:pPr>
              <w:pStyle w:val="6"/>
              <w:spacing w:before="11" w:line="198" w:lineRule="auto"/>
              <w:ind w:left="593"/>
              <w:rPr>
                <w:sz w:val="21"/>
                <w:szCs w:val="21"/>
              </w:rPr>
            </w:pPr>
            <w:r>
              <w:rPr>
                <w:sz w:val="21"/>
                <w:szCs w:val="21"/>
              </w:rPr>
              <w:t>破坏资源或者景观的生产设施。</w:t>
            </w:r>
          </w:p>
        </w:tc>
        <w:tc>
          <w:tcPr>
            <w:tcW w:w="1568" w:type="dxa"/>
            <w:vAlign w:val="top"/>
          </w:tcPr>
          <w:p w14:paraId="30AEFE61">
            <w:pPr>
              <w:spacing w:line="251" w:lineRule="auto"/>
              <w:rPr>
                <w:rFonts w:ascii="Arial"/>
                <w:sz w:val="21"/>
              </w:rPr>
            </w:pPr>
          </w:p>
          <w:p w14:paraId="3A81FCC8">
            <w:pPr>
              <w:spacing w:line="251" w:lineRule="auto"/>
              <w:rPr>
                <w:rFonts w:ascii="Arial"/>
                <w:sz w:val="21"/>
              </w:rPr>
            </w:pPr>
          </w:p>
          <w:p w14:paraId="1F2A9A7C">
            <w:pPr>
              <w:pStyle w:val="6"/>
              <w:spacing w:before="69" w:line="220" w:lineRule="auto"/>
              <w:ind w:left="257"/>
              <w:rPr>
                <w:sz w:val="21"/>
                <w:szCs w:val="21"/>
              </w:rPr>
            </w:pPr>
            <w:r>
              <w:rPr>
                <w:spacing w:val="3"/>
                <w:sz w:val="21"/>
                <w:szCs w:val="21"/>
              </w:rPr>
              <w:t>项目占地区</w:t>
            </w:r>
          </w:p>
          <w:p w14:paraId="0A0DAC36">
            <w:pPr>
              <w:pStyle w:val="6"/>
              <w:spacing w:before="9"/>
              <w:ind w:left="297" w:right="240" w:hanging="40"/>
              <w:rPr>
                <w:sz w:val="21"/>
                <w:szCs w:val="21"/>
              </w:rPr>
            </w:pPr>
            <w:r>
              <w:rPr>
                <w:spacing w:val="2"/>
                <w:sz w:val="21"/>
                <w:szCs w:val="21"/>
              </w:rPr>
              <w:t>不涉及自然</w:t>
            </w:r>
            <w:r>
              <w:rPr>
                <w:sz w:val="21"/>
                <w:szCs w:val="21"/>
              </w:rPr>
              <w:t xml:space="preserve"> </w:t>
            </w:r>
            <w:r>
              <w:rPr>
                <w:spacing w:val="-1"/>
                <w:sz w:val="21"/>
                <w:szCs w:val="21"/>
              </w:rPr>
              <w:t>保护区。</w:t>
            </w:r>
          </w:p>
        </w:tc>
        <w:tc>
          <w:tcPr>
            <w:tcW w:w="814" w:type="dxa"/>
            <w:vAlign w:val="top"/>
          </w:tcPr>
          <w:p w14:paraId="00115FDA">
            <w:pPr>
              <w:spacing w:line="256" w:lineRule="auto"/>
              <w:rPr>
                <w:rFonts w:ascii="Arial"/>
                <w:sz w:val="21"/>
              </w:rPr>
            </w:pPr>
          </w:p>
          <w:p w14:paraId="3D3BEDF6">
            <w:pPr>
              <w:spacing w:line="257" w:lineRule="auto"/>
              <w:rPr>
                <w:rFonts w:ascii="Arial"/>
                <w:sz w:val="21"/>
              </w:rPr>
            </w:pPr>
          </w:p>
          <w:p w14:paraId="286F8EE3">
            <w:pPr>
              <w:spacing w:line="257" w:lineRule="auto"/>
              <w:rPr>
                <w:rFonts w:ascii="Arial"/>
                <w:sz w:val="21"/>
              </w:rPr>
            </w:pPr>
          </w:p>
          <w:p w14:paraId="611C28BB">
            <w:pPr>
              <w:pStyle w:val="6"/>
              <w:spacing w:before="68" w:line="219" w:lineRule="auto"/>
              <w:ind w:left="189"/>
              <w:rPr>
                <w:sz w:val="21"/>
                <w:szCs w:val="21"/>
              </w:rPr>
            </w:pPr>
            <w:r>
              <w:rPr>
                <w:spacing w:val="-3"/>
                <w:sz w:val="21"/>
                <w:szCs w:val="21"/>
              </w:rPr>
              <w:t>符合</w:t>
            </w:r>
          </w:p>
        </w:tc>
      </w:tr>
      <w:tr w14:paraId="7F398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7" w:hRule="atLeast"/>
        </w:trPr>
        <w:tc>
          <w:tcPr>
            <w:tcW w:w="1563" w:type="dxa"/>
            <w:vMerge w:val="continue"/>
            <w:tcBorders>
              <w:top w:val="nil"/>
              <w:bottom w:val="nil"/>
            </w:tcBorders>
            <w:vAlign w:val="top"/>
          </w:tcPr>
          <w:p w14:paraId="6F0AA017">
            <w:pPr>
              <w:rPr>
                <w:rFonts w:ascii="Arial"/>
                <w:sz w:val="21"/>
              </w:rPr>
            </w:pPr>
          </w:p>
        </w:tc>
        <w:tc>
          <w:tcPr>
            <w:tcW w:w="100" w:type="dxa"/>
            <w:tcBorders>
              <w:top w:val="nil"/>
              <w:bottom w:val="nil"/>
            </w:tcBorders>
            <w:shd w:val="clear" w:color="auto" w:fill="FFFFFF"/>
            <w:vAlign w:val="top"/>
          </w:tcPr>
          <w:p w14:paraId="26CDF55B">
            <w:pPr>
              <w:rPr>
                <w:rFonts w:ascii="Arial"/>
                <w:sz w:val="21"/>
              </w:rPr>
            </w:pPr>
          </w:p>
        </w:tc>
        <w:tc>
          <w:tcPr>
            <w:tcW w:w="669" w:type="dxa"/>
            <w:textDirection w:val="tbRlV"/>
            <w:vAlign w:val="top"/>
          </w:tcPr>
          <w:p w14:paraId="70CA78C6">
            <w:pPr>
              <w:pStyle w:val="6"/>
              <w:spacing w:before="254" w:line="201" w:lineRule="auto"/>
              <w:ind w:left="1184"/>
              <w:rPr>
                <w:sz w:val="21"/>
                <w:szCs w:val="21"/>
              </w:rPr>
            </w:pPr>
            <w:r>
              <w:rPr>
                <w:sz w:val="21"/>
                <w:szCs w:val="21"/>
              </w:rPr>
              <w:t>第</w:t>
            </w:r>
            <w:r>
              <w:rPr>
                <w:spacing w:val="-13"/>
                <w:sz w:val="21"/>
                <w:szCs w:val="21"/>
              </w:rPr>
              <w:t xml:space="preserve"> </w:t>
            </w:r>
            <w:r>
              <w:rPr>
                <w:sz w:val="21"/>
                <w:szCs w:val="21"/>
              </w:rPr>
              <w:t>三</w:t>
            </w:r>
            <w:r>
              <w:rPr>
                <w:spacing w:val="-13"/>
                <w:sz w:val="21"/>
                <w:szCs w:val="21"/>
              </w:rPr>
              <w:t xml:space="preserve"> </w:t>
            </w:r>
            <w:r>
              <w:rPr>
                <w:sz w:val="21"/>
                <w:szCs w:val="21"/>
              </w:rPr>
              <w:t>条</w:t>
            </w:r>
          </w:p>
        </w:tc>
        <w:tc>
          <w:tcPr>
            <w:tcW w:w="4046" w:type="dxa"/>
            <w:vAlign w:val="top"/>
          </w:tcPr>
          <w:p w14:paraId="224F48B5">
            <w:pPr>
              <w:pStyle w:val="6"/>
              <w:spacing w:before="294" w:line="219" w:lineRule="auto"/>
              <w:ind w:left="233"/>
              <w:rPr>
                <w:sz w:val="21"/>
                <w:szCs w:val="21"/>
              </w:rPr>
            </w:pPr>
            <w:r>
              <w:rPr>
                <w:spacing w:val="-1"/>
                <w:sz w:val="21"/>
                <w:szCs w:val="21"/>
              </w:rPr>
              <w:t>禁止在风景名胜区核心景区的岸线和河</w:t>
            </w:r>
          </w:p>
          <w:p w14:paraId="301BF6C1">
            <w:pPr>
              <w:pStyle w:val="6"/>
              <w:spacing w:before="20" w:line="219" w:lineRule="auto"/>
              <w:ind w:left="233"/>
              <w:rPr>
                <w:sz w:val="21"/>
                <w:szCs w:val="21"/>
              </w:rPr>
            </w:pPr>
            <w:r>
              <w:rPr>
                <w:sz w:val="21"/>
                <w:szCs w:val="21"/>
              </w:rPr>
              <w:t>段范围内投资建设与风景名胜资源保护</w:t>
            </w:r>
          </w:p>
          <w:p w14:paraId="01E49479">
            <w:pPr>
              <w:pStyle w:val="6"/>
              <w:spacing w:before="10" w:line="219" w:lineRule="auto"/>
              <w:ind w:left="123"/>
              <w:rPr>
                <w:sz w:val="21"/>
                <w:szCs w:val="21"/>
              </w:rPr>
            </w:pPr>
            <w:r>
              <w:rPr>
                <w:spacing w:val="-1"/>
                <w:sz w:val="21"/>
                <w:szCs w:val="21"/>
              </w:rPr>
              <w:t>无关的项目。禁止在风景名胜区内进行开</w:t>
            </w:r>
          </w:p>
          <w:p w14:paraId="6D170B35">
            <w:pPr>
              <w:pStyle w:val="6"/>
              <w:spacing w:before="39" w:line="219" w:lineRule="auto"/>
              <w:ind w:left="123"/>
              <w:rPr>
                <w:sz w:val="21"/>
                <w:szCs w:val="21"/>
              </w:rPr>
            </w:pPr>
            <w:r>
              <w:rPr>
                <w:sz w:val="21"/>
                <w:szCs w:val="21"/>
              </w:rPr>
              <w:t>山、采石、开矿、开荒、修坟立碑等破坏</w:t>
            </w:r>
          </w:p>
          <w:p w14:paraId="577FE6DE">
            <w:pPr>
              <w:pStyle w:val="6"/>
              <w:spacing w:before="21" w:line="219" w:lineRule="auto"/>
              <w:ind w:left="123"/>
              <w:rPr>
                <w:sz w:val="21"/>
                <w:szCs w:val="21"/>
              </w:rPr>
            </w:pPr>
            <w:r>
              <w:rPr>
                <w:sz w:val="21"/>
                <w:szCs w:val="21"/>
              </w:rPr>
              <w:t>景观、植被和地形地貌的活动以及修建储</w:t>
            </w:r>
          </w:p>
          <w:p w14:paraId="27C7A93B">
            <w:pPr>
              <w:pStyle w:val="6"/>
              <w:spacing w:before="21" w:line="218" w:lineRule="auto"/>
              <w:ind w:left="123"/>
              <w:rPr>
                <w:sz w:val="21"/>
                <w:szCs w:val="21"/>
              </w:rPr>
            </w:pPr>
            <w:r>
              <w:rPr>
                <w:sz w:val="21"/>
                <w:szCs w:val="21"/>
              </w:rPr>
              <w:t>存爆炸性、易燃性、放射性、毒害性、腐</w:t>
            </w:r>
          </w:p>
          <w:p w14:paraId="767F63E3">
            <w:pPr>
              <w:pStyle w:val="6"/>
              <w:spacing w:before="44" w:line="219" w:lineRule="auto"/>
              <w:ind w:left="233"/>
              <w:rPr>
                <w:sz w:val="21"/>
                <w:szCs w:val="21"/>
              </w:rPr>
            </w:pPr>
            <w:r>
              <w:rPr>
                <w:spacing w:val="1"/>
                <w:sz w:val="21"/>
                <w:szCs w:val="21"/>
              </w:rPr>
              <w:t>蚀性物品的设施；禁止在风景名胜区内</w:t>
            </w:r>
          </w:p>
          <w:p w14:paraId="4C14B5FA">
            <w:pPr>
              <w:pStyle w:val="6"/>
              <w:spacing w:before="19" w:line="219" w:lineRule="auto"/>
              <w:ind w:left="123"/>
              <w:rPr>
                <w:sz w:val="21"/>
                <w:szCs w:val="21"/>
              </w:rPr>
            </w:pPr>
            <w:r>
              <w:rPr>
                <w:sz w:val="21"/>
                <w:szCs w:val="21"/>
              </w:rPr>
              <w:t>设立开发区和在核心景区内建设宾馆、会</w:t>
            </w:r>
          </w:p>
          <w:p w14:paraId="1404A054">
            <w:pPr>
              <w:pStyle w:val="6"/>
              <w:spacing w:before="2" w:line="219" w:lineRule="auto"/>
              <w:ind w:left="123"/>
              <w:rPr>
                <w:sz w:val="21"/>
                <w:szCs w:val="21"/>
              </w:rPr>
            </w:pPr>
            <w:r>
              <w:rPr>
                <w:spacing w:val="-1"/>
                <w:sz w:val="21"/>
                <w:szCs w:val="21"/>
              </w:rPr>
              <w:t>所、培训中心、疗养院以及风景名胜资源</w:t>
            </w:r>
          </w:p>
          <w:p w14:paraId="54995651">
            <w:pPr>
              <w:pStyle w:val="6"/>
              <w:spacing w:before="32" w:line="220" w:lineRule="auto"/>
              <w:ind w:left="703"/>
              <w:rPr>
                <w:sz w:val="21"/>
                <w:szCs w:val="21"/>
              </w:rPr>
            </w:pPr>
            <w:r>
              <w:rPr>
                <w:spacing w:val="-1"/>
                <w:sz w:val="21"/>
                <w:szCs w:val="21"/>
              </w:rPr>
              <w:t>保护无关的投资建设项目。</w:t>
            </w:r>
          </w:p>
        </w:tc>
        <w:tc>
          <w:tcPr>
            <w:tcW w:w="1568" w:type="dxa"/>
            <w:vAlign w:val="top"/>
          </w:tcPr>
          <w:p w14:paraId="655E1598">
            <w:pPr>
              <w:spacing w:line="289" w:lineRule="auto"/>
              <w:rPr>
                <w:rFonts w:ascii="Arial"/>
                <w:sz w:val="21"/>
              </w:rPr>
            </w:pPr>
          </w:p>
          <w:p w14:paraId="11F9733E">
            <w:pPr>
              <w:spacing w:line="290" w:lineRule="auto"/>
              <w:rPr>
                <w:rFonts w:ascii="Arial"/>
                <w:sz w:val="21"/>
              </w:rPr>
            </w:pPr>
          </w:p>
          <w:p w14:paraId="0956AAA5">
            <w:pPr>
              <w:spacing w:line="290" w:lineRule="auto"/>
              <w:rPr>
                <w:rFonts w:ascii="Arial"/>
                <w:sz w:val="21"/>
              </w:rPr>
            </w:pPr>
          </w:p>
          <w:p w14:paraId="2F369463">
            <w:pPr>
              <w:spacing w:line="290" w:lineRule="auto"/>
              <w:rPr>
                <w:rFonts w:ascii="Arial"/>
                <w:sz w:val="21"/>
              </w:rPr>
            </w:pPr>
          </w:p>
          <w:p w14:paraId="33F872DC">
            <w:pPr>
              <w:pStyle w:val="6"/>
              <w:spacing w:before="69" w:line="220" w:lineRule="auto"/>
              <w:ind w:left="257"/>
              <w:rPr>
                <w:sz w:val="21"/>
                <w:szCs w:val="21"/>
              </w:rPr>
            </w:pPr>
            <w:r>
              <w:rPr>
                <w:spacing w:val="3"/>
                <w:sz w:val="21"/>
                <w:szCs w:val="21"/>
              </w:rPr>
              <w:t>项目占地区</w:t>
            </w:r>
          </w:p>
          <w:p w14:paraId="3F93424F">
            <w:pPr>
              <w:pStyle w:val="6"/>
              <w:spacing w:before="28" w:line="242" w:lineRule="auto"/>
              <w:ind w:left="406" w:right="240" w:hanging="149"/>
              <w:rPr>
                <w:sz w:val="21"/>
                <w:szCs w:val="21"/>
              </w:rPr>
            </w:pPr>
            <w:r>
              <w:rPr>
                <w:spacing w:val="2"/>
                <w:sz w:val="21"/>
                <w:szCs w:val="21"/>
              </w:rPr>
              <w:t>不涉及风景</w:t>
            </w:r>
            <w:r>
              <w:rPr>
                <w:sz w:val="21"/>
                <w:szCs w:val="21"/>
              </w:rPr>
              <w:t xml:space="preserve"> </w:t>
            </w:r>
            <w:r>
              <w:rPr>
                <w:spacing w:val="1"/>
                <w:sz w:val="21"/>
                <w:szCs w:val="21"/>
              </w:rPr>
              <w:t>名胜区。</w:t>
            </w:r>
          </w:p>
        </w:tc>
        <w:tc>
          <w:tcPr>
            <w:tcW w:w="814" w:type="dxa"/>
            <w:vAlign w:val="top"/>
          </w:tcPr>
          <w:p w14:paraId="25CE041A">
            <w:pPr>
              <w:spacing w:line="285" w:lineRule="auto"/>
              <w:rPr>
                <w:rFonts w:ascii="Arial"/>
                <w:sz w:val="21"/>
              </w:rPr>
            </w:pPr>
          </w:p>
          <w:p w14:paraId="202EA04A">
            <w:pPr>
              <w:spacing w:line="285" w:lineRule="auto"/>
              <w:rPr>
                <w:rFonts w:ascii="Arial"/>
                <w:sz w:val="21"/>
              </w:rPr>
            </w:pPr>
          </w:p>
          <w:p w14:paraId="068535B3">
            <w:pPr>
              <w:spacing w:line="285" w:lineRule="auto"/>
              <w:rPr>
                <w:rFonts w:ascii="Arial"/>
                <w:sz w:val="21"/>
              </w:rPr>
            </w:pPr>
          </w:p>
          <w:p w14:paraId="6927E833">
            <w:pPr>
              <w:spacing w:line="286" w:lineRule="auto"/>
              <w:rPr>
                <w:rFonts w:ascii="Arial"/>
                <w:sz w:val="21"/>
              </w:rPr>
            </w:pPr>
          </w:p>
          <w:p w14:paraId="6BF04A66">
            <w:pPr>
              <w:spacing w:line="286" w:lineRule="auto"/>
              <w:rPr>
                <w:rFonts w:ascii="Arial"/>
                <w:sz w:val="21"/>
              </w:rPr>
            </w:pPr>
          </w:p>
          <w:p w14:paraId="2B265A68">
            <w:pPr>
              <w:pStyle w:val="6"/>
              <w:spacing w:before="68" w:line="219" w:lineRule="auto"/>
              <w:ind w:left="189"/>
              <w:rPr>
                <w:sz w:val="21"/>
                <w:szCs w:val="21"/>
              </w:rPr>
            </w:pPr>
            <w:r>
              <w:rPr>
                <w:spacing w:val="-3"/>
                <w:sz w:val="21"/>
                <w:szCs w:val="21"/>
              </w:rPr>
              <w:t>符合</w:t>
            </w:r>
          </w:p>
        </w:tc>
      </w:tr>
      <w:tr w14:paraId="0B45E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3" w:hRule="atLeast"/>
        </w:trPr>
        <w:tc>
          <w:tcPr>
            <w:tcW w:w="1563" w:type="dxa"/>
            <w:vMerge w:val="continue"/>
            <w:tcBorders>
              <w:top w:val="nil"/>
            </w:tcBorders>
            <w:vAlign w:val="top"/>
          </w:tcPr>
          <w:p w14:paraId="2D036B3F">
            <w:pPr>
              <w:rPr>
                <w:rFonts w:ascii="Arial"/>
                <w:sz w:val="21"/>
              </w:rPr>
            </w:pPr>
          </w:p>
        </w:tc>
        <w:tc>
          <w:tcPr>
            <w:tcW w:w="100" w:type="dxa"/>
            <w:tcBorders>
              <w:top w:val="nil"/>
            </w:tcBorders>
            <w:shd w:val="clear" w:color="auto" w:fill="FFFFFF"/>
            <w:vAlign w:val="top"/>
          </w:tcPr>
          <w:p w14:paraId="3B7C644D">
            <w:pPr>
              <w:rPr>
                <w:rFonts w:ascii="Arial"/>
                <w:sz w:val="21"/>
              </w:rPr>
            </w:pPr>
          </w:p>
        </w:tc>
        <w:tc>
          <w:tcPr>
            <w:tcW w:w="669" w:type="dxa"/>
            <w:textDirection w:val="tbRlV"/>
            <w:vAlign w:val="top"/>
          </w:tcPr>
          <w:p w14:paraId="3D3BB96C">
            <w:pPr>
              <w:pStyle w:val="6"/>
              <w:spacing w:before="246" w:line="200" w:lineRule="auto"/>
              <w:ind w:left="698"/>
              <w:rPr>
                <w:sz w:val="21"/>
                <w:szCs w:val="21"/>
              </w:rPr>
            </w:pPr>
            <w:r>
              <w:rPr>
                <w:sz w:val="21"/>
                <w:szCs w:val="21"/>
              </w:rPr>
              <w:t>第</w:t>
            </w:r>
            <w:r>
              <w:rPr>
                <w:spacing w:val="-13"/>
                <w:sz w:val="21"/>
                <w:szCs w:val="21"/>
              </w:rPr>
              <w:t xml:space="preserve"> </w:t>
            </w:r>
            <w:r>
              <w:rPr>
                <w:sz w:val="21"/>
                <w:szCs w:val="21"/>
              </w:rPr>
              <w:t>四</w:t>
            </w:r>
            <w:r>
              <w:rPr>
                <w:spacing w:val="-13"/>
                <w:sz w:val="21"/>
                <w:szCs w:val="21"/>
              </w:rPr>
              <w:t xml:space="preserve"> </w:t>
            </w:r>
            <w:r>
              <w:rPr>
                <w:sz w:val="21"/>
                <w:szCs w:val="21"/>
              </w:rPr>
              <w:t>条</w:t>
            </w:r>
          </w:p>
        </w:tc>
        <w:tc>
          <w:tcPr>
            <w:tcW w:w="4046" w:type="dxa"/>
            <w:vAlign w:val="top"/>
          </w:tcPr>
          <w:p w14:paraId="4212CD36">
            <w:pPr>
              <w:pStyle w:val="6"/>
              <w:spacing w:before="197" w:line="219" w:lineRule="auto"/>
              <w:ind w:left="233"/>
              <w:rPr>
                <w:sz w:val="21"/>
                <w:szCs w:val="21"/>
              </w:rPr>
            </w:pPr>
            <w:r>
              <w:rPr>
                <w:spacing w:val="1"/>
                <w:sz w:val="21"/>
                <w:szCs w:val="21"/>
              </w:rPr>
              <w:t>禁止在饮用水水源一级保护区的岸线和</w:t>
            </w:r>
          </w:p>
          <w:p w14:paraId="0433E46E">
            <w:pPr>
              <w:pStyle w:val="6"/>
              <w:spacing w:before="39" w:line="219" w:lineRule="auto"/>
              <w:ind w:left="123"/>
              <w:rPr>
                <w:sz w:val="21"/>
                <w:szCs w:val="21"/>
              </w:rPr>
            </w:pPr>
            <w:r>
              <w:rPr>
                <w:spacing w:val="-1"/>
                <w:sz w:val="21"/>
                <w:szCs w:val="21"/>
              </w:rPr>
              <w:t>河段范围内新建、改建、扩建与供水设施</w:t>
            </w:r>
          </w:p>
          <w:p w14:paraId="33E1A90B">
            <w:pPr>
              <w:pStyle w:val="6"/>
              <w:spacing w:before="22" w:line="219" w:lineRule="auto"/>
              <w:ind w:left="123"/>
              <w:rPr>
                <w:sz w:val="21"/>
                <w:szCs w:val="21"/>
              </w:rPr>
            </w:pPr>
            <w:r>
              <w:rPr>
                <w:spacing w:val="5"/>
                <w:sz w:val="21"/>
                <w:szCs w:val="21"/>
              </w:rPr>
              <w:t>和保护水源无关的项目，以及网箱养殖、</w:t>
            </w:r>
          </w:p>
          <w:p w14:paraId="695BE179">
            <w:pPr>
              <w:pStyle w:val="6"/>
              <w:spacing w:before="10" w:line="219" w:lineRule="auto"/>
              <w:ind w:left="123"/>
              <w:rPr>
                <w:sz w:val="21"/>
                <w:szCs w:val="21"/>
              </w:rPr>
            </w:pPr>
            <w:r>
              <w:rPr>
                <w:sz w:val="21"/>
                <w:szCs w:val="21"/>
              </w:rPr>
              <w:t>畜禽养殖、旅游等可能污染饮用水水体的</w:t>
            </w:r>
          </w:p>
          <w:p w14:paraId="5DA805AB">
            <w:pPr>
              <w:pStyle w:val="6"/>
              <w:spacing w:before="41" w:line="219" w:lineRule="auto"/>
              <w:ind w:left="123"/>
              <w:rPr>
                <w:sz w:val="21"/>
                <w:szCs w:val="21"/>
              </w:rPr>
            </w:pPr>
            <w:r>
              <w:rPr>
                <w:spacing w:val="-1"/>
                <w:sz w:val="21"/>
                <w:szCs w:val="21"/>
              </w:rPr>
              <w:t>投资建设项目。禁止在饮用水水源二级保</w:t>
            </w:r>
          </w:p>
          <w:p w14:paraId="04B0C180">
            <w:pPr>
              <w:pStyle w:val="6"/>
              <w:spacing w:before="1" w:line="219" w:lineRule="auto"/>
              <w:ind w:left="123"/>
              <w:rPr>
                <w:sz w:val="21"/>
                <w:szCs w:val="21"/>
              </w:rPr>
            </w:pPr>
            <w:r>
              <w:rPr>
                <w:spacing w:val="-1"/>
                <w:sz w:val="21"/>
                <w:szCs w:val="21"/>
              </w:rPr>
              <w:t>护区的岸线和河段范围内新建、改建、扩</w:t>
            </w:r>
          </w:p>
          <w:p w14:paraId="68A05AE5">
            <w:pPr>
              <w:pStyle w:val="6"/>
              <w:spacing w:before="21" w:line="220" w:lineRule="auto"/>
              <w:ind w:left="593"/>
              <w:rPr>
                <w:sz w:val="21"/>
                <w:szCs w:val="21"/>
              </w:rPr>
            </w:pPr>
            <w:r>
              <w:rPr>
                <w:sz w:val="21"/>
                <w:szCs w:val="21"/>
              </w:rPr>
              <w:t>建排放污染物的投资建设项目。</w:t>
            </w:r>
          </w:p>
        </w:tc>
        <w:tc>
          <w:tcPr>
            <w:tcW w:w="1568" w:type="dxa"/>
            <w:vAlign w:val="top"/>
          </w:tcPr>
          <w:p w14:paraId="142F7ED3">
            <w:pPr>
              <w:spacing w:line="332" w:lineRule="auto"/>
              <w:rPr>
                <w:rFonts w:ascii="Arial"/>
                <w:sz w:val="21"/>
              </w:rPr>
            </w:pPr>
          </w:p>
          <w:p w14:paraId="6E149C39">
            <w:pPr>
              <w:spacing w:line="333" w:lineRule="auto"/>
              <w:rPr>
                <w:rFonts w:ascii="Arial"/>
                <w:sz w:val="21"/>
              </w:rPr>
            </w:pPr>
          </w:p>
          <w:p w14:paraId="4B25070C">
            <w:pPr>
              <w:pStyle w:val="6"/>
              <w:spacing w:before="69" w:line="220" w:lineRule="auto"/>
              <w:ind w:left="257"/>
              <w:rPr>
                <w:sz w:val="21"/>
                <w:szCs w:val="21"/>
              </w:rPr>
            </w:pPr>
            <w:r>
              <w:rPr>
                <w:spacing w:val="3"/>
                <w:sz w:val="21"/>
                <w:szCs w:val="21"/>
              </w:rPr>
              <w:t>项目占地区</w:t>
            </w:r>
          </w:p>
          <w:p w14:paraId="2C4D523E">
            <w:pPr>
              <w:pStyle w:val="6"/>
              <w:spacing w:before="29" w:line="220" w:lineRule="auto"/>
              <w:ind w:left="257"/>
              <w:rPr>
                <w:sz w:val="21"/>
                <w:szCs w:val="21"/>
              </w:rPr>
            </w:pPr>
            <w:r>
              <w:rPr>
                <w:spacing w:val="5"/>
                <w:sz w:val="21"/>
                <w:szCs w:val="21"/>
              </w:rPr>
              <w:t>不涉及饮用</w:t>
            </w:r>
          </w:p>
          <w:p w14:paraId="412C51A3">
            <w:pPr>
              <w:pStyle w:val="6"/>
              <w:spacing w:before="19" w:line="219" w:lineRule="auto"/>
              <w:ind w:left="257"/>
              <w:rPr>
                <w:sz w:val="21"/>
                <w:szCs w:val="21"/>
              </w:rPr>
            </w:pPr>
            <w:r>
              <w:rPr>
                <w:spacing w:val="3"/>
                <w:sz w:val="21"/>
                <w:szCs w:val="21"/>
              </w:rPr>
              <w:t>水源保护区</w:t>
            </w:r>
          </w:p>
        </w:tc>
        <w:tc>
          <w:tcPr>
            <w:tcW w:w="814" w:type="dxa"/>
            <w:vAlign w:val="top"/>
          </w:tcPr>
          <w:p w14:paraId="6A6946EF">
            <w:pPr>
              <w:spacing w:line="311" w:lineRule="auto"/>
              <w:rPr>
                <w:rFonts w:ascii="Arial"/>
                <w:sz w:val="21"/>
              </w:rPr>
            </w:pPr>
          </w:p>
          <w:p w14:paraId="4F9A11FE">
            <w:pPr>
              <w:spacing w:line="311" w:lineRule="auto"/>
              <w:rPr>
                <w:rFonts w:ascii="Arial"/>
                <w:sz w:val="21"/>
              </w:rPr>
            </w:pPr>
          </w:p>
          <w:p w14:paraId="1E7C53BE">
            <w:pPr>
              <w:spacing w:line="311" w:lineRule="auto"/>
              <w:rPr>
                <w:rFonts w:ascii="Arial"/>
                <w:sz w:val="21"/>
              </w:rPr>
            </w:pPr>
          </w:p>
          <w:p w14:paraId="2EAD50C2">
            <w:pPr>
              <w:pStyle w:val="6"/>
              <w:spacing w:before="69" w:line="219" w:lineRule="auto"/>
              <w:ind w:left="189"/>
              <w:rPr>
                <w:sz w:val="21"/>
                <w:szCs w:val="21"/>
              </w:rPr>
            </w:pPr>
            <w:r>
              <w:rPr>
                <w:spacing w:val="-3"/>
                <w:sz w:val="21"/>
                <w:szCs w:val="21"/>
              </w:rPr>
              <w:t>符合</w:t>
            </w:r>
          </w:p>
        </w:tc>
      </w:tr>
    </w:tbl>
    <w:p w14:paraId="7A6390CA">
      <w:pPr>
        <w:pStyle w:val="2"/>
      </w:pPr>
    </w:p>
    <w:p w14:paraId="4D4F426B">
      <w:pPr>
        <w:sectPr>
          <w:footerReference r:id="rId26" w:type="default"/>
          <w:pgSz w:w="11910" w:h="16840"/>
          <w:pgMar w:top="1431" w:right="1645" w:bottom="1267" w:left="1494" w:header="0" w:footer="1086" w:gutter="0"/>
          <w:cols w:space="720" w:num="1"/>
        </w:sectPr>
      </w:pPr>
    </w:p>
    <w:p w14:paraId="12F53CB0">
      <w:pPr>
        <w:spacing w:line="93" w:lineRule="exact"/>
      </w:pPr>
    </w:p>
    <w:tbl>
      <w:tblPr>
        <w:tblStyle w:val="5"/>
        <w:tblW w:w="88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90"/>
        <w:gridCol w:w="669"/>
        <w:gridCol w:w="4046"/>
        <w:gridCol w:w="1568"/>
        <w:gridCol w:w="874"/>
      </w:tblGrid>
      <w:tr w14:paraId="165C3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3" w:hRule="atLeast"/>
        </w:trPr>
        <w:tc>
          <w:tcPr>
            <w:tcW w:w="1573" w:type="dxa"/>
            <w:vMerge w:val="restart"/>
            <w:tcBorders>
              <w:bottom w:val="nil"/>
            </w:tcBorders>
            <w:vAlign w:val="top"/>
          </w:tcPr>
          <w:p w14:paraId="4962BA3A">
            <w:pPr>
              <w:rPr>
                <w:rFonts w:ascii="Arial"/>
                <w:sz w:val="21"/>
              </w:rPr>
            </w:pPr>
          </w:p>
        </w:tc>
        <w:tc>
          <w:tcPr>
            <w:tcW w:w="90" w:type="dxa"/>
            <w:tcBorders>
              <w:bottom w:val="nil"/>
            </w:tcBorders>
            <w:shd w:val="clear" w:color="auto" w:fill="FFFFFF"/>
            <w:vAlign w:val="top"/>
          </w:tcPr>
          <w:p w14:paraId="1FFE2875">
            <w:pPr>
              <w:rPr>
                <w:rFonts w:ascii="Arial"/>
                <w:sz w:val="21"/>
              </w:rPr>
            </w:pPr>
          </w:p>
        </w:tc>
        <w:tc>
          <w:tcPr>
            <w:tcW w:w="669" w:type="dxa"/>
            <w:textDirection w:val="tbRlV"/>
            <w:vAlign w:val="top"/>
          </w:tcPr>
          <w:p w14:paraId="093B8AC4">
            <w:pPr>
              <w:pStyle w:val="6"/>
              <w:spacing w:before="246" w:line="200" w:lineRule="auto"/>
              <w:ind w:left="763"/>
              <w:rPr>
                <w:sz w:val="21"/>
                <w:szCs w:val="21"/>
              </w:rPr>
            </w:pPr>
            <w:r>
              <w:rPr>
                <w:sz w:val="21"/>
                <w:szCs w:val="21"/>
              </w:rPr>
              <w:t>第</w:t>
            </w:r>
            <w:r>
              <w:rPr>
                <w:spacing w:val="-13"/>
                <w:sz w:val="21"/>
                <w:szCs w:val="21"/>
              </w:rPr>
              <w:t xml:space="preserve"> </w:t>
            </w:r>
            <w:r>
              <w:rPr>
                <w:sz w:val="21"/>
                <w:szCs w:val="21"/>
              </w:rPr>
              <w:t>五</w:t>
            </w:r>
            <w:r>
              <w:rPr>
                <w:spacing w:val="-13"/>
                <w:sz w:val="21"/>
                <w:szCs w:val="21"/>
              </w:rPr>
              <w:t xml:space="preserve"> </w:t>
            </w:r>
            <w:r>
              <w:rPr>
                <w:sz w:val="21"/>
                <w:szCs w:val="21"/>
              </w:rPr>
              <w:t>条</w:t>
            </w:r>
          </w:p>
        </w:tc>
        <w:tc>
          <w:tcPr>
            <w:tcW w:w="4046" w:type="dxa"/>
            <w:vAlign w:val="top"/>
          </w:tcPr>
          <w:p w14:paraId="04DE13C7">
            <w:pPr>
              <w:pStyle w:val="6"/>
              <w:spacing w:before="263" w:line="219" w:lineRule="auto"/>
              <w:ind w:left="233"/>
              <w:rPr>
                <w:sz w:val="21"/>
                <w:szCs w:val="21"/>
              </w:rPr>
            </w:pPr>
            <w:bookmarkStart w:id="1" w:name="bookmark8"/>
            <w:bookmarkEnd w:id="1"/>
            <w:r>
              <w:rPr>
                <w:spacing w:val="-1"/>
                <w:sz w:val="21"/>
                <w:szCs w:val="21"/>
              </w:rPr>
              <w:t>禁止在水产种质资源保护区的岸线和河</w:t>
            </w:r>
          </w:p>
          <w:p w14:paraId="6F1472D4">
            <w:pPr>
              <w:pStyle w:val="6"/>
              <w:spacing w:before="21" w:line="219" w:lineRule="auto"/>
              <w:ind w:left="123"/>
              <w:rPr>
                <w:sz w:val="21"/>
                <w:szCs w:val="21"/>
              </w:rPr>
            </w:pPr>
            <w:r>
              <w:rPr>
                <w:spacing w:val="-1"/>
                <w:sz w:val="21"/>
                <w:szCs w:val="21"/>
              </w:rPr>
              <w:t>段范围内新建围湖造田、围海造地或围填</w:t>
            </w:r>
          </w:p>
          <w:p w14:paraId="22ED154D">
            <w:pPr>
              <w:pStyle w:val="6"/>
              <w:spacing w:before="40" w:line="219" w:lineRule="auto"/>
              <w:ind w:left="123"/>
              <w:rPr>
                <w:sz w:val="21"/>
                <w:szCs w:val="21"/>
              </w:rPr>
            </w:pPr>
            <w:r>
              <w:rPr>
                <w:spacing w:val="1"/>
                <w:sz w:val="21"/>
                <w:szCs w:val="21"/>
              </w:rPr>
              <w:t>海等投资建设项目。禁止擅自征收、占用</w:t>
            </w:r>
          </w:p>
          <w:p w14:paraId="3C83380B">
            <w:pPr>
              <w:pStyle w:val="6"/>
              <w:spacing w:before="10" w:line="219" w:lineRule="auto"/>
              <w:ind w:left="863"/>
              <w:rPr>
                <w:sz w:val="21"/>
                <w:szCs w:val="21"/>
              </w:rPr>
            </w:pPr>
            <w:r>
              <w:rPr>
                <w:sz w:val="21"/>
                <w:szCs w:val="21"/>
              </w:rPr>
              <w:t>国家湿地公园的土地；禁</w:t>
            </w:r>
          </w:p>
          <w:p w14:paraId="3F5641B7">
            <w:pPr>
              <w:pStyle w:val="6"/>
              <w:spacing w:before="39" w:line="219" w:lineRule="auto"/>
              <w:ind w:left="123"/>
              <w:rPr>
                <w:sz w:val="21"/>
                <w:szCs w:val="21"/>
              </w:rPr>
            </w:pPr>
            <w:r>
              <w:rPr>
                <w:spacing w:val="-1"/>
                <w:sz w:val="21"/>
                <w:szCs w:val="21"/>
              </w:rPr>
              <w:t>止在国家湿地公园内挖沙、采矿，以及建</w:t>
            </w:r>
          </w:p>
          <w:p w14:paraId="05D2DF9F">
            <w:pPr>
              <w:pStyle w:val="6"/>
              <w:spacing w:before="11" w:line="219" w:lineRule="auto"/>
              <w:ind w:left="123"/>
              <w:rPr>
                <w:sz w:val="21"/>
                <w:szCs w:val="21"/>
              </w:rPr>
            </w:pPr>
            <w:r>
              <w:rPr>
                <w:sz w:val="21"/>
                <w:szCs w:val="21"/>
              </w:rPr>
              <w:t>设度假村、高尔夫球场等任何不符合主体</w:t>
            </w:r>
          </w:p>
          <w:p w14:paraId="1C577E4A">
            <w:pPr>
              <w:pStyle w:val="6"/>
              <w:spacing w:before="23" w:line="220" w:lineRule="auto"/>
              <w:ind w:left="803"/>
              <w:rPr>
                <w:sz w:val="21"/>
                <w:szCs w:val="21"/>
              </w:rPr>
            </w:pPr>
            <w:r>
              <w:rPr>
                <w:sz w:val="21"/>
                <w:szCs w:val="21"/>
              </w:rPr>
              <w:t>功能定位的投资建设项目。</w:t>
            </w:r>
          </w:p>
        </w:tc>
        <w:tc>
          <w:tcPr>
            <w:tcW w:w="1568" w:type="dxa"/>
            <w:vAlign w:val="top"/>
          </w:tcPr>
          <w:p w14:paraId="79CA97F4">
            <w:pPr>
              <w:spacing w:line="463" w:lineRule="auto"/>
              <w:rPr>
                <w:rFonts w:ascii="Arial"/>
                <w:sz w:val="21"/>
              </w:rPr>
            </w:pPr>
          </w:p>
          <w:p w14:paraId="2C076CEB">
            <w:pPr>
              <w:pStyle w:val="6"/>
              <w:spacing w:before="68" w:line="220" w:lineRule="auto"/>
              <w:ind w:left="257"/>
              <w:rPr>
                <w:sz w:val="21"/>
                <w:szCs w:val="21"/>
              </w:rPr>
            </w:pPr>
            <w:r>
              <w:rPr>
                <w:spacing w:val="3"/>
                <w:sz w:val="21"/>
                <w:szCs w:val="21"/>
              </w:rPr>
              <w:t>项目占地区</w:t>
            </w:r>
          </w:p>
          <w:p w14:paraId="12805C8D">
            <w:pPr>
              <w:pStyle w:val="6"/>
              <w:spacing w:before="29" w:line="239" w:lineRule="auto"/>
              <w:ind w:left="257" w:right="205"/>
              <w:jc w:val="both"/>
              <w:rPr>
                <w:sz w:val="21"/>
                <w:szCs w:val="21"/>
              </w:rPr>
            </w:pPr>
            <w:r>
              <w:rPr>
                <w:spacing w:val="2"/>
                <w:sz w:val="21"/>
                <w:szCs w:val="21"/>
              </w:rPr>
              <w:t xml:space="preserve">不涉及水产 </w:t>
            </w:r>
            <w:r>
              <w:rPr>
                <w:spacing w:val="-2"/>
                <w:sz w:val="21"/>
                <w:szCs w:val="21"/>
              </w:rPr>
              <w:t>种质资源保</w:t>
            </w:r>
            <w:r>
              <w:rPr>
                <w:sz w:val="21"/>
                <w:szCs w:val="21"/>
              </w:rPr>
              <w:t xml:space="preserve"> </w:t>
            </w:r>
            <w:r>
              <w:rPr>
                <w:spacing w:val="2"/>
                <w:sz w:val="21"/>
                <w:szCs w:val="21"/>
              </w:rPr>
              <w:t>护区及国家</w:t>
            </w:r>
            <w:r>
              <w:rPr>
                <w:spacing w:val="1"/>
                <w:sz w:val="21"/>
                <w:szCs w:val="21"/>
              </w:rPr>
              <w:t xml:space="preserve"> </w:t>
            </w:r>
            <w:r>
              <w:rPr>
                <w:spacing w:val="8"/>
                <w:sz w:val="21"/>
                <w:szCs w:val="21"/>
              </w:rPr>
              <w:t>湿地公园。</w:t>
            </w:r>
          </w:p>
        </w:tc>
        <w:tc>
          <w:tcPr>
            <w:tcW w:w="874" w:type="dxa"/>
            <w:vAlign w:val="top"/>
          </w:tcPr>
          <w:p w14:paraId="1214CC26">
            <w:pPr>
              <w:spacing w:line="252" w:lineRule="auto"/>
              <w:rPr>
                <w:rFonts w:ascii="Arial"/>
                <w:sz w:val="21"/>
              </w:rPr>
            </w:pPr>
          </w:p>
          <w:p w14:paraId="78A4F5B8">
            <w:pPr>
              <w:spacing w:line="252" w:lineRule="auto"/>
              <w:rPr>
                <w:rFonts w:ascii="Arial"/>
                <w:sz w:val="21"/>
              </w:rPr>
            </w:pPr>
          </w:p>
          <w:p w14:paraId="40E22A58">
            <w:pPr>
              <w:spacing w:line="252" w:lineRule="auto"/>
              <w:rPr>
                <w:rFonts w:ascii="Arial"/>
                <w:sz w:val="21"/>
              </w:rPr>
            </w:pPr>
          </w:p>
          <w:p w14:paraId="2737CE17">
            <w:pPr>
              <w:spacing w:line="253" w:lineRule="auto"/>
              <w:rPr>
                <w:rFonts w:ascii="Arial"/>
                <w:sz w:val="21"/>
              </w:rPr>
            </w:pPr>
          </w:p>
          <w:p w14:paraId="24BB22F0">
            <w:pPr>
              <w:pStyle w:val="6"/>
              <w:spacing w:before="68" w:line="219" w:lineRule="auto"/>
              <w:ind w:left="219"/>
              <w:rPr>
                <w:sz w:val="21"/>
                <w:szCs w:val="21"/>
              </w:rPr>
            </w:pPr>
            <w:r>
              <w:rPr>
                <w:spacing w:val="-3"/>
                <w:sz w:val="21"/>
                <w:szCs w:val="21"/>
              </w:rPr>
              <w:t>符合</w:t>
            </w:r>
          </w:p>
        </w:tc>
      </w:tr>
      <w:tr w14:paraId="5FB77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8" w:hRule="atLeast"/>
        </w:trPr>
        <w:tc>
          <w:tcPr>
            <w:tcW w:w="1573" w:type="dxa"/>
            <w:vMerge w:val="continue"/>
            <w:tcBorders>
              <w:top w:val="nil"/>
              <w:bottom w:val="nil"/>
            </w:tcBorders>
            <w:vAlign w:val="top"/>
          </w:tcPr>
          <w:p w14:paraId="4EF49EAD">
            <w:pPr>
              <w:rPr>
                <w:rFonts w:ascii="Arial"/>
                <w:sz w:val="21"/>
              </w:rPr>
            </w:pPr>
          </w:p>
        </w:tc>
        <w:tc>
          <w:tcPr>
            <w:tcW w:w="90" w:type="dxa"/>
            <w:tcBorders>
              <w:top w:val="nil"/>
              <w:bottom w:val="nil"/>
            </w:tcBorders>
            <w:shd w:val="clear" w:color="auto" w:fill="FFFFFF"/>
            <w:vAlign w:val="top"/>
          </w:tcPr>
          <w:p w14:paraId="7055EF1F">
            <w:pPr>
              <w:rPr>
                <w:rFonts w:ascii="Arial"/>
                <w:sz w:val="21"/>
              </w:rPr>
            </w:pPr>
          </w:p>
        </w:tc>
        <w:tc>
          <w:tcPr>
            <w:tcW w:w="669" w:type="dxa"/>
            <w:textDirection w:val="tbRlV"/>
            <w:vAlign w:val="top"/>
          </w:tcPr>
          <w:p w14:paraId="27974E5D">
            <w:pPr>
              <w:pStyle w:val="6"/>
              <w:spacing w:before="246" w:line="200" w:lineRule="auto"/>
              <w:ind w:left="900"/>
              <w:rPr>
                <w:sz w:val="21"/>
                <w:szCs w:val="21"/>
              </w:rPr>
            </w:pPr>
            <w:r>
              <w:rPr>
                <w:sz w:val="21"/>
                <w:szCs w:val="21"/>
              </w:rPr>
              <w:t>第</w:t>
            </w:r>
            <w:r>
              <w:rPr>
                <w:spacing w:val="-23"/>
                <w:sz w:val="21"/>
                <w:szCs w:val="21"/>
              </w:rPr>
              <w:t xml:space="preserve"> </w:t>
            </w:r>
            <w:r>
              <w:rPr>
                <w:sz w:val="21"/>
                <w:szCs w:val="21"/>
              </w:rPr>
              <w:t>六</w:t>
            </w:r>
            <w:r>
              <w:rPr>
                <w:spacing w:val="-23"/>
                <w:sz w:val="21"/>
                <w:szCs w:val="21"/>
              </w:rPr>
              <w:t xml:space="preserve"> </w:t>
            </w:r>
            <w:r>
              <w:rPr>
                <w:sz w:val="21"/>
                <w:szCs w:val="21"/>
              </w:rPr>
              <w:t>条</w:t>
            </w:r>
          </w:p>
        </w:tc>
        <w:tc>
          <w:tcPr>
            <w:tcW w:w="4046" w:type="dxa"/>
            <w:vAlign w:val="top"/>
          </w:tcPr>
          <w:p w14:paraId="464A1323">
            <w:pPr>
              <w:pStyle w:val="6"/>
              <w:spacing w:before="230" w:line="219" w:lineRule="auto"/>
              <w:ind w:left="173"/>
              <w:rPr>
                <w:sz w:val="21"/>
                <w:szCs w:val="21"/>
              </w:rPr>
            </w:pPr>
            <w:r>
              <w:rPr>
                <w:sz w:val="21"/>
                <w:szCs w:val="21"/>
              </w:rPr>
              <w:t>禁止违法利用、占用长江流域河湖岸线。</w:t>
            </w:r>
          </w:p>
          <w:p w14:paraId="7392A25E">
            <w:pPr>
              <w:pStyle w:val="6"/>
              <w:spacing w:before="30" w:line="219" w:lineRule="auto"/>
              <w:ind w:left="233"/>
              <w:rPr>
                <w:sz w:val="21"/>
                <w:szCs w:val="21"/>
              </w:rPr>
            </w:pPr>
            <w:r>
              <w:rPr>
                <w:spacing w:val="-1"/>
                <w:sz w:val="21"/>
                <w:szCs w:val="21"/>
              </w:rPr>
              <w:t>禁止在金沙江岸线保护区和保留区内投</w:t>
            </w:r>
          </w:p>
          <w:p w14:paraId="025E6FEE">
            <w:pPr>
              <w:pStyle w:val="6"/>
              <w:spacing w:before="20" w:line="219" w:lineRule="auto"/>
              <w:ind w:left="233"/>
              <w:rPr>
                <w:sz w:val="21"/>
                <w:szCs w:val="21"/>
              </w:rPr>
            </w:pPr>
            <w:r>
              <w:rPr>
                <w:sz w:val="21"/>
                <w:szCs w:val="21"/>
              </w:rPr>
              <w:t>资建设除事公关共安全及公众利益的防</w:t>
            </w:r>
          </w:p>
          <w:p w14:paraId="44D1775F">
            <w:pPr>
              <w:pStyle w:val="6"/>
              <w:spacing w:before="19" w:line="219" w:lineRule="auto"/>
              <w:ind w:left="233"/>
              <w:rPr>
                <w:sz w:val="21"/>
                <w:szCs w:val="21"/>
              </w:rPr>
            </w:pPr>
            <w:r>
              <w:rPr>
                <w:spacing w:val="-1"/>
                <w:sz w:val="21"/>
                <w:szCs w:val="21"/>
              </w:rPr>
              <w:t>洪护岸、河道治理、供水、生态环境保</w:t>
            </w:r>
          </w:p>
          <w:p w14:paraId="57E4EAD4">
            <w:pPr>
              <w:pStyle w:val="6"/>
              <w:spacing w:before="43" w:line="220" w:lineRule="auto"/>
              <w:ind w:left="233"/>
              <w:rPr>
                <w:sz w:val="21"/>
                <w:szCs w:val="21"/>
              </w:rPr>
            </w:pPr>
            <w:r>
              <w:rPr>
                <w:sz w:val="21"/>
                <w:szCs w:val="21"/>
              </w:rPr>
              <w:t>护、航道整治、国家重要基础设施以外</w:t>
            </w:r>
          </w:p>
          <w:p w14:paraId="1B430325">
            <w:pPr>
              <w:pStyle w:val="6"/>
              <w:spacing w:before="8" w:line="219" w:lineRule="auto"/>
              <w:ind w:left="233"/>
              <w:rPr>
                <w:sz w:val="21"/>
                <w:szCs w:val="21"/>
              </w:rPr>
            </w:pPr>
            <w:r>
              <w:rPr>
                <w:spacing w:val="1"/>
                <w:sz w:val="21"/>
                <w:szCs w:val="21"/>
              </w:rPr>
              <w:t>的项目。禁止在金沙江干流、九大高原</w:t>
            </w:r>
          </w:p>
          <w:p w14:paraId="6358E67F">
            <w:pPr>
              <w:pStyle w:val="6"/>
              <w:spacing w:before="32" w:line="219" w:lineRule="auto"/>
              <w:ind w:left="233"/>
              <w:rPr>
                <w:sz w:val="21"/>
                <w:szCs w:val="21"/>
              </w:rPr>
            </w:pPr>
            <w:r>
              <w:rPr>
                <w:spacing w:val="-1"/>
                <w:sz w:val="21"/>
                <w:szCs w:val="21"/>
              </w:rPr>
              <w:t>湖泊保护区、保留区内投资建设不利于</w:t>
            </w:r>
          </w:p>
          <w:p w14:paraId="05F870E4">
            <w:pPr>
              <w:pStyle w:val="6"/>
              <w:spacing w:before="31" w:line="219" w:lineRule="auto"/>
              <w:ind w:left="593"/>
              <w:rPr>
                <w:sz w:val="21"/>
                <w:szCs w:val="21"/>
              </w:rPr>
            </w:pPr>
            <w:r>
              <w:rPr>
                <w:sz w:val="21"/>
                <w:szCs w:val="21"/>
              </w:rPr>
              <w:t>水资源及自然生态保护的项目。</w:t>
            </w:r>
          </w:p>
        </w:tc>
        <w:tc>
          <w:tcPr>
            <w:tcW w:w="1568" w:type="dxa"/>
            <w:vAlign w:val="top"/>
          </w:tcPr>
          <w:p w14:paraId="7B31C206">
            <w:pPr>
              <w:spacing w:line="283" w:lineRule="auto"/>
              <w:rPr>
                <w:rFonts w:ascii="Arial"/>
                <w:sz w:val="21"/>
              </w:rPr>
            </w:pPr>
          </w:p>
          <w:p w14:paraId="1C91A94C">
            <w:pPr>
              <w:spacing w:line="284" w:lineRule="auto"/>
              <w:rPr>
                <w:rFonts w:ascii="Arial"/>
                <w:sz w:val="21"/>
              </w:rPr>
            </w:pPr>
          </w:p>
          <w:p w14:paraId="79C403E6">
            <w:pPr>
              <w:pStyle w:val="6"/>
              <w:spacing w:before="68" w:line="219" w:lineRule="auto"/>
              <w:ind w:left="147"/>
              <w:rPr>
                <w:sz w:val="21"/>
                <w:szCs w:val="21"/>
              </w:rPr>
            </w:pPr>
            <w:r>
              <w:rPr>
                <w:spacing w:val="1"/>
                <w:sz w:val="21"/>
                <w:szCs w:val="21"/>
              </w:rPr>
              <w:t>项目位于曲靖</w:t>
            </w:r>
          </w:p>
          <w:p w14:paraId="0750BC03">
            <w:pPr>
              <w:pStyle w:val="6"/>
              <w:spacing w:before="32" w:line="219" w:lineRule="auto"/>
              <w:ind w:left="47"/>
              <w:rPr>
                <w:sz w:val="21"/>
                <w:szCs w:val="21"/>
              </w:rPr>
            </w:pPr>
            <w:r>
              <w:rPr>
                <w:spacing w:val="1"/>
                <w:sz w:val="21"/>
                <w:szCs w:val="21"/>
              </w:rPr>
              <w:t>市马龙区，不涉</w:t>
            </w:r>
          </w:p>
          <w:p w14:paraId="4BC048C3">
            <w:pPr>
              <w:pStyle w:val="6"/>
              <w:spacing w:before="31" w:line="220" w:lineRule="auto"/>
              <w:ind w:left="147"/>
              <w:rPr>
                <w:sz w:val="21"/>
                <w:szCs w:val="21"/>
              </w:rPr>
            </w:pPr>
            <w:r>
              <w:rPr>
                <w:spacing w:val="-2"/>
                <w:sz w:val="21"/>
                <w:szCs w:val="21"/>
              </w:rPr>
              <w:t>及长江流域河</w:t>
            </w:r>
          </w:p>
          <w:p w14:paraId="69504A5B">
            <w:pPr>
              <w:pStyle w:val="6"/>
              <w:spacing w:before="19" w:line="220" w:lineRule="auto"/>
              <w:ind w:left="147"/>
              <w:rPr>
                <w:sz w:val="21"/>
                <w:szCs w:val="21"/>
              </w:rPr>
            </w:pPr>
            <w:r>
              <w:rPr>
                <w:spacing w:val="3"/>
                <w:sz w:val="21"/>
                <w:szCs w:val="21"/>
              </w:rPr>
              <w:t>湖岸线保护区</w:t>
            </w:r>
          </w:p>
          <w:p w14:paraId="0FE22D78">
            <w:pPr>
              <w:pStyle w:val="6"/>
              <w:spacing w:before="29" w:line="220" w:lineRule="auto"/>
              <w:ind w:left="307"/>
              <w:rPr>
                <w:sz w:val="21"/>
                <w:szCs w:val="21"/>
              </w:rPr>
            </w:pPr>
            <w:r>
              <w:rPr>
                <w:spacing w:val="-1"/>
                <w:sz w:val="21"/>
                <w:szCs w:val="21"/>
              </w:rPr>
              <w:t>和保留区。</w:t>
            </w:r>
          </w:p>
        </w:tc>
        <w:tc>
          <w:tcPr>
            <w:tcW w:w="874" w:type="dxa"/>
            <w:vAlign w:val="top"/>
          </w:tcPr>
          <w:p w14:paraId="0A7A6857">
            <w:pPr>
              <w:spacing w:line="281" w:lineRule="auto"/>
              <w:rPr>
                <w:rFonts w:ascii="Arial"/>
                <w:sz w:val="21"/>
              </w:rPr>
            </w:pPr>
          </w:p>
          <w:p w14:paraId="6361FC99">
            <w:pPr>
              <w:spacing w:line="281" w:lineRule="auto"/>
              <w:rPr>
                <w:rFonts w:ascii="Arial"/>
                <w:sz w:val="21"/>
              </w:rPr>
            </w:pPr>
          </w:p>
          <w:p w14:paraId="730C7871">
            <w:pPr>
              <w:spacing w:line="281" w:lineRule="auto"/>
              <w:rPr>
                <w:rFonts w:ascii="Arial"/>
                <w:sz w:val="21"/>
              </w:rPr>
            </w:pPr>
          </w:p>
          <w:p w14:paraId="1E96B50F">
            <w:pPr>
              <w:spacing w:line="282" w:lineRule="auto"/>
              <w:rPr>
                <w:rFonts w:ascii="Arial"/>
                <w:sz w:val="21"/>
              </w:rPr>
            </w:pPr>
          </w:p>
          <w:p w14:paraId="144DC23A">
            <w:pPr>
              <w:pStyle w:val="6"/>
              <w:spacing w:before="68" w:line="219" w:lineRule="auto"/>
              <w:ind w:left="219"/>
              <w:rPr>
                <w:sz w:val="21"/>
                <w:szCs w:val="21"/>
              </w:rPr>
            </w:pPr>
            <w:r>
              <w:rPr>
                <w:spacing w:val="-3"/>
                <w:sz w:val="21"/>
                <w:szCs w:val="21"/>
              </w:rPr>
              <w:t>符合</w:t>
            </w:r>
          </w:p>
        </w:tc>
      </w:tr>
      <w:tr w14:paraId="0CBFC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1573" w:type="dxa"/>
            <w:vMerge w:val="continue"/>
            <w:tcBorders>
              <w:top w:val="nil"/>
              <w:bottom w:val="nil"/>
            </w:tcBorders>
            <w:vAlign w:val="top"/>
          </w:tcPr>
          <w:p w14:paraId="20B5862D">
            <w:pPr>
              <w:rPr>
                <w:rFonts w:ascii="Arial"/>
                <w:sz w:val="21"/>
              </w:rPr>
            </w:pPr>
          </w:p>
        </w:tc>
        <w:tc>
          <w:tcPr>
            <w:tcW w:w="90" w:type="dxa"/>
            <w:tcBorders>
              <w:top w:val="nil"/>
              <w:bottom w:val="nil"/>
            </w:tcBorders>
            <w:shd w:val="clear" w:color="auto" w:fill="FFFFFF"/>
            <w:vAlign w:val="top"/>
          </w:tcPr>
          <w:p w14:paraId="2F60E338">
            <w:pPr>
              <w:rPr>
                <w:rFonts w:ascii="Arial"/>
                <w:sz w:val="21"/>
              </w:rPr>
            </w:pPr>
          </w:p>
        </w:tc>
        <w:tc>
          <w:tcPr>
            <w:tcW w:w="669" w:type="dxa"/>
            <w:textDirection w:val="tbRlV"/>
            <w:vAlign w:val="top"/>
          </w:tcPr>
          <w:p w14:paraId="7AC9415B">
            <w:pPr>
              <w:pStyle w:val="6"/>
              <w:spacing w:before="245" w:line="201" w:lineRule="auto"/>
              <w:ind w:left="392"/>
              <w:rPr>
                <w:sz w:val="21"/>
                <w:szCs w:val="21"/>
              </w:rPr>
            </w:pPr>
            <w:r>
              <w:rPr>
                <w:sz w:val="21"/>
                <w:szCs w:val="21"/>
              </w:rPr>
              <w:t>第</w:t>
            </w:r>
            <w:r>
              <w:rPr>
                <w:spacing w:val="-13"/>
                <w:sz w:val="21"/>
                <w:szCs w:val="21"/>
              </w:rPr>
              <w:t xml:space="preserve"> </w:t>
            </w:r>
            <w:r>
              <w:rPr>
                <w:sz w:val="21"/>
                <w:szCs w:val="21"/>
              </w:rPr>
              <w:t>七</w:t>
            </w:r>
            <w:r>
              <w:rPr>
                <w:spacing w:val="-13"/>
                <w:sz w:val="21"/>
                <w:szCs w:val="21"/>
              </w:rPr>
              <w:t xml:space="preserve"> </w:t>
            </w:r>
            <w:r>
              <w:rPr>
                <w:sz w:val="21"/>
                <w:szCs w:val="21"/>
              </w:rPr>
              <w:t>条</w:t>
            </w:r>
          </w:p>
        </w:tc>
        <w:tc>
          <w:tcPr>
            <w:tcW w:w="4046" w:type="dxa"/>
            <w:vAlign w:val="top"/>
          </w:tcPr>
          <w:p w14:paraId="47B31227">
            <w:pPr>
              <w:pStyle w:val="6"/>
              <w:spacing w:before="41" w:line="219" w:lineRule="auto"/>
              <w:ind w:left="123"/>
              <w:rPr>
                <w:sz w:val="21"/>
                <w:szCs w:val="21"/>
              </w:rPr>
            </w:pPr>
            <w:r>
              <w:rPr>
                <w:spacing w:val="-1"/>
                <w:sz w:val="21"/>
                <w:szCs w:val="21"/>
              </w:rPr>
              <w:t>禁止在金沙江干流、长江一级支流建设除</w:t>
            </w:r>
          </w:p>
          <w:p w14:paraId="3A80C780">
            <w:pPr>
              <w:pStyle w:val="6"/>
              <w:spacing w:before="22" w:line="219" w:lineRule="auto"/>
              <w:ind w:left="123"/>
              <w:rPr>
                <w:sz w:val="21"/>
                <w:szCs w:val="21"/>
              </w:rPr>
            </w:pPr>
            <w:r>
              <w:rPr>
                <w:spacing w:val="1"/>
                <w:sz w:val="21"/>
                <w:szCs w:val="21"/>
              </w:rPr>
              <w:t>党中央、国务院、国家投资主管部门、省</w:t>
            </w:r>
          </w:p>
          <w:p w14:paraId="71457355">
            <w:pPr>
              <w:pStyle w:val="6"/>
              <w:spacing w:before="10" w:line="219" w:lineRule="auto"/>
              <w:ind w:left="233"/>
              <w:rPr>
                <w:sz w:val="21"/>
                <w:szCs w:val="21"/>
              </w:rPr>
            </w:pPr>
            <w:r>
              <w:rPr>
                <w:sz w:val="21"/>
                <w:szCs w:val="21"/>
              </w:rPr>
              <w:t>级有关部门批复同意以外的过江基础设</w:t>
            </w:r>
          </w:p>
          <w:p w14:paraId="46D52F76">
            <w:pPr>
              <w:pStyle w:val="6"/>
              <w:spacing w:before="29" w:line="219" w:lineRule="auto"/>
              <w:ind w:left="123"/>
              <w:rPr>
                <w:sz w:val="21"/>
                <w:szCs w:val="21"/>
              </w:rPr>
            </w:pPr>
            <w:r>
              <w:rPr>
                <w:spacing w:val="-1"/>
                <w:sz w:val="21"/>
                <w:szCs w:val="21"/>
              </w:rPr>
              <w:t>施项目；禁止未经许可在金沙江干流、长</w:t>
            </w:r>
          </w:p>
          <w:p w14:paraId="1FE0214E">
            <w:pPr>
              <w:pStyle w:val="6"/>
              <w:spacing w:before="22" w:line="219" w:lineRule="auto"/>
              <w:ind w:left="123"/>
              <w:rPr>
                <w:sz w:val="21"/>
                <w:szCs w:val="21"/>
              </w:rPr>
            </w:pPr>
            <w:r>
              <w:rPr>
                <w:spacing w:val="-1"/>
                <w:sz w:val="21"/>
                <w:szCs w:val="21"/>
              </w:rPr>
              <w:t>江一级支流、九大高原湖泊流域新设、改</w:t>
            </w:r>
          </w:p>
          <w:p w14:paraId="7FC7FA3A">
            <w:pPr>
              <w:pStyle w:val="6"/>
              <w:spacing w:before="11" w:line="199" w:lineRule="auto"/>
              <w:ind w:left="1223"/>
              <w:rPr>
                <w:sz w:val="21"/>
                <w:szCs w:val="21"/>
              </w:rPr>
            </w:pPr>
            <w:r>
              <w:rPr>
                <w:sz w:val="21"/>
                <w:szCs w:val="21"/>
              </w:rPr>
              <w:t>设或扩大排污口。</w:t>
            </w:r>
          </w:p>
        </w:tc>
        <w:tc>
          <w:tcPr>
            <w:tcW w:w="1568" w:type="dxa"/>
            <w:vAlign w:val="top"/>
          </w:tcPr>
          <w:p w14:paraId="65190A32">
            <w:pPr>
              <w:pStyle w:val="6"/>
              <w:spacing w:before="161" w:line="219" w:lineRule="auto"/>
              <w:ind w:left="257"/>
              <w:rPr>
                <w:sz w:val="21"/>
                <w:szCs w:val="21"/>
              </w:rPr>
            </w:pPr>
            <w:r>
              <w:rPr>
                <w:spacing w:val="-2"/>
                <w:sz w:val="21"/>
                <w:szCs w:val="21"/>
              </w:rPr>
              <w:t>本项目不涉</w:t>
            </w:r>
          </w:p>
          <w:p w14:paraId="182761D2">
            <w:pPr>
              <w:pStyle w:val="6"/>
              <w:spacing w:before="41" w:line="219" w:lineRule="auto"/>
              <w:ind w:left="257"/>
              <w:rPr>
                <w:sz w:val="21"/>
                <w:szCs w:val="21"/>
              </w:rPr>
            </w:pPr>
            <w:r>
              <w:rPr>
                <w:spacing w:val="-2"/>
                <w:sz w:val="21"/>
                <w:szCs w:val="21"/>
              </w:rPr>
              <w:t>及金沙江干</w:t>
            </w:r>
          </w:p>
          <w:p w14:paraId="3845E71B">
            <w:pPr>
              <w:pStyle w:val="6"/>
              <w:spacing w:before="24" w:line="221" w:lineRule="auto"/>
              <w:ind w:left="147"/>
              <w:rPr>
                <w:sz w:val="21"/>
                <w:szCs w:val="21"/>
              </w:rPr>
            </w:pPr>
            <w:r>
              <w:rPr>
                <w:spacing w:val="2"/>
                <w:sz w:val="21"/>
                <w:szCs w:val="21"/>
              </w:rPr>
              <w:t>流、长江一级</w:t>
            </w:r>
          </w:p>
          <w:p w14:paraId="4FF39AB6">
            <w:pPr>
              <w:pStyle w:val="6"/>
              <w:spacing w:before="5" w:line="219" w:lineRule="auto"/>
              <w:ind w:left="147"/>
              <w:rPr>
                <w:sz w:val="21"/>
                <w:szCs w:val="21"/>
              </w:rPr>
            </w:pPr>
            <w:r>
              <w:rPr>
                <w:spacing w:val="-2"/>
                <w:sz w:val="21"/>
                <w:szCs w:val="21"/>
              </w:rPr>
              <w:t>支流、九大高</w:t>
            </w:r>
          </w:p>
          <w:p w14:paraId="55527AB0">
            <w:pPr>
              <w:pStyle w:val="6"/>
              <w:spacing w:before="21" w:line="220" w:lineRule="auto"/>
              <w:ind w:left="197"/>
              <w:rPr>
                <w:sz w:val="21"/>
                <w:szCs w:val="21"/>
              </w:rPr>
            </w:pPr>
            <w:r>
              <w:rPr>
                <w:sz w:val="21"/>
                <w:szCs w:val="21"/>
              </w:rPr>
              <w:t>原湖泊流域。</w:t>
            </w:r>
          </w:p>
        </w:tc>
        <w:tc>
          <w:tcPr>
            <w:tcW w:w="874" w:type="dxa"/>
            <w:vAlign w:val="top"/>
          </w:tcPr>
          <w:p w14:paraId="24DE2C72">
            <w:pPr>
              <w:spacing w:line="320" w:lineRule="auto"/>
              <w:rPr>
                <w:rFonts w:ascii="Arial"/>
                <w:sz w:val="21"/>
              </w:rPr>
            </w:pPr>
          </w:p>
          <w:p w14:paraId="38213B4E">
            <w:pPr>
              <w:spacing w:line="320" w:lineRule="auto"/>
              <w:rPr>
                <w:rFonts w:ascii="Arial"/>
                <w:sz w:val="21"/>
              </w:rPr>
            </w:pPr>
          </w:p>
          <w:p w14:paraId="48D54DEE">
            <w:pPr>
              <w:pStyle w:val="6"/>
              <w:spacing w:before="68" w:line="219" w:lineRule="auto"/>
              <w:ind w:left="219"/>
              <w:rPr>
                <w:sz w:val="21"/>
                <w:szCs w:val="21"/>
              </w:rPr>
            </w:pPr>
            <w:r>
              <w:rPr>
                <w:spacing w:val="-3"/>
                <w:sz w:val="21"/>
                <w:szCs w:val="21"/>
              </w:rPr>
              <w:t>符合</w:t>
            </w:r>
          </w:p>
        </w:tc>
      </w:tr>
      <w:tr w14:paraId="59DAF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1573" w:type="dxa"/>
            <w:vMerge w:val="continue"/>
            <w:tcBorders>
              <w:top w:val="nil"/>
              <w:bottom w:val="nil"/>
            </w:tcBorders>
            <w:vAlign w:val="top"/>
          </w:tcPr>
          <w:p w14:paraId="53A7184F">
            <w:pPr>
              <w:rPr>
                <w:rFonts w:ascii="Arial"/>
                <w:sz w:val="21"/>
              </w:rPr>
            </w:pPr>
          </w:p>
        </w:tc>
        <w:tc>
          <w:tcPr>
            <w:tcW w:w="90" w:type="dxa"/>
            <w:tcBorders>
              <w:top w:val="nil"/>
              <w:bottom w:val="nil"/>
            </w:tcBorders>
            <w:shd w:val="clear" w:color="auto" w:fill="FFFFFF"/>
            <w:vAlign w:val="top"/>
          </w:tcPr>
          <w:p w14:paraId="0D549BC6">
            <w:pPr>
              <w:rPr>
                <w:rFonts w:ascii="Arial"/>
                <w:sz w:val="21"/>
              </w:rPr>
            </w:pPr>
          </w:p>
        </w:tc>
        <w:tc>
          <w:tcPr>
            <w:tcW w:w="669" w:type="dxa"/>
            <w:textDirection w:val="tbRlV"/>
            <w:vAlign w:val="top"/>
          </w:tcPr>
          <w:p w14:paraId="55E1717D">
            <w:pPr>
              <w:pStyle w:val="6"/>
              <w:spacing w:before="246" w:line="200" w:lineRule="auto"/>
              <w:ind w:left="133"/>
              <w:rPr>
                <w:sz w:val="21"/>
                <w:szCs w:val="21"/>
              </w:rPr>
            </w:pPr>
            <w:r>
              <w:rPr>
                <w:sz w:val="21"/>
                <w:szCs w:val="21"/>
              </w:rPr>
              <w:t>第</w:t>
            </w:r>
            <w:r>
              <w:rPr>
                <w:spacing w:val="-13"/>
                <w:sz w:val="21"/>
                <w:szCs w:val="21"/>
              </w:rPr>
              <w:t xml:space="preserve"> </w:t>
            </w:r>
            <w:r>
              <w:rPr>
                <w:sz w:val="21"/>
                <w:szCs w:val="21"/>
              </w:rPr>
              <w:t>八</w:t>
            </w:r>
            <w:r>
              <w:rPr>
                <w:spacing w:val="-13"/>
                <w:sz w:val="21"/>
                <w:szCs w:val="21"/>
              </w:rPr>
              <w:t xml:space="preserve"> </w:t>
            </w:r>
            <w:r>
              <w:rPr>
                <w:sz w:val="21"/>
                <w:szCs w:val="21"/>
              </w:rPr>
              <w:t>条</w:t>
            </w:r>
          </w:p>
        </w:tc>
        <w:tc>
          <w:tcPr>
            <w:tcW w:w="4046" w:type="dxa"/>
            <w:vAlign w:val="top"/>
          </w:tcPr>
          <w:p w14:paraId="3D50562C">
            <w:pPr>
              <w:pStyle w:val="6"/>
              <w:spacing w:before="162" w:line="219" w:lineRule="auto"/>
              <w:ind w:left="123"/>
              <w:rPr>
                <w:sz w:val="21"/>
                <w:szCs w:val="21"/>
              </w:rPr>
            </w:pPr>
            <w:r>
              <w:rPr>
                <w:spacing w:val="-1"/>
                <w:sz w:val="21"/>
                <w:szCs w:val="21"/>
              </w:rPr>
              <w:t>禁止在金沙江干流、长江一级支流、水生</w:t>
            </w:r>
          </w:p>
          <w:p w14:paraId="44EB2242">
            <w:pPr>
              <w:pStyle w:val="6"/>
              <w:spacing w:before="42" w:line="219" w:lineRule="auto"/>
              <w:ind w:left="233"/>
              <w:rPr>
                <w:sz w:val="21"/>
                <w:szCs w:val="21"/>
              </w:rPr>
            </w:pPr>
            <w:r>
              <w:rPr>
                <w:spacing w:val="-1"/>
                <w:sz w:val="21"/>
                <w:szCs w:val="21"/>
              </w:rPr>
              <w:t>生物保护区和长江流域禁捕水域开展天</w:t>
            </w:r>
          </w:p>
          <w:p w14:paraId="103DF0FE">
            <w:pPr>
              <w:pStyle w:val="6"/>
              <w:spacing w:before="20" w:line="219" w:lineRule="auto"/>
              <w:ind w:left="912"/>
              <w:rPr>
                <w:sz w:val="21"/>
                <w:szCs w:val="21"/>
              </w:rPr>
            </w:pPr>
            <w:r>
              <w:rPr>
                <w:spacing w:val="-1"/>
                <w:sz w:val="21"/>
                <w:szCs w:val="21"/>
              </w:rPr>
              <w:t>然渔业资源生产性捕捞。</w:t>
            </w:r>
          </w:p>
        </w:tc>
        <w:tc>
          <w:tcPr>
            <w:tcW w:w="1568" w:type="dxa"/>
            <w:vAlign w:val="top"/>
          </w:tcPr>
          <w:p w14:paraId="4619DD37">
            <w:pPr>
              <w:pStyle w:val="6"/>
              <w:spacing w:before="42" w:line="219" w:lineRule="auto"/>
              <w:ind w:left="147"/>
              <w:rPr>
                <w:sz w:val="21"/>
                <w:szCs w:val="21"/>
              </w:rPr>
            </w:pPr>
            <w:r>
              <w:rPr>
                <w:spacing w:val="1"/>
                <w:sz w:val="21"/>
                <w:szCs w:val="21"/>
              </w:rPr>
              <w:t>本项目不涉及</w:t>
            </w:r>
          </w:p>
          <w:p w14:paraId="7639A0D7">
            <w:pPr>
              <w:pStyle w:val="6"/>
              <w:spacing w:before="21" w:line="219" w:lineRule="auto"/>
              <w:ind w:left="147"/>
              <w:rPr>
                <w:sz w:val="21"/>
                <w:szCs w:val="21"/>
              </w:rPr>
            </w:pPr>
            <w:r>
              <w:rPr>
                <w:spacing w:val="17"/>
                <w:sz w:val="21"/>
                <w:szCs w:val="21"/>
              </w:rPr>
              <w:t>金沙江干流、</w:t>
            </w:r>
          </w:p>
          <w:p w14:paraId="58C06CE3">
            <w:pPr>
              <w:pStyle w:val="6"/>
              <w:spacing w:before="32" w:line="214" w:lineRule="auto"/>
              <w:ind w:left="257"/>
              <w:rPr>
                <w:sz w:val="21"/>
                <w:szCs w:val="21"/>
              </w:rPr>
            </w:pPr>
            <w:r>
              <w:rPr>
                <w:spacing w:val="2"/>
                <w:sz w:val="21"/>
                <w:szCs w:val="21"/>
              </w:rPr>
              <w:t>长江一级支</w:t>
            </w:r>
          </w:p>
          <w:p w14:paraId="5951C29B">
            <w:pPr>
              <w:pStyle w:val="6"/>
              <w:spacing w:line="212" w:lineRule="auto"/>
              <w:ind w:left="617"/>
              <w:rPr>
                <w:sz w:val="21"/>
                <w:szCs w:val="21"/>
              </w:rPr>
            </w:pPr>
            <w:r>
              <w:rPr>
                <w:spacing w:val="2"/>
                <w:sz w:val="21"/>
                <w:szCs w:val="21"/>
              </w:rPr>
              <w:t>流。</w:t>
            </w:r>
          </w:p>
        </w:tc>
        <w:tc>
          <w:tcPr>
            <w:tcW w:w="874" w:type="dxa"/>
            <w:vAlign w:val="top"/>
          </w:tcPr>
          <w:p w14:paraId="6B724690">
            <w:pPr>
              <w:spacing w:line="373" w:lineRule="auto"/>
              <w:rPr>
                <w:rFonts w:ascii="Arial"/>
                <w:sz w:val="21"/>
              </w:rPr>
            </w:pPr>
          </w:p>
          <w:p w14:paraId="53CDCC51">
            <w:pPr>
              <w:pStyle w:val="6"/>
              <w:spacing w:before="68" w:line="219" w:lineRule="auto"/>
              <w:ind w:left="219"/>
              <w:rPr>
                <w:sz w:val="21"/>
                <w:szCs w:val="21"/>
              </w:rPr>
            </w:pPr>
            <w:r>
              <w:rPr>
                <w:spacing w:val="-3"/>
                <w:sz w:val="21"/>
                <w:szCs w:val="21"/>
              </w:rPr>
              <w:t>符合</w:t>
            </w:r>
          </w:p>
        </w:tc>
      </w:tr>
      <w:tr w14:paraId="7EB91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1573" w:type="dxa"/>
            <w:vMerge w:val="continue"/>
            <w:tcBorders>
              <w:top w:val="nil"/>
              <w:bottom w:val="nil"/>
            </w:tcBorders>
            <w:vAlign w:val="top"/>
          </w:tcPr>
          <w:p w14:paraId="6EE8F82E">
            <w:pPr>
              <w:rPr>
                <w:rFonts w:ascii="Arial"/>
                <w:sz w:val="21"/>
              </w:rPr>
            </w:pPr>
          </w:p>
        </w:tc>
        <w:tc>
          <w:tcPr>
            <w:tcW w:w="90" w:type="dxa"/>
            <w:tcBorders>
              <w:top w:val="nil"/>
              <w:bottom w:val="nil"/>
            </w:tcBorders>
            <w:shd w:val="clear" w:color="auto" w:fill="FFFFFF"/>
            <w:vAlign w:val="top"/>
          </w:tcPr>
          <w:p w14:paraId="7C3C46C4">
            <w:pPr>
              <w:rPr>
                <w:rFonts w:ascii="Arial"/>
                <w:sz w:val="21"/>
              </w:rPr>
            </w:pPr>
          </w:p>
        </w:tc>
        <w:tc>
          <w:tcPr>
            <w:tcW w:w="669" w:type="dxa"/>
            <w:textDirection w:val="tbRlV"/>
            <w:vAlign w:val="top"/>
          </w:tcPr>
          <w:p w14:paraId="3ED7D007">
            <w:pPr>
              <w:pStyle w:val="6"/>
              <w:spacing w:before="246" w:line="200" w:lineRule="auto"/>
              <w:ind w:left="535"/>
              <w:rPr>
                <w:sz w:val="21"/>
                <w:szCs w:val="21"/>
              </w:rPr>
            </w:pPr>
            <w:r>
              <w:rPr>
                <w:sz w:val="21"/>
                <w:szCs w:val="21"/>
              </w:rPr>
              <w:t>第</w:t>
            </w:r>
            <w:r>
              <w:rPr>
                <w:spacing w:val="-13"/>
                <w:sz w:val="21"/>
                <w:szCs w:val="21"/>
              </w:rPr>
              <w:t xml:space="preserve"> </w:t>
            </w:r>
            <w:r>
              <w:rPr>
                <w:sz w:val="21"/>
                <w:szCs w:val="21"/>
              </w:rPr>
              <w:t>九</w:t>
            </w:r>
            <w:r>
              <w:rPr>
                <w:spacing w:val="-13"/>
                <w:sz w:val="21"/>
                <w:szCs w:val="21"/>
              </w:rPr>
              <w:t xml:space="preserve"> </w:t>
            </w:r>
            <w:r>
              <w:rPr>
                <w:sz w:val="21"/>
                <w:szCs w:val="21"/>
              </w:rPr>
              <w:t>条</w:t>
            </w:r>
          </w:p>
        </w:tc>
        <w:tc>
          <w:tcPr>
            <w:tcW w:w="4046" w:type="dxa"/>
            <w:vAlign w:val="top"/>
          </w:tcPr>
          <w:p w14:paraId="76EE2CA9">
            <w:pPr>
              <w:pStyle w:val="6"/>
              <w:spacing w:before="23" w:line="219" w:lineRule="auto"/>
              <w:ind w:left="123"/>
              <w:rPr>
                <w:sz w:val="21"/>
                <w:szCs w:val="21"/>
              </w:rPr>
            </w:pPr>
            <w:r>
              <w:rPr>
                <w:spacing w:val="-1"/>
                <w:sz w:val="21"/>
                <w:szCs w:val="21"/>
              </w:rPr>
              <w:t>禁止在金沙江干流、长江一级支流和九大</w:t>
            </w:r>
          </w:p>
          <w:p w14:paraId="7A5161E2">
            <w:pPr>
              <w:pStyle w:val="6"/>
              <w:spacing w:before="32" w:line="219" w:lineRule="auto"/>
              <w:ind w:left="173"/>
              <w:rPr>
                <w:sz w:val="21"/>
                <w:szCs w:val="21"/>
              </w:rPr>
            </w:pPr>
            <w:r>
              <w:rPr>
                <w:sz w:val="21"/>
                <w:szCs w:val="21"/>
              </w:rPr>
              <w:t>高原湖泊岸线1公里范围内新建、扩建化</w:t>
            </w:r>
          </w:p>
          <w:p w14:paraId="7C0DE720">
            <w:pPr>
              <w:pStyle w:val="6"/>
              <w:spacing w:before="39" w:line="219" w:lineRule="auto"/>
              <w:ind w:left="123"/>
              <w:rPr>
                <w:sz w:val="21"/>
                <w:szCs w:val="21"/>
              </w:rPr>
            </w:pPr>
            <w:r>
              <w:rPr>
                <w:sz w:val="21"/>
                <w:szCs w:val="21"/>
              </w:rPr>
              <w:t>工园区和化工项目。禁止在金沙江干流岸</w:t>
            </w:r>
          </w:p>
          <w:p w14:paraId="5C809153">
            <w:pPr>
              <w:pStyle w:val="6"/>
              <w:spacing w:before="32" w:line="219" w:lineRule="auto"/>
              <w:ind w:left="233"/>
              <w:rPr>
                <w:sz w:val="21"/>
                <w:szCs w:val="21"/>
              </w:rPr>
            </w:pPr>
            <w:r>
              <w:rPr>
                <w:spacing w:val="1"/>
                <w:sz w:val="21"/>
                <w:szCs w:val="21"/>
              </w:rPr>
              <w:t>线三公里范围内和长江一级支流岸线一</w:t>
            </w:r>
          </w:p>
          <w:p w14:paraId="6119398A">
            <w:pPr>
              <w:pStyle w:val="6"/>
              <w:spacing w:before="10" w:line="219" w:lineRule="auto"/>
              <w:ind w:left="123"/>
              <w:rPr>
                <w:sz w:val="21"/>
                <w:szCs w:val="21"/>
              </w:rPr>
            </w:pPr>
            <w:r>
              <w:rPr>
                <w:sz w:val="21"/>
                <w:szCs w:val="21"/>
              </w:rPr>
              <w:t>公里范围内新建、改建、扩建尾矿库、冶</w:t>
            </w:r>
          </w:p>
          <w:p w14:paraId="20DADAC0">
            <w:pPr>
              <w:pStyle w:val="6"/>
              <w:spacing w:before="19" w:line="219" w:lineRule="auto"/>
              <w:ind w:left="123"/>
              <w:rPr>
                <w:sz w:val="21"/>
                <w:szCs w:val="21"/>
              </w:rPr>
            </w:pPr>
            <w:r>
              <w:rPr>
                <w:sz w:val="21"/>
                <w:szCs w:val="21"/>
              </w:rPr>
              <w:t>炼渣库和磷石膏库，以提升安全、生态环</w:t>
            </w:r>
          </w:p>
          <w:p w14:paraId="560A5B1A">
            <w:pPr>
              <w:pStyle w:val="6"/>
              <w:spacing w:before="12" w:line="197" w:lineRule="auto"/>
              <w:ind w:left="593"/>
              <w:rPr>
                <w:sz w:val="21"/>
                <w:szCs w:val="21"/>
              </w:rPr>
            </w:pPr>
            <w:r>
              <w:rPr>
                <w:sz w:val="21"/>
                <w:szCs w:val="21"/>
              </w:rPr>
              <w:t>境保护水平为目的的改建除外。</w:t>
            </w:r>
          </w:p>
        </w:tc>
        <w:tc>
          <w:tcPr>
            <w:tcW w:w="1568" w:type="dxa"/>
            <w:vAlign w:val="top"/>
          </w:tcPr>
          <w:p w14:paraId="33503C13">
            <w:pPr>
              <w:pStyle w:val="6"/>
              <w:spacing w:before="53" w:line="219" w:lineRule="auto"/>
              <w:ind w:left="257"/>
              <w:rPr>
                <w:sz w:val="21"/>
                <w:szCs w:val="21"/>
              </w:rPr>
            </w:pPr>
            <w:r>
              <w:rPr>
                <w:spacing w:val="2"/>
                <w:sz w:val="21"/>
                <w:szCs w:val="21"/>
              </w:rPr>
              <w:t>项目为光伏</w:t>
            </w:r>
          </w:p>
          <w:p w14:paraId="2C643FA6">
            <w:pPr>
              <w:pStyle w:val="6"/>
              <w:spacing w:before="12" w:line="219" w:lineRule="auto"/>
              <w:ind w:left="257"/>
              <w:rPr>
                <w:sz w:val="21"/>
                <w:szCs w:val="21"/>
              </w:rPr>
            </w:pPr>
            <w:r>
              <w:rPr>
                <w:spacing w:val="-2"/>
                <w:sz w:val="21"/>
                <w:szCs w:val="21"/>
              </w:rPr>
              <w:t>发电农光互</w:t>
            </w:r>
          </w:p>
          <w:p w14:paraId="77F6417D">
            <w:pPr>
              <w:pStyle w:val="6"/>
              <w:spacing w:before="21" w:line="220" w:lineRule="auto"/>
              <w:ind w:left="147"/>
              <w:rPr>
                <w:sz w:val="21"/>
                <w:szCs w:val="21"/>
              </w:rPr>
            </w:pPr>
            <w:r>
              <w:rPr>
                <w:spacing w:val="3"/>
                <w:sz w:val="21"/>
                <w:szCs w:val="21"/>
              </w:rPr>
              <w:t>补项目，不属</w:t>
            </w:r>
          </w:p>
          <w:p w14:paraId="54A87D23">
            <w:pPr>
              <w:pStyle w:val="6"/>
              <w:spacing w:before="39" w:line="220" w:lineRule="auto"/>
              <w:ind w:left="257"/>
              <w:rPr>
                <w:sz w:val="21"/>
                <w:szCs w:val="21"/>
              </w:rPr>
            </w:pPr>
            <w:r>
              <w:rPr>
                <w:spacing w:val="8"/>
                <w:sz w:val="21"/>
                <w:szCs w:val="21"/>
              </w:rPr>
              <w:t>于化工项目</w:t>
            </w:r>
          </w:p>
          <w:p w14:paraId="35783687">
            <w:pPr>
              <w:pStyle w:val="6"/>
              <w:spacing w:before="9" w:line="219" w:lineRule="auto"/>
              <w:ind w:left="147"/>
              <w:rPr>
                <w:sz w:val="21"/>
                <w:szCs w:val="21"/>
              </w:rPr>
            </w:pPr>
            <w:r>
              <w:rPr>
                <w:spacing w:val="2"/>
                <w:sz w:val="21"/>
                <w:szCs w:val="21"/>
              </w:rPr>
              <w:t>及尾矿库、冶</w:t>
            </w:r>
          </w:p>
          <w:p w14:paraId="36A54E50">
            <w:pPr>
              <w:pStyle w:val="6"/>
              <w:spacing w:before="20" w:line="219" w:lineRule="auto"/>
              <w:ind w:left="257"/>
              <w:rPr>
                <w:sz w:val="21"/>
                <w:szCs w:val="21"/>
              </w:rPr>
            </w:pPr>
            <w:r>
              <w:rPr>
                <w:spacing w:val="-2"/>
                <w:sz w:val="21"/>
                <w:szCs w:val="21"/>
              </w:rPr>
              <w:t>炼渣库和磷</w:t>
            </w:r>
          </w:p>
          <w:p w14:paraId="152106E1">
            <w:pPr>
              <w:pStyle w:val="6"/>
              <w:spacing w:before="10" w:line="197" w:lineRule="auto"/>
              <w:ind w:left="197"/>
              <w:rPr>
                <w:sz w:val="21"/>
                <w:szCs w:val="21"/>
              </w:rPr>
            </w:pPr>
            <w:r>
              <w:rPr>
                <w:sz w:val="21"/>
                <w:szCs w:val="21"/>
              </w:rPr>
              <w:t>石膏库项目。</w:t>
            </w:r>
          </w:p>
        </w:tc>
        <w:tc>
          <w:tcPr>
            <w:tcW w:w="874" w:type="dxa"/>
            <w:vAlign w:val="top"/>
          </w:tcPr>
          <w:p w14:paraId="23FE2BD2">
            <w:pPr>
              <w:spacing w:line="260" w:lineRule="auto"/>
              <w:rPr>
                <w:rFonts w:ascii="Arial"/>
                <w:sz w:val="21"/>
              </w:rPr>
            </w:pPr>
          </w:p>
          <w:p w14:paraId="264D3E93">
            <w:pPr>
              <w:spacing w:line="260" w:lineRule="auto"/>
              <w:rPr>
                <w:rFonts w:ascii="Arial"/>
                <w:sz w:val="21"/>
              </w:rPr>
            </w:pPr>
          </w:p>
          <w:p w14:paraId="62E85B35">
            <w:pPr>
              <w:spacing w:line="261" w:lineRule="auto"/>
              <w:rPr>
                <w:rFonts w:ascii="Arial"/>
                <w:sz w:val="21"/>
              </w:rPr>
            </w:pPr>
          </w:p>
          <w:p w14:paraId="2491CEC5">
            <w:pPr>
              <w:pStyle w:val="6"/>
              <w:spacing w:before="68" w:line="219" w:lineRule="auto"/>
              <w:ind w:left="219"/>
              <w:rPr>
                <w:sz w:val="21"/>
                <w:szCs w:val="21"/>
              </w:rPr>
            </w:pPr>
            <w:r>
              <w:rPr>
                <w:spacing w:val="-3"/>
                <w:sz w:val="21"/>
                <w:szCs w:val="21"/>
              </w:rPr>
              <w:t>符合</w:t>
            </w:r>
          </w:p>
        </w:tc>
      </w:tr>
      <w:tr w14:paraId="25B3E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573" w:type="dxa"/>
            <w:vMerge w:val="continue"/>
            <w:tcBorders>
              <w:top w:val="nil"/>
              <w:bottom w:val="nil"/>
            </w:tcBorders>
            <w:vAlign w:val="top"/>
          </w:tcPr>
          <w:p w14:paraId="0BEC76D3">
            <w:pPr>
              <w:rPr>
                <w:rFonts w:ascii="Arial"/>
                <w:sz w:val="21"/>
              </w:rPr>
            </w:pPr>
          </w:p>
        </w:tc>
        <w:tc>
          <w:tcPr>
            <w:tcW w:w="90" w:type="dxa"/>
            <w:tcBorders>
              <w:top w:val="nil"/>
              <w:bottom w:val="nil"/>
            </w:tcBorders>
            <w:shd w:val="clear" w:color="auto" w:fill="FFFFFF"/>
            <w:vAlign w:val="top"/>
          </w:tcPr>
          <w:p w14:paraId="25B15749">
            <w:pPr>
              <w:rPr>
                <w:rFonts w:ascii="Arial"/>
                <w:sz w:val="21"/>
              </w:rPr>
            </w:pPr>
          </w:p>
        </w:tc>
        <w:tc>
          <w:tcPr>
            <w:tcW w:w="669" w:type="dxa"/>
            <w:textDirection w:val="tbRlV"/>
            <w:vAlign w:val="top"/>
          </w:tcPr>
          <w:p w14:paraId="66435CCE">
            <w:pPr>
              <w:pStyle w:val="6"/>
              <w:spacing w:before="246" w:line="200" w:lineRule="auto"/>
              <w:rPr>
                <w:sz w:val="21"/>
                <w:szCs w:val="21"/>
              </w:rPr>
            </w:pPr>
            <w:r>
              <w:rPr>
                <w:spacing w:val="-1"/>
                <w:sz w:val="21"/>
                <w:szCs w:val="21"/>
              </w:rPr>
              <w:t>第</w:t>
            </w:r>
            <w:r>
              <w:rPr>
                <w:spacing w:val="-13"/>
                <w:sz w:val="21"/>
                <w:szCs w:val="21"/>
              </w:rPr>
              <w:t xml:space="preserve"> </w:t>
            </w:r>
            <w:r>
              <w:rPr>
                <w:spacing w:val="-1"/>
                <w:sz w:val="21"/>
                <w:szCs w:val="21"/>
              </w:rPr>
              <w:t>十</w:t>
            </w:r>
            <w:r>
              <w:rPr>
                <w:spacing w:val="-13"/>
                <w:sz w:val="21"/>
                <w:szCs w:val="21"/>
              </w:rPr>
              <w:t xml:space="preserve"> </w:t>
            </w:r>
            <w:r>
              <w:rPr>
                <w:spacing w:val="-1"/>
                <w:sz w:val="21"/>
                <w:szCs w:val="21"/>
              </w:rPr>
              <w:t>条</w:t>
            </w:r>
          </w:p>
        </w:tc>
        <w:tc>
          <w:tcPr>
            <w:tcW w:w="4046" w:type="dxa"/>
            <w:vAlign w:val="top"/>
          </w:tcPr>
          <w:p w14:paraId="00D3AED6">
            <w:pPr>
              <w:pStyle w:val="6"/>
              <w:spacing w:before="46" w:line="219" w:lineRule="auto"/>
              <w:jc w:val="right"/>
              <w:rPr>
                <w:sz w:val="21"/>
                <w:szCs w:val="21"/>
              </w:rPr>
            </w:pPr>
            <w:r>
              <w:rPr>
                <w:spacing w:val="1"/>
                <w:sz w:val="21"/>
                <w:szCs w:val="21"/>
              </w:rPr>
              <w:t>禁止在合规园区外新建、扩建钢铁、石化、</w:t>
            </w:r>
          </w:p>
          <w:p w14:paraId="68FAA392">
            <w:pPr>
              <w:pStyle w:val="6"/>
              <w:spacing w:before="29" w:line="219" w:lineRule="auto"/>
              <w:ind w:left="123"/>
              <w:rPr>
                <w:sz w:val="21"/>
                <w:szCs w:val="21"/>
              </w:rPr>
            </w:pPr>
            <w:r>
              <w:rPr>
                <w:spacing w:val="-1"/>
                <w:sz w:val="21"/>
                <w:szCs w:val="21"/>
              </w:rPr>
              <w:t>化工、焦化、建材、有色、制浆造纸行业</w:t>
            </w:r>
          </w:p>
          <w:p w14:paraId="66F20D30">
            <w:pPr>
              <w:pStyle w:val="6"/>
              <w:spacing w:before="21" w:line="187" w:lineRule="auto"/>
              <w:ind w:left="1223"/>
              <w:rPr>
                <w:sz w:val="21"/>
                <w:szCs w:val="21"/>
              </w:rPr>
            </w:pPr>
            <w:r>
              <w:rPr>
                <w:sz w:val="21"/>
                <w:szCs w:val="21"/>
              </w:rPr>
              <w:t>中的高污染项目。</w:t>
            </w:r>
          </w:p>
        </w:tc>
        <w:tc>
          <w:tcPr>
            <w:tcW w:w="1568" w:type="dxa"/>
            <w:vAlign w:val="top"/>
          </w:tcPr>
          <w:p w14:paraId="5D41CF5C">
            <w:pPr>
              <w:pStyle w:val="6"/>
              <w:spacing w:before="45" w:line="219" w:lineRule="auto"/>
              <w:ind w:left="147"/>
              <w:rPr>
                <w:sz w:val="21"/>
                <w:szCs w:val="21"/>
              </w:rPr>
            </w:pPr>
            <w:r>
              <w:rPr>
                <w:spacing w:val="1"/>
                <w:sz w:val="21"/>
                <w:szCs w:val="21"/>
              </w:rPr>
              <w:t>项目为光伏发</w:t>
            </w:r>
          </w:p>
          <w:p w14:paraId="5D8D2A91">
            <w:pPr>
              <w:pStyle w:val="6"/>
              <w:spacing w:before="22" w:line="220" w:lineRule="auto"/>
              <w:ind w:left="47"/>
              <w:rPr>
                <w:sz w:val="21"/>
                <w:szCs w:val="21"/>
              </w:rPr>
            </w:pPr>
            <w:r>
              <w:rPr>
                <w:spacing w:val="1"/>
                <w:sz w:val="21"/>
                <w:szCs w:val="21"/>
              </w:rPr>
              <w:t>电项目，不属于</w:t>
            </w:r>
          </w:p>
          <w:p w14:paraId="00CE15D7">
            <w:pPr>
              <w:pStyle w:val="6"/>
              <w:spacing w:before="28" w:line="187" w:lineRule="auto"/>
              <w:ind w:left="197"/>
              <w:rPr>
                <w:sz w:val="21"/>
                <w:szCs w:val="21"/>
              </w:rPr>
            </w:pPr>
            <w:r>
              <w:rPr>
                <w:sz w:val="21"/>
                <w:szCs w:val="21"/>
              </w:rPr>
              <w:t>高污染项目。</w:t>
            </w:r>
          </w:p>
        </w:tc>
        <w:tc>
          <w:tcPr>
            <w:tcW w:w="874" w:type="dxa"/>
            <w:vAlign w:val="top"/>
          </w:tcPr>
          <w:p w14:paraId="316C2B05">
            <w:pPr>
              <w:rPr>
                <w:rFonts w:ascii="Arial"/>
                <w:sz w:val="21"/>
              </w:rPr>
            </w:pPr>
          </w:p>
        </w:tc>
      </w:tr>
      <w:tr w14:paraId="604E0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3" w:hRule="atLeast"/>
        </w:trPr>
        <w:tc>
          <w:tcPr>
            <w:tcW w:w="1573" w:type="dxa"/>
            <w:vMerge w:val="continue"/>
            <w:tcBorders>
              <w:top w:val="nil"/>
            </w:tcBorders>
            <w:vAlign w:val="top"/>
          </w:tcPr>
          <w:p w14:paraId="40636BF6">
            <w:pPr>
              <w:rPr>
                <w:rFonts w:ascii="Arial"/>
                <w:sz w:val="21"/>
              </w:rPr>
            </w:pPr>
          </w:p>
        </w:tc>
        <w:tc>
          <w:tcPr>
            <w:tcW w:w="90" w:type="dxa"/>
            <w:tcBorders>
              <w:top w:val="nil"/>
            </w:tcBorders>
            <w:shd w:val="clear" w:color="auto" w:fill="FFFFFF"/>
            <w:vAlign w:val="top"/>
          </w:tcPr>
          <w:p w14:paraId="70CD325F">
            <w:pPr>
              <w:rPr>
                <w:rFonts w:ascii="Arial"/>
                <w:sz w:val="21"/>
              </w:rPr>
            </w:pPr>
          </w:p>
        </w:tc>
        <w:tc>
          <w:tcPr>
            <w:tcW w:w="669" w:type="dxa"/>
            <w:textDirection w:val="tbRlV"/>
            <w:vAlign w:val="top"/>
          </w:tcPr>
          <w:p w14:paraId="5D304FDC">
            <w:pPr>
              <w:pStyle w:val="6"/>
              <w:spacing w:before="246" w:line="200" w:lineRule="auto"/>
              <w:ind w:left="128"/>
              <w:rPr>
                <w:sz w:val="21"/>
                <w:szCs w:val="21"/>
              </w:rPr>
            </w:pPr>
            <w:r>
              <w:rPr>
                <w:sz w:val="21"/>
                <w:szCs w:val="21"/>
              </w:rPr>
              <w:t>第</w:t>
            </w:r>
            <w:r>
              <w:rPr>
                <w:spacing w:val="-14"/>
                <w:sz w:val="21"/>
                <w:szCs w:val="21"/>
              </w:rPr>
              <w:t xml:space="preserve"> </w:t>
            </w:r>
            <w:r>
              <w:rPr>
                <w:sz w:val="21"/>
                <w:szCs w:val="21"/>
              </w:rPr>
              <w:t>十</w:t>
            </w:r>
            <w:r>
              <w:rPr>
                <w:spacing w:val="-14"/>
                <w:sz w:val="21"/>
                <w:szCs w:val="21"/>
              </w:rPr>
              <w:t xml:space="preserve"> </w:t>
            </w:r>
            <w:r>
              <w:rPr>
                <w:sz w:val="21"/>
                <w:szCs w:val="21"/>
              </w:rPr>
              <w:t>一</w:t>
            </w:r>
            <w:r>
              <w:rPr>
                <w:spacing w:val="-14"/>
                <w:sz w:val="21"/>
                <w:szCs w:val="21"/>
              </w:rPr>
              <w:t xml:space="preserve"> </w:t>
            </w:r>
            <w:r>
              <w:rPr>
                <w:sz w:val="21"/>
                <w:szCs w:val="21"/>
              </w:rPr>
              <w:t>条</w:t>
            </w:r>
          </w:p>
        </w:tc>
        <w:tc>
          <w:tcPr>
            <w:tcW w:w="4046" w:type="dxa"/>
            <w:vAlign w:val="top"/>
          </w:tcPr>
          <w:p w14:paraId="62640E74">
            <w:pPr>
              <w:pStyle w:val="6"/>
              <w:spacing w:before="37" w:line="219" w:lineRule="auto"/>
              <w:ind w:left="123"/>
              <w:rPr>
                <w:sz w:val="21"/>
                <w:szCs w:val="21"/>
              </w:rPr>
            </w:pPr>
            <w:r>
              <w:rPr>
                <w:spacing w:val="-1"/>
                <w:sz w:val="21"/>
                <w:szCs w:val="21"/>
              </w:rPr>
              <w:t>禁止新建、扩建不符合国家石化、现代煤</w:t>
            </w:r>
          </w:p>
          <w:p w14:paraId="5D59F20A">
            <w:pPr>
              <w:pStyle w:val="6"/>
              <w:spacing w:before="19" w:line="219" w:lineRule="auto"/>
              <w:ind w:left="233"/>
              <w:rPr>
                <w:sz w:val="21"/>
                <w:szCs w:val="21"/>
              </w:rPr>
            </w:pPr>
            <w:r>
              <w:rPr>
                <w:spacing w:val="-1"/>
                <w:sz w:val="21"/>
                <w:szCs w:val="21"/>
              </w:rPr>
              <w:t>化工等产业布局规划的项目。禁止列入</w:t>
            </w:r>
          </w:p>
          <w:p w14:paraId="630FE40B">
            <w:pPr>
              <w:pStyle w:val="6"/>
              <w:spacing w:before="52" w:line="219" w:lineRule="auto"/>
              <w:ind w:left="178"/>
              <w:rPr>
                <w:sz w:val="21"/>
                <w:szCs w:val="21"/>
              </w:rPr>
            </w:pPr>
            <w:r>
              <w:rPr>
                <w:spacing w:val="-2"/>
                <w:sz w:val="21"/>
                <w:szCs w:val="21"/>
              </w:rPr>
              <w:t>《云南省城镇人口密集区危险化学品生</w:t>
            </w:r>
          </w:p>
          <w:p w14:paraId="170DF4B8">
            <w:pPr>
              <w:pStyle w:val="6"/>
              <w:spacing w:before="10" w:line="219" w:lineRule="auto"/>
              <w:ind w:left="123"/>
              <w:rPr>
                <w:sz w:val="21"/>
                <w:szCs w:val="21"/>
              </w:rPr>
            </w:pPr>
            <w:r>
              <w:rPr>
                <w:spacing w:val="-1"/>
                <w:sz w:val="21"/>
                <w:szCs w:val="21"/>
              </w:rPr>
              <w:t>产企业搬迁改造名单》的搬迁改造企业在</w:t>
            </w:r>
          </w:p>
          <w:p w14:paraId="22C7D146">
            <w:pPr>
              <w:pStyle w:val="6"/>
              <w:spacing w:before="11" w:line="207" w:lineRule="auto"/>
              <w:ind w:left="283"/>
              <w:rPr>
                <w:sz w:val="21"/>
                <w:szCs w:val="21"/>
              </w:rPr>
            </w:pPr>
            <w:r>
              <w:rPr>
                <w:spacing w:val="-1"/>
                <w:sz w:val="21"/>
                <w:szCs w:val="21"/>
              </w:rPr>
              <w:t>原址新建、扩建危险化学品生产项目。</w:t>
            </w:r>
          </w:p>
        </w:tc>
        <w:tc>
          <w:tcPr>
            <w:tcW w:w="1568" w:type="dxa"/>
            <w:vAlign w:val="top"/>
          </w:tcPr>
          <w:p w14:paraId="0F409906">
            <w:pPr>
              <w:pStyle w:val="6"/>
              <w:spacing w:before="166" w:line="219" w:lineRule="auto"/>
              <w:ind w:left="257"/>
              <w:rPr>
                <w:sz w:val="21"/>
                <w:szCs w:val="21"/>
              </w:rPr>
            </w:pPr>
            <w:r>
              <w:rPr>
                <w:spacing w:val="2"/>
                <w:sz w:val="21"/>
                <w:szCs w:val="21"/>
              </w:rPr>
              <w:t>项目为光伏</w:t>
            </w:r>
          </w:p>
          <w:p w14:paraId="102815C3">
            <w:pPr>
              <w:pStyle w:val="6"/>
              <w:spacing w:before="32" w:line="220" w:lineRule="auto"/>
              <w:ind w:left="147"/>
              <w:rPr>
                <w:sz w:val="21"/>
                <w:szCs w:val="21"/>
              </w:rPr>
            </w:pPr>
            <w:r>
              <w:rPr>
                <w:spacing w:val="1"/>
                <w:sz w:val="21"/>
                <w:szCs w:val="21"/>
              </w:rPr>
              <w:t>发电项目，不</w:t>
            </w:r>
          </w:p>
          <w:p w14:paraId="6DA9C4CD">
            <w:pPr>
              <w:pStyle w:val="6"/>
              <w:spacing w:before="29" w:line="220" w:lineRule="auto"/>
              <w:ind w:left="257"/>
              <w:rPr>
                <w:sz w:val="21"/>
                <w:szCs w:val="21"/>
              </w:rPr>
            </w:pPr>
            <w:r>
              <w:rPr>
                <w:spacing w:val="-2"/>
                <w:sz w:val="21"/>
                <w:szCs w:val="21"/>
              </w:rPr>
              <w:t>属于危险化</w:t>
            </w:r>
          </w:p>
          <w:p w14:paraId="5D605E65">
            <w:pPr>
              <w:pStyle w:val="6"/>
              <w:spacing w:before="19" w:line="220" w:lineRule="auto"/>
              <w:ind w:left="307"/>
              <w:rPr>
                <w:sz w:val="21"/>
                <w:szCs w:val="21"/>
              </w:rPr>
            </w:pPr>
            <w:r>
              <w:rPr>
                <w:spacing w:val="-1"/>
                <w:sz w:val="21"/>
                <w:szCs w:val="21"/>
              </w:rPr>
              <w:t>学品项目。</w:t>
            </w:r>
          </w:p>
        </w:tc>
        <w:tc>
          <w:tcPr>
            <w:tcW w:w="874" w:type="dxa"/>
            <w:vAlign w:val="top"/>
          </w:tcPr>
          <w:p w14:paraId="56F31755">
            <w:pPr>
              <w:spacing w:line="258" w:lineRule="auto"/>
              <w:rPr>
                <w:rFonts w:ascii="Arial"/>
                <w:sz w:val="21"/>
              </w:rPr>
            </w:pPr>
          </w:p>
          <w:p w14:paraId="75E5BCD2">
            <w:pPr>
              <w:spacing w:line="258" w:lineRule="auto"/>
              <w:rPr>
                <w:rFonts w:ascii="Arial"/>
                <w:sz w:val="21"/>
              </w:rPr>
            </w:pPr>
          </w:p>
          <w:p w14:paraId="2A806A58">
            <w:pPr>
              <w:pStyle w:val="6"/>
              <w:spacing w:before="68" w:line="219" w:lineRule="auto"/>
              <w:ind w:left="219"/>
              <w:rPr>
                <w:sz w:val="21"/>
                <w:szCs w:val="21"/>
              </w:rPr>
            </w:pPr>
            <w:r>
              <w:rPr>
                <w:spacing w:val="-3"/>
                <w:sz w:val="21"/>
                <w:szCs w:val="21"/>
              </w:rPr>
              <w:t>符合</w:t>
            </w:r>
          </w:p>
        </w:tc>
      </w:tr>
    </w:tbl>
    <w:p w14:paraId="4EB5D7F0">
      <w:pPr>
        <w:pStyle w:val="2"/>
      </w:pPr>
    </w:p>
    <w:p w14:paraId="11D4B56C">
      <w:pPr>
        <w:sectPr>
          <w:footerReference r:id="rId27" w:type="default"/>
          <w:pgSz w:w="11910" w:h="16840"/>
          <w:pgMar w:top="1431" w:right="1584" w:bottom="1267" w:left="1494" w:header="0" w:footer="1086" w:gutter="0"/>
          <w:cols w:space="720" w:num="1"/>
        </w:sectPr>
      </w:pPr>
    </w:p>
    <w:p w14:paraId="46CD1D64">
      <w:pPr>
        <w:spacing w:line="93" w:lineRule="exact"/>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3"/>
        <w:gridCol w:w="709"/>
        <w:gridCol w:w="270"/>
        <w:gridCol w:w="3047"/>
        <w:gridCol w:w="719"/>
        <w:gridCol w:w="1318"/>
        <w:gridCol w:w="250"/>
        <w:gridCol w:w="789"/>
        <w:gridCol w:w="165"/>
      </w:tblGrid>
      <w:tr w14:paraId="7320E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3" w:hRule="atLeast"/>
        </w:trPr>
        <w:tc>
          <w:tcPr>
            <w:tcW w:w="1583" w:type="dxa"/>
            <w:vMerge w:val="restart"/>
            <w:tcBorders>
              <w:bottom w:val="nil"/>
            </w:tcBorders>
            <w:vAlign w:val="top"/>
          </w:tcPr>
          <w:p w14:paraId="00F1ED16">
            <w:pPr>
              <w:rPr>
                <w:rFonts w:ascii="Arial"/>
                <w:sz w:val="21"/>
              </w:rPr>
            </w:pPr>
          </w:p>
        </w:tc>
        <w:tc>
          <w:tcPr>
            <w:tcW w:w="709" w:type="dxa"/>
            <w:textDirection w:val="tbRlV"/>
            <w:vAlign w:val="top"/>
          </w:tcPr>
          <w:p w14:paraId="1D7BDBAF">
            <w:pPr>
              <w:pStyle w:val="6"/>
              <w:spacing w:before="256" w:line="200" w:lineRule="auto"/>
              <w:ind w:left="964"/>
              <w:rPr>
                <w:sz w:val="21"/>
                <w:szCs w:val="21"/>
              </w:rPr>
            </w:pPr>
            <w:r>
              <w:rPr>
                <w:sz w:val="21"/>
                <w:szCs w:val="21"/>
              </w:rPr>
              <w:t>第</w:t>
            </w:r>
            <w:r>
              <w:rPr>
                <w:spacing w:val="-34"/>
                <w:sz w:val="21"/>
                <w:szCs w:val="21"/>
              </w:rPr>
              <w:t xml:space="preserve"> </w:t>
            </w:r>
            <w:r>
              <w:rPr>
                <w:sz w:val="21"/>
                <w:szCs w:val="21"/>
              </w:rPr>
              <w:t>十</w:t>
            </w:r>
            <w:r>
              <w:rPr>
                <w:spacing w:val="-34"/>
                <w:sz w:val="21"/>
                <w:szCs w:val="21"/>
              </w:rPr>
              <w:t xml:space="preserve"> </w:t>
            </w:r>
            <w:r>
              <w:rPr>
                <w:sz w:val="21"/>
                <w:szCs w:val="21"/>
              </w:rPr>
              <w:t>二</w:t>
            </w:r>
            <w:r>
              <w:rPr>
                <w:spacing w:val="-34"/>
                <w:sz w:val="21"/>
                <w:szCs w:val="21"/>
              </w:rPr>
              <w:t xml:space="preserve"> </w:t>
            </w:r>
            <w:r>
              <w:rPr>
                <w:sz w:val="21"/>
                <w:szCs w:val="21"/>
              </w:rPr>
              <w:t>条</w:t>
            </w:r>
          </w:p>
        </w:tc>
        <w:tc>
          <w:tcPr>
            <w:tcW w:w="4036" w:type="dxa"/>
            <w:gridSpan w:val="3"/>
            <w:vAlign w:val="top"/>
          </w:tcPr>
          <w:p w14:paraId="535090C1">
            <w:pPr>
              <w:pStyle w:val="6"/>
              <w:spacing w:before="42" w:line="219" w:lineRule="auto"/>
              <w:ind w:left="123"/>
              <w:rPr>
                <w:sz w:val="21"/>
                <w:szCs w:val="21"/>
              </w:rPr>
            </w:pPr>
            <w:r>
              <w:rPr>
                <w:spacing w:val="-1"/>
                <w:sz w:val="21"/>
                <w:szCs w:val="21"/>
              </w:rPr>
              <w:t>禁止新建、扩建法律法规和相关政策明令</w:t>
            </w:r>
          </w:p>
          <w:p w14:paraId="62563A5C">
            <w:pPr>
              <w:pStyle w:val="6"/>
              <w:spacing w:before="10" w:line="219" w:lineRule="auto"/>
              <w:ind w:left="123"/>
              <w:rPr>
                <w:sz w:val="21"/>
                <w:szCs w:val="21"/>
              </w:rPr>
            </w:pPr>
            <w:r>
              <w:rPr>
                <w:spacing w:val="1"/>
                <w:sz w:val="21"/>
                <w:szCs w:val="21"/>
              </w:rPr>
              <w:t>禁止的落后产能项目，依法依规关停退出</w:t>
            </w:r>
          </w:p>
          <w:p w14:paraId="3CF71F9B">
            <w:pPr>
              <w:pStyle w:val="6"/>
              <w:spacing w:before="42" w:line="219" w:lineRule="auto"/>
              <w:ind w:left="123"/>
              <w:rPr>
                <w:sz w:val="21"/>
                <w:szCs w:val="21"/>
              </w:rPr>
            </w:pPr>
            <w:r>
              <w:rPr>
                <w:sz w:val="21"/>
                <w:szCs w:val="21"/>
              </w:rPr>
              <w:t>能耗、环保、质量、安全不达标产能和技</w:t>
            </w:r>
          </w:p>
          <w:p w14:paraId="130BF319">
            <w:pPr>
              <w:pStyle w:val="6"/>
              <w:spacing w:before="30" w:line="219" w:lineRule="auto"/>
              <w:ind w:left="123"/>
              <w:rPr>
                <w:sz w:val="21"/>
                <w:szCs w:val="21"/>
              </w:rPr>
            </w:pPr>
            <w:r>
              <w:rPr>
                <w:sz w:val="21"/>
                <w:szCs w:val="21"/>
              </w:rPr>
              <w:t>术落后产能。禁止新建、扩建不符合国家</w:t>
            </w:r>
          </w:p>
          <w:p w14:paraId="54F9D617">
            <w:pPr>
              <w:pStyle w:val="6"/>
              <w:spacing w:before="11" w:line="219" w:lineRule="auto"/>
              <w:ind w:left="123"/>
              <w:rPr>
                <w:sz w:val="21"/>
                <w:szCs w:val="21"/>
              </w:rPr>
            </w:pPr>
            <w:r>
              <w:rPr>
                <w:spacing w:val="-1"/>
                <w:sz w:val="21"/>
                <w:szCs w:val="21"/>
              </w:rPr>
              <w:t>产能置换要求的过剩产能行业的项目。禁</w:t>
            </w:r>
          </w:p>
          <w:p w14:paraId="49E0DB30">
            <w:pPr>
              <w:pStyle w:val="6"/>
              <w:spacing w:before="41" w:line="219" w:lineRule="auto"/>
              <w:ind w:left="123"/>
              <w:rPr>
                <w:sz w:val="21"/>
                <w:szCs w:val="21"/>
              </w:rPr>
            </w:pPr>
            <w:r>
              <w:rPr>
                <w:spacing w:val="-1"/>
                <w:sz w:val="21"/>
                <w:szCs w:val="21"/>
              </w:rPr>
              <w:t>止新建、扩建不符合要求的高耗能、高排</w:t>
            </w:r>
          </w:p>
          <w:p w14:paraId="4E5C86F0">
            <w:pPr>
              <w:pStyle w:val="6"/>
              <w:spacing w:before="20" w:line="219" w:lineRule="auto"/>
              <w:ind w:left="223"/>
              <w:rPr>
                <w:sz w:val="21"/>
                <w:szCs w:val="21"/>
              </w:rPr>
            </w:pPr>
            <w:r>
              <w:rPr>
                <w:spacing w:val="-1"/>
                <w:sz w:val="21"/>
                <w:szCs w:val="21"/>
              </w:rPr>
              <w:t>放项目，禁止推动退出重点高耗能行业</w:t>
            </w:r>
          </w:p>
          <w:p w14:paraId="7A6A3F13">
            <w:pPr>
              <w:pStyle w:val="6"/>
              <w:spacing w:before="11" w:line="219" w:lineRule="auto"/>
              <w:ind w:left="18"/>
              <w:rPr>
                <w:sz w:val="21"/>
                <w:szCs w:val="21"/>
              </w:rPr>
            </w:pPr>
            <w:r>
              <w:rPr>
                <w:spacing w:val="6"/>
                <w:sz w:val="21"/>
                <w:szCs w:val="21"/>
              </w:rPr>
              <w:t>“限制类”产能。禁止建设高毒高残留以</w:t>
            </w:r>
          </w:p>
          <w:p w14:paraId="3E2ADDB7">
            <w:pPr>
              <w:pStyle w:val="6"/>
              <w:spacing w:before="41" w:line="219" w:lineRule="auto"/>
              <w:ind w:left="123"/>
              <w:rPr>
                <w:sz w:val="21"/>
                <w:szCs w:val="21"/>
              </w:rPr>
            </w:pPr>
            <w:r>
              <w:rPr>
                <w:spacing w:val="-1"/>
                <w:sz w:val="21"/>
                <w:szCs w:val="21"/>
              </w:rPr>
              <w:t>及对环境影响大的农药原药生产装置，严</w:t>
            </w:r>
          </w:p>
          <w:p w14:paraId="69D5F453">
            <w:pPr>
              <w:pStyle w:val="6"/>
              <w:spacing w:before="30" w:line="212" w:lineRule="auto"/>
              <w:jc w:val="right"/>
              <w:rPr>
                <w:sz w:val="21"/>
                <w:szCs w:val="21"/>
              </w:rPr>
            </w:pPr>
            <w:r>
              <w:rPr>
                <w:spacing w:val="1"/>
                <w:sz w:val="21"/>
                <w:szCs w:val="21"/>
              </w:rPr>
              <w:t>控尿素、磷铵、电石、焦炭、黄磷、烧碱、</w:t>
            </w:r>
          </w:p>
          <w:p w14:paraId="7A481EA8">
            <w:pPr>
              <w:pStyle w:val="6"/>
              <w:spacing w:before="1" w:line="201" w:lineRule="auto"/>
              <w:ind w:left="383"/>
              <w:rPr>
                <w:sz w:val="21"/>
                <w:szCs w:val="21"/>
              </w:rPr>
            </w:pPr>
            <w:r>
              <w:rPr>
                <w:spacing w:val="-1"/>
                <w:sz w:val="21"/>
                <w:szCs w:val="21"/>
              </w:rPr>
              <w:t>纯碱、聚氯乙烯等行业新增产能。</w:t>
            </w:r>
          </w:p>
        </w:tc>
        <w:tc>
          <w:tcPr>
            <w:tcW w:w="1568" w:type="dxa"/>
            <w:gridSpan w:val="2"/>
            <w:vAlign w:val="top"/>
          </w:tcPr>
          <w:p w14:paraId="58499FFF">
            <w:pPr>
              <w:spacing w:line="256" w:lineRule="auto"/>
              <w:rPr>
                <w:rFonts w:ascii="Arial"/>
                <w:sz w:val="21"/>
              </w:rPr>
            </w:pPr>
          </w:p>
          <w:p w14:paraId="07BCC937">
            <w:pPr>
              <w:spacing w:line="256" w:lineRule="auto"/>
              <w:rPr>
                <w:rFonts w:ascii="Arial"/>
                <w:sz w:val="21"/>
              </w:rPr>
            </w:pPr>
          </w:p>
          <w:p w14:paraId="22710BFC">
            <w:pPr>
              <w:pStyle w:val="6"/>
              <w:spacing w:before="69" w:line="220" w:lineRule="auto"/>
              <w:ind w:left="257"/>
              <w:rPr>
                <w:sz w:val="21"/>
                <w:szCs w:val="21"/>
              </w:rPr>
            </w:pPr>
            <w:r>
              <w:rPr>
                <w:spacing w:val="-2"/>
                <w:sz w:val="21"/>
                <w:szCs w:val="21"/>
              </w:rPr>
              <w:t>项目属于鼓</w:t>
            </w:r>
          </w:p>
          <w:p w14:paraId="05FADF8C">
            <w:pPr>
              <w:pStyle w:val="6"/>
              <w:spacing w:before="39" w:line="219" w:lineRule="auto"/>
              <w:ind w:left="147"/>
              <w:rPr>
                <w:sz w:val="21"/>
                <w:szCs w:val="21"/>
              </w:rPr>
            </w:pPr>
            <w:r>
              <w:rPr>
                <w:spacing w:val="-2"/>
                <w:sz w:val="21"/>
                <w:szCs w:val="21"/>
              </w:rPr>
              <w:t>励类项目，不</w:t>
            </w:r>
          </w:p>
          <w:p w14:paraId="305AB911">
            <w:pPr>
              <w:pStyle w:val="6"/>
              <w:spacing w:before="20" w:line="219" w:lineRule="auto"/>
              <w:ind w:left="257"/>
              <w:rPr>
                <w:sz w:val="21"/>
                <w:szCs w:val="21"/>
              </w:rPr>
            </w:pPr>
            <w:r>
              <w:rPr>
                <w:spacing w:val="2"/>
                <w:sz w:val="21"/>
                <w:szCs w:val="21"/>
              </w:rPr>
              <w:t>属于国家产</w:t>
            </w:r>
          </w:p>
          <w:p w14:paraId="16719580">
            <w:pPr>
              <w:pStyle w:val="6"/>
              <w:spacing w:before="21" w:line="220" w:lineRule="auto"/>
              <w:ind w:left="257"/>
              <w:rPr>
                <w:sz w:val="21"/>
                <w:szCs w:val="21"/>
              </w:rPr>
            </w:pPr>
            <w:r>
              <w:rPr>
                <w:spacing w:val="1"/>
                <w:sz w:val="21"/>
                <w:szCs w:val="21"/>
              </w:rPr>
              <w:t>能置换要求</w:t>
            </w:r>
          </w:p>
          <w:p w14:paraId="1133696B">
            <w:pPr>
              <w:pStyle w:val="6"/>
              <w:spacing w:before="29" w:line="219" w:lineRule="auto"/>
              <w:ind w:left="257"/>
              <w:rPr>
                <w:sz w:val="21"/>
                <w:szCs w:val="21"/>
              </w:rPr>
            </w:pPr>
            <w:r>
              <w:rPr>
                <w:spacing w:val="3"/>
                <w:sz w:val="21"/>
                <w:szCs w:val="21"/>
              </w:rPr>
              <w:t>的严重过剩</w:t>
            </w:r>
          </w:p>
          <w:p w14:paraId="7AF30AE0">
            <w:pPr>
              <w:pStyle w:val="6"/>
              <w:spacing w:before="20" w:line="219" w:lineRule="auto"/>
              <w:ind w:left="257"/>
              <w:rPr>
                <w:sz w:val="21"/>
                <w:szCs w:val="21"/>
              </w:rPr>
            </w:pPr>
            <w:r>
              <w:rPr>
                <w:spacing w:val="3"/>
                <w:sz w:val="21"/>
                <w:szCs w:val="21"/>
              </w:rPr>
              <w:t>产能行业的</w:t>
            </w:r>
          </w:p>
          <w:p w14:paraId="0414E70F">
            <w:pPr>
              <w:pStyle w:val="6"/>
              <w:spacing w:before="22" w:line="220" w:lineRule="auto"/>
              <w:ind w:left="407"/>
              <w:rPr>
                <w:sz w:val="21"/>
                <w:szCs w:val="21"/>
              </w:rPr>
            </w:pPr>
            <w:r>
              <w:rPr>
                <w:spacing w:val="-2"/>
                <w:sz w:val="21"/>
                <w:szCs w:val="21"/>
              </w:rPr>
              <w:t>项目。</w:t>
            </w:r>
          </w:p>
        </w:tc>
        <w:tc>
          <w:tcPr>
            <w:tcW w:w="789" w:type="dxa"/>
            <w:vAlign w:val="top"/>
          </w:tcPr>
          <w:p w14:paraId="1198BC59">
            <w:pPr>
              <w:spacing w:line="265" w:lineRule="auto"/>
              <w:rPr>
                <w:rFonts w:ascii="Arial"/>
                <w:sz w:val="21"/>
              </w:rPr>
            </w:pPr>
          </w:p>
          <w:p w14:paraId="0776D721">
            <w:pPr>
              <w:spacing w:line="265" w:lineRule="auto"/>
              <w:rPr>
                <w:rFonts w:ascii="Arial"/>
                <w:sz w:val="21"/>
              </w:rPr>
            </w:pPr>
          </w:p>
          <w:p w14:paraId="1190BF55">
            <w:pPr>
              <w:spacing w:line="265" w:lineRule="auto"/>
              <w:rPr>
                <w:rFonts w:ascii="Arial"/>
                <w:sz w:val="21"/>
              </w:rPr>
            </w:pPr>
          </w:p>
          <w:p w14:paraId="138BF0EA">
            <w:pPr>
              <w:spacing w:line="266" w:lineRule="auto"/>
              <w:rPr>
                <w:rFonts w:ascii="Arial"/>
                <w:sz w:val="21"/>
              </w:rPr>
            </w:pPr>
          </w:p>
          <w:p w14:paraId="4645DD10">
            <w:pPr>
              <w:spacing w:line="266" w:lineRule="auto"/>
              <w:rPr>
                <w:rFonts w:ascii="Arial"/>
                <w:sz w:val="21"/>
              </w:rPr>
            </w:pPr>
          </w:p>
          <w:p w14:paraId="208B45B2">
            <w:pPr>
              <w:pStyle w:val="6"/>
              <w:spacing w:before="68" w:line="219" w:lineRule="auto"/>
              <w:ind w:left="139"/>
              <w:rPr>
                <w:sz w:val="21"/>
                <w:szCs w:val="21"/>
              </w:rPr>
            </w:pPr>
            <w:r>
              <w:rPr>
                <w:spacing w:val="-3"/>
                <w:sz w:val="21"/>
                <w:szCs w:val="21"/>
              </w:rPr>
              <w:t>符合</w:t>
            </w:r>
          </w:p>
        </w:tc>
        <w:tc>
          <w:tcPr>
            <w:tcW w:w="165" w:type="dxa"/>
            <w:vAlign w:val="top"/>
          </w:tcPr>
          <w:p w14:paraId="2D39BE5A">
            <w:pPr>
              <w:rPr>
                <w:rFonts w:ascii="Arial"/>
                <w:sz w:val="21"/>
              </w:rPr>
            </w:pPr>
          </w:p>
        </w:tc>
      </w:tr>
      <w:tr w14:paraId="41400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7" w:hRule="atLeast"/>
        </w:trPr>
        <w:tc>
          <w:tcPr>
            <w:tcW w:w="1583" w:type="dxa"/>
            <w:vMerge w:val="continue"/>
            <w:tcBorders>
              <w:top w:val="nil"/>
              <w:bottom w:val="nil"/>
            </w:tcBorders>
            <w:vAlign w:val="top"/>
          </w:tcPr>
          <w:p w14:paraId="3C4BAF02">
            <w:pPr>
              <w:rPr>
                <w:rFonts w:ascii="Arial"/>
                <w:sz w:val="21"/>
              </w:rPr>
            </w:pPr>
          </w:p>
        </w:tc>
        <w:tc>
          <w:tcPr>
            <w:tcW w:w="7267" w:type="dxa"/>
            <w:gridSpan w:val="8"/>
            <w:vAlign w:val="top"/>
          </w:tcPr>
          <w:p w14:paraId="69FAD4A2">
            <w:pPr>
              <w:pStyle w:val="6"/>
              <w:spacing w:before="50" w:line="409" w:lineRule="auto"/>
              <w:ind w:left="12" w:right="920" w:firstLine="429"/>
              <w:rPr>
                <w:sz w:val="21"/>
                <w:szCs w:val="21"/>
              </w:rPr>
            </w:pPr>
            <w:r>
              <w:rPr>
                <w:sz w:val="21"/>
                <w:szCs w:val="21"/>
              </w:rPr>
              <w:t>根据上述分析，项目建设符合《云南省推动长江经济带发展领导</w:t>
            </w:r>
            <w:r>
              <w:rPr>
                <w:spacing w:val="12"/>
                <w:sz w:val="21"/>
                <w:szCs w:val="21"/>
              </w:rPr>
              <w:t xml:space="preserve"> </w:t>
            </w:r>
            <w:r>
              <w:rPr>
                <w:sz w:val="21"/>
                <w:szCs w:val="21"/>
              </w:rPr>
              <w:t>小组办公室关于印发&lt;云南省长江经济带发展负面清单指南实施细则</w:t>
            </w:r>
            <w:r>
              <w:rPr>
                <w:spacing w:val="6"/>
                <w:sz w:val="21"/>
                <w:szCs w:val="21"/>
              </w:rPr>
              <w:t xml:space="preserve">  </w:t>
            </w:r>
            <w:r>
              <w:rPr>
                <w:spacing w:val="40"/>
                <w:sz w:val="21"/>
                <w:szCs w:val="21"/>
              </w:rPr>
              <w:t>(试行，2022年版)&gt;的通知》的要求。</w:t>
            </w:r>
          </w:p>
          <w:p w14:paraId="2037D9D1">
            <w:pPr>
              <w:pStyle w:val="6"/>
              <w:spacing w:line="218" w:lineRule="auto"/>
              <w:ind w:left="475"/>
              <w:rPr>
                <w:sz w:val="21"/>
                <w:szCs w:val="21"/>
              </w:rPr>
            </w:pPr>
            <w:r>
              <w:rPr>
                <w:b/>
                <w:bCs/>
                <w:spacing w:val="-2"/>
                <w:sz w:val="21"/>
                <w:szCs w:val="21"/>
              </w:rPr>
              <w:t>13、与《曲靖市生态环境保护“十四五”规划》符</w:t>
            </w:r>
            <w:r>
              <w:rPr>
                <w:b/>
                <w:bCs/>
                <w:spacing w:val="-3"/>
                <w:sz w:val="21"/>
                <w:szCs w:val="21"/>
              </w:rPr>
              <w:t>合性分析</w:t>
            </w:r>
          </w:p>
          <w:p w14:paraId="408F36BD">
            <w:pPr>
              <w:pStyle w:val="6"/>
              <w:spacing w:before="223" w:line="219" w:lineRule="auto"/>
              <w:ind w:right="23"/>
              <w:jc w:val="right"/>
              <w:rPr>
                <w:sz w:val="21"/>
                <w:szCs w:val="21"/>
              </w:rPr>
            </w:pPr>
            <w:r>
              <w:rPr>
                <w:spacing w:val="39"/>
                <w:sz w:val="21"/>
                <w:szCs w:val="21"/>
              </w:rPr>
              <w:t>曲靖市人民政府办公室于2022年4月11日印发了《</w:t>
            </w:r>
            <w:r>
              <w:rPr>
                <w:spacing w:val="38"/>
                <w:sz w:val="21"/>
                <w:szCs w:val="21"/>
              </w:rPr>
              <w:t>曲靖市人民</w:t>
            </w:r>
          </w:p>
          <w:p w14:paraId="013627E9">
            <w:pPr>
              <w:pStyle w:val="6"/>
              <w:spacing w:before="212" w:line="406" w:lineRule="auto"/>
              <w:ind w:left="12" w:right="645"/>
              <w:rPr>
                <w:sz w:val="21"/>
                <w:szCs w:val="21"/>
              </w:rPr>
            </w:pPr>
            <w:r>
              <w:rPr>
                <w:sz w:val="21"/>
                <w:szCs w:val="21"/>
              </w:rPr>
              <w:t>政府办公室关于印发曲靖市生态环境保护“十四五”规划的通知》(曲</w:t>
            </w:r>
            <w:r>
              <w:rPr>
                <w:spacing w:val="9"/>
                <w:sz w:val="21"/>
                <w:szCs w:val="21"/>
              </w:rPr>
              <w:t xml:space="preserve">  </w:t>
            </w:r>
            <w:r>
              <w:rPr>
                <w:spacing w:val="-1"/>
                <w:sz w:val="21"/>
                <w:szCs w:val="21"/>
              </w:rPr>
              <w:t>政办发〔2022〕24号)。项目与《曲靖市生态环境保护“十四五”规划》</w:t>
            </w:r>
            <w:r>
              <w:rPr>
                <w:spacing w:val="18"/>
                <w:sz w:val="21"/>
                <w:szCs w:val="21"/>
              </w:rPr>
              <w:t xml:space="preserve"> </w:t>
            </w:r>
            <w:r>
              <w:rPr>
                <w:spacing w:val="-1"/>
                <w:sz w:val="21"/>
                <w:szCs w:val="21"/>
              </w:rPr>
              <w:t>相符性分析如下：</w:t>
            </w:r>
          </w:p>
          <w:p w14:paraId="5320D17D">
            <w:pPr>
              <w:pStyle w:val="6"/>
              <w:spacing w:line="219" w:lineRule="auto"/>
              <w:ind w:left="15"/>
              <w:rPr>
                <w:sz w:val="21"/>
                <w:szCs w:val="21"/>
              </w:rPr>
            </w:pPr>
            <w:r>
              <w:rPr>
                <w:b/>
                <w:bCs/>
                <w:spacing w:val="-3"/>
                <w:sz w:val="21"/>
                <w:szCs w:val="21"/>
              </w:rPr>
              <w:t>表1-12项目与《曲靖市生态环境保护“十四五”规划》的符合性分析</w:t>
            </w:r>
          </w:p>
        </w:tc>
      </w:tr>
      <w:tr w14:paraId="32149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583" w:type="dxa"/>
            <w:vMerge w:val="continue"/>
            <w:tcBorders>
              <w:top w:val="nil"/>
              <w:bottom w:val="nil"/>
            </w:tcBorders>
            <w:vAlign w:val="top"/>
          </w:tcPr>
          <w:p w14:paraId="40F8A0C2">
            <w:pPr>
              <w:rPr>
                <w:rFonts w:ascii="Arial"/>
                <w:sz w:val="21"/>
              </w:rPr>
            </w:pPr>
          </w:p>
        </w:tc>
        <w:tc>
          <w:tcPr>
            <w:tcW w:w="4026" w:type="dxa"/>
            <w:gridSpan w:val="3"/>
            <w:vAlign w:val="top"/>
          </w:tcPr>
          <w:p w14:paraId="2D78B8AA">
            <w:pPr>
              <w:pStyle w:val="6"/>
              <w:spacing w:before="42" w:line="214" w:lineRule="auto"/>
              <w:ind w:left="1716" w:right="74" w:hanging="1716"/>
              <w:rPr>
                <w:sz w:val="21"/>
                <w:szCs w:val="21"/>
              </w:rPr>
            </w:pPr>
            <w:r>
              <w:rPr>
                <w:spacing w:val="-3"/>
                <w:sz w:val="21"/>
                <w:szCs w:val="21"/>
              </w:rPr>
              <w:t>《曲靖市生态环境保护“十四五”规划》相</w:t>
            </w:r>
            <w:r>
              <w:rPr>
                <w:spacing w:val="8"/>
                <w:sz w:val="21"/>
                <w:szCs w:val="21"/>
              </w:rPr>
              <w:t xml:space="preserve"> </w:t>
            </w:r>
            <w:r>
              <w:rPr>
                <w:sz w:val="21"/>
                <w:szCs w:val="21"/>
              </w:rPr>
              <w:t>关要求</w:t>
            </w:r>
          </w:p>
        </w:tc>
        <w:tc>
          <w:tcPr>
            <w:tcW w:w="2037" w:type="dxa"/>
            <w:gridSpan w:val="2"/>
            <w:vAlign w:val="top"/>
          </w:tcPr>
          <w:p w14:paraId="1C63046C">
            <w:pPr>
              <w:pStyle w:val="6"/>
              <w:spacing w:before="172" w:line="219" w:lineRule="auto"/>
              <w:ind w:left="696"/>
              <w:rPr>
                <w:sz w:val="21"/>
                <w:szCs w:val="21"/>
              </w:rPr>
            </w:pPr>
            <w:r>
              <w:rPr>
                <w:spacing w:val="13"/>
                <w:sz w:val="21"/>
                <w:szCs w:val="21"/>
              </w:rPr>
              <w:t>本项目</w:t>
            </w:r>
          </w:p>
        </w:tc>
        <w:tc>
          <w:tcPr>
            <w:tcW w:w="1039" w:type="dxa"/>
            <w:gridSpan w:val="2"/>
            <w:vAlign w:val="top"/>
          </w:tcPr>
          <w:p w14:paraId="2CECC971">
            <w:pPr>
              <w:pStyle w:val="6"/>
              <w:spacing w:before="173" w:line="219" w:lineRule="auto"/>
              <w:ind w:left="198"/>
              <w:rPr>
                <w:sz w:val="21"/>
                <w:szCs w:val="21"/>
              </w:rPr>
            </w:pPr>
            <w:r>
              <w:rPr>
                <w:spacing w:val="-3"/>
                <w:sz w:val="21"/>
                <w:szCs w:val="21"/>
              </w:rPr>
              <w:t>符合性</w:t>
            </w:r>
          </w:p>
        </w:tc>
        <w:tc>
          <w:tcPr>
            <w:tcW w:w="165" w:type="dxa"/>
            <w:vMerge w:val="restart"/>
            <w:tcBorders>
              <w:bottom w:val="nil"/>
            </w:tcBorders>
            <w:vAlign w:val="top"/>
          </w:tcPr>
          <w:p w14:paraId="6F7C70CE">
            <w:pPr>
              <w:rPr>
                <w:rFonts w:ascii="Arial"/>
                <w:sz w:val="21"/>
              </w:rPr>
            </w:pPr>
          </w:p>
        </w:tc>
      </w:tr>
      <w:tr w14:paraId="1FE01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583" w:type="dxa"/>
            <w:vMerge w:val="continue"/>
            <w:tcBorders>
              <w:top w:val="nil"/>
              <w:bottom w:val="nil"/>
            </w:tcBorders>
            <w:vAlign w:val="top"/>
          </w:tcPr>
          <w:p w14:paraId="3FF66EE6">
            <w:pPr>
              <w:rPr>
                <w:rFonts w:ascii="Arial"/>
                <w:sz w:val="21"/>
              </w:rPr>
            </w:pPr>
          </w:p>
        </w:tc>
        <w:tc>
          <w:tcPr>
            <w:tcW w:w="7102" w:type="dxa"/>
            <w:gridSpan w:val="7"/>
            <w:vAlign w:val="top"/>
          </w:tcPr>
          <w:p w14:paraId="50316DEA">
            <w:pPr>
              <w:pStyle w:val="6"/>
              <w:spacing w:before="103" w:line="219" w:lineRule="auto"/>
              <w:ind w:left="1552"/>
              <w:rPr>
                <w:sz w:val="21"/>
                <w:szCs w:val="21"/>
              </w:rPr>
            </w:pPr>
            <w:r>
              <w:rPr>
                <w:spacing w:val="-1"/>
                <w:sz w:val="21"/>
                <w:szCs w:val="21"/>
              </w:rPr>
              <w:t>第三章、坚持创新引领，全面推进绿色发展</w:t>
            </w:r>
          </w:p>
        </w:tc>
        <w:tc>
          <w:tcPr>
            <w:tcW w:w="165" w:type="dxa"/>
            <w:vMerge w:val="continue"/>
            <w:tcBorders>
              <w:top w:val="nil"/>
              <w:bottom w:val="nil"/>
            </w:tcBorders>
            <w:vAlign w:val="top"/>
          </w:tcPr>
          <w:p w14:paraId="198CE504">
            <w:pPr>
              <w:rPr>
                <w:rFonts w:ascii="Arial"/>
                <w:sz w:val="21"/>
              </w:rPr>
            </w:pPr>
          </w:p>
        </w:tc>
      </w:tr>
      <w:tr w14:paraId="407CE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8" w:hRule="atLeast"/>
        </w:trPr>
        <w:tc>
          <w:tcPr>
            <w:tcW w:w="1583" w:type="dxa"/>
            <w:vMerge w:val="continue"/>
            <w:tcBorders>
              <w:top w:val="nil"/>
              <w:bottom w:val="nil"/>
            </w:tcBorders>
            <w:vAlign w:val="top"/>
          </w:tcPr>
          <w:p w14:paraId="2B3B2C4F">
            <w:pPr>
              <w:rPr>
                <w:rFonts w:ascii="Arial"/>
                <w:sz w:val="21"/>
              </w:rPr>
            </w:pPr>
          </w:p>
        </w:tc>
        <w:tc>
          <w:tcPr>
            <w:tcW w:w="979" w:type="dxa"/>
            <w:gridSpan w:val="2"/>
            <w:vAlign w:val="top"/>
          </w:tcPr>
          <w:p w14:paraId="43BE5B04">
            <w:pPr>
              <w:spacing w:line="245" w:lineRule="auto"/>
              <w:rPr>
                <w:rFonts w:ascii="Arial"/>
                <w:sz w:val="21"/>
              </w:rPr>
            </w:pPr>
          </w:p>
          <w:p w14:paraId="316846A9">
            <w:pPr>
              <w:spacing w:line="245" w:lineRule="auto"/>
              <w:rPr>
                <w:rFonts w:ascii="Arial"/>
                <w:sz w:val="21"/>
              </w:rPr>
            </w:pPr>
          </w:p>
          <w:p w14:paraId="5F9E35A5">
            <w:pPr>
              <w:spacing w:line="245" w:lineRule="auto"/>
              <w:rPr>
                <w:rFonts w:ascii="Arial"/>
                <w:sz w:val="21"/>
              </w:rPr>
            </w:pPr>
          </w:p>
          <w:p w14:paraId="46EC1421">
            <w:pPr>
              <w:spacing w:line="246" w:lineRule="auto"/>
              <w:rPr>
                <w:rFonts w:ascii="Arial"/>
                <w:sz w:val="21"/>
              </w:rPr>
            </w:pPr>
          </w:p>
          <w:p w14:paraId="03A3058B">
            <w:pPr>
              <w:pStyle w:val="6"/>
              <w:spacing w:before="68" w:line="221" w:lineRule="auto"/>
              <w:ind w:left="252" w:right="69" w:firstLine="89"/>
              <w:rPr>
                <w:sz w:val="21"/>
                <w:szCs w:val="21"/>
              </w:rPr>
            </w:pPr>
            <w:r>
              <w:rPr>
                <w:spacing w:val="-5"/>
                <w:sz w:val="21"/>
                <w:szCs w:val="21"/>
              </w:rPr>
              <w:t>第三</w:t>
            </w:r>
            <w:r>
              <w:rPr>
                <w:sz w:val="21"/>
                <w:szCs w:val="21"/>
              </w:rPr>
              <w:t xml:space="preserve">  </w:t>
            </w:r>
            <w:r>
              <w:rPr>
                <w:spacing w:val="5"/>
                <w:sz w:val="21"/>
                <w:szCs w:val="21"/>
              </w:rPr>
              <w:t>节、调</w:t>
            </w:r>
            <w:r>
              <w:rPr>
                <w:spacing w:val="1"/>
                <w:sz w:val="21"/>
                <w:szCs w:val="21"/>
              </w:rPr>
              <w:t xml:space="preserve"> </w:t>
            </w:r>
            <w:r>
              <w:rPr>
                <w:spacing w:val="-4"/>
                <w:sz w:val="21"/>
                <w:szCs w:val="21"/>
              </w:rPr>
              <w:t>整产业</w:t>
            </w:r>
            <w:r>
              <w:rPr>
                <w:spacing w:val="1"/>
                <w:sz w:val="21"/>
                <w:szCs w:val="21"/>
              </w:rPr>
              <w:t xml:space="preserve"> </w:t>
            </w:r>
            <w:r>
              <w:rPr>
                <w:spacing w:val="51"/>
                <w:sz w:val="21"/>
                <w:szCs w:val="21"/>
              </w:rPr>
              <w:t>结构</w:t>
            </w:r>
          </w:p>
        </w:tc>
        <w:tc>
          <w:tcPr>
            <w:tcW w:w="3047" w:type="dxa"/>
            <w:vAlign w:val="top"/>
          </w:tcPr>
          <w:p w14:paraId="1F750C78">
            <w:pPr>
              <w:pStyle w:val="6"/>
              <w:spacing w:before="64" w:line="219" w:lineRule="auto"/>
              <w:ind w:left="43"/>
              <w:rPr>
                <w:sz w:val="21"/>
                <w:szCs w:val="21"/>
              </w:rPr>
            </w:pPr>
            <w:r>
              <w:rPr>
                <w:spacing w:val="-1"/>
                <w:sz w:val="21"/>
                <w:szCs w:val="21"/>
              </w:rPr>
              <w:t>优化产业绿色转型。严格控制新</w:t>
            </w:r>
          </w:p>
          <w:p w14:paraId="1F8A719F">
            <w:pPr>
              <w:pStyle w:val="6"/>
              <w:spacing w:before="30" w:line="219" w:lineRule="auto"/>
              <w:ind w:left="43"/>
              <w:rPr>
                <w:sz w:val="21"/>
                <w:szCs w:val="21"/>
              </w:rPr>
            </w:pPr>
            <w:r>
              <w:rPr>
                <w:sz w:val="21"/>
                <w:szCs w:val="21"/>
              </w:rPr>
              <w:t>建扩建高耗能高排放项目，鼓励</w:t>
            </w:r>
          </w:p>
          <w:p w14:paraId="66E2A6F5">
            <w:pPr>
              <w:pStyle w:val="6"/>
              <w:spacing w:before="10" w:line="219" w:lineRule="auto"/>
              <w:ind w:left="43"/>
              <w:rPr>
                <w:sz w:val="21"/>
                <w:szCs w:val="21"/>
              </w:rPr>
            </w:pPr>
            <w:r>
              <w:rPr>
                <w:sz w:val="21"/>
                <w:szCs w:val="21"/>
              </w:rPr>
              <w:t>发展低能耗低排放产业。聚焦主</w:t>
            </w:r>
          </w:p>
          <w:p w14:paraId="17E677DC">
            <w:pPr>
              <w:pStyle w:val="6"/>
              <w:spacing w:before="39" w:line="219" w:lineRule="auto"/>
              <w:ind w:left="43"/>
              <w:rPr>
                <w:sz w:val="21"/>
                <w:szCs w:val="21"/>
              </w:rPr>
            </w:pPr>
            <w:r>
              <w:rPr>
                <w:spacing w:val="-1"/>
                <w:sz w:val="21"/>
                <w:szCs w:val="21"/>
              </w:rPr>
              <w:t>要生态环境问题及短板，鼓励发</w:t>
            </w:r>
          </w:p>
          <w:p w14:paraId="387DE746">
            <w:pPr>
              <w:pStyle w:val="6"/>
              <w:spacing w:before="23" w:line="219" w:lineRule="auto"/>
              <w:ind w:left="153"/>
              <w:rPr>
                <w:sz w:val="21"/>
                <w:szCs w:val="21"/>
              </w:rPr>
            </w:pPr>
            <w:r>
              <w:rPr>
                <w:spacing w:val="-1"/>
                <w:sz w:val="21"/>
                <w:szCs w:val="21"/>
              </w:rPr>
              <w:t>展节能环保技术咨询、系统设</w:t>
            </w:r>
          </w:p>
          <w:p w14:paraId="2DA3676B">
            <w:pPr>
              <w:pStyle w:val="6"/>
              <w:spacing w:before="21" w:line="219" w:lineRule="auto"/>
              <w:ind w:left="43"/>
              <w:rPr>
                <w:sz w:val="21"/>
                <w:szCs w:val="21"/>
              </w:rPr>
            </w:pPr>
            <w:r>
              <w:rPr>
                <w:spacing w:val="-1"/>
                <w:sz w:val="21"/>
                <w:szCs w:val="21"/>
              </w:rPr>
              <w:t>计、工程施工、运营管理等专业</w:t>
            </w:r>
          </w:p>
          <w:p w14:paraId="3F926212">
            <w:pPr>
              <w:pStyle w:val="6"/>
              <w:spacing w:before="10" w:line="219" w:lineRule="auto"/>
              <w:ind w:left="43"/>
              <w:rPr>
                <w:sz w:val="21"/>
                <w:szCs w:val="21"/>
              </w:rPr>
            </w:pPr>
            <w:r>
              <w:rPr>
                <w:spacing w:val="-1"/>
                <w:sz w:val="21"/>
                <w:szCs w:val="21"/>
              </w:rPr>
              <w:t>化服务，重点发展先进环保技术</w:t>
            </w:r>
          </w:p>
          <w:p w14:paraId="78802826">
            <w:pPr>
              <w:pStyle w:val="6"/>
              <w:spacing w:before="21" w:line="219" w:lineRule="auto"/>
              <w:ind w:left="43"/>
              <w:rPr>
                <w:sz w:val="21"/>
                <w:szCs w:val="21"/>
              </w:rPr>
            </w:pPr>
            <w:r>
              <w:rPr>
                <w:sz w:val="21"/>
                <w:szCs w:val="21"/>
              </w:rPr>
              <w:t>和装备制造业、环保产品、新型</w:t>
            </w:r>
          </w:p>
          <w:p w14:paraId="31A246A0">
            <w:pPr>
              <w:pStyle w:val="6"/>
              <w:spacing w:before="30" w:line="219" w:lineRule="auto"/>
              <w:ind w:left="43"/>
              <w:rPr>
                <w:sz w:val="21"/>
                <w:szCs w:val="21"/>
              </w:rPr>
            </w:pPr>
            <w:r>
              <w:rPr>
                <w:spacing w:val="1"/>
                <w:sz w:val="21"/>
                <w:szCs w:val="21"/>
              </w:rPr>
              <w:t>建材、资源循环利用产业，培育</w:t>
            </w:r>
          </w:p>
          <w:p w14:paraId="67F0C6E2">
            <w:pPr>
              <w:pStyle w:val="6"/>
              <w:spacing w:before="22" w:line="219" w:lineRule="auto"/>
              <w:ind w:left="43"/>
              <w:rPr>
                <w:sz w:val="21"/>
                <w:szCs w:val="21"/>
              </w:rPr>
            </w:pPr>
            <w:r>
              <w:rPr>
                <w:spacing w:val="1"/>
                <w:sz w:val="21"/>
                <w:szCs w:val="21"/>
              </w:rPr>
              <w:t>绿色经济新增长点，建设云南省</w:t>
            </w:r>
          </w:p>
          <w:p w14:paraId="0BD09099">
            <w:pPr>
              <w:pStyle w:val="6"/>
              <w:spacing w:line="197" w:lineRule="auto"/>
              <w:ind w:left="203"/>
              <w:rPr>
                <w:sz w:val="21"/>
                <w:szCs w:val="21"/>
              </w:rPr>
            </w:pPr>
            <w:r>
              <w:rPr>
                <w:spacing w:val="-1"/>
                <w:sz w:val="21"/>
                <w:szCs w:val="21"/>
              </w:rPr>
              <w:t>节能环保装备制造产业园区。</w:t>
            </w:r>
          </w:p>
        </w:tc>
        <w:tc>
          <w:tcPr>
            <w:tcW w:w="2037" w:type="dxa"/>
            <w:gridSpan w:val="2"/>
            <w:vAlign w:val="top"/>
          </w:tcPr>
          <w:p w14:paraId="4F11C401">
            <w:pPr>
              <w:spacing w:line="351" w:lineRule="auto"/>
              <w:rPr>
                <w:rFonts w:ascii="Arial"/>
                <w:sz w:val="21"/>
              </w:rPr>
            </w:pPr>
          </w:p>
          <w:p w14:paraId="53A4070F">
            <w:pPr>
              <w:spacing w:line="352" w:lineRule="auto"/>
              <w:rPr>
                <w:rFonts w:ascii="Arial"/>
                <w:sz w:val="21"/>
              </w:rPr>
            </w:pPr>
          </w:p>
          <w:p w14:paraId="70DA71C8">
            <w:pPr>
              <w:pStyle w:val="6"/>
              <w:spacing w:before="68" w:line="235" w:lineRule="auto"/>
              <w:ind w:left="176" w:right="125"/>
              <w:jc w:val="both"/>
              <w:rPr>
                <w:sz w:val="21"/>
                <w:szCs w:val="21"/>
              </w:rPr>
            </w:pPr>
            <w:r>
              <w:rPr>
                <w:spacing w:val="1"/>
                <w:sz w:val="21"/>
                <w:szCs w:val="21"/>
              </w:rPr>
              <w:t>项目为光伏发电项</w:t>
            </w:r>
            <w:r>
              <w:rPr>
                <w:spacing w:val="4"/>
                <w:sz w:val="21"/>
                <w:szCs w:val="21"/>
              </w:rPr>
              <w:t xml:space="preserve"> </w:t>
            </w:r>
            <w:r>
              <w:rPr>
                <w:spacing w:val="1"/>
                <w:sz w:val="21"/>
                <w:szCs w:val="21"/>
              </w:rPr>
              <w:t>目，不属于高能耗</w:t>
            </w:r>
            <w:r>
              <w:rPr>
                <w:sz w:val="21"/>
                <w:szCs w:val="21"/>
              </w:rPr>
              <w:t xml:space="preserve"> </w:t>
            </w:r>
            <w:r>
              <w:rPr>
                <w:spacing w:val="5"/>
                <w:sz w:val="21"/>
                <w:szCs w:val="21"/>
              </w:rPr>
              <w:t>高排放项目。项目</w:t>
            </w:r>
            <w:r>
              <w:rPr>
                <w:sz w:val="21"/>
                <w:szCs w:val="21"/>
              </w:rPr>
              <w:t xml:space="preserve"> </w:t>
            </w:r>
            <w:r>
              <w:rPr>
                <w:spacing w:val="5"/>
                <w:sz w:val="21"/>
                <w:szCs w:val="21"/>
              </w:rPr>
              <w:t>生产原料为光能，</w:t>
            </w:r>
          </w:p>
          <w:p w14:paraId="3561AE8F">
            <w:pPr>
              <w:pStyle w:val="6"/>
              <w:spacing w:line="220" w:lineRule="auto"/>
              <w:ind w:left="176"/>
              <w:rPr>
                <w:sz w:val="21"/>
                <w:szCs w:val="21"/>
              </w:rPr>
            </w:pPr>
            <w:r>
              <w:rPr>
                <w:spacing w:val="1"/>
                <w:sz w:val="21"/>
                <w:szCs w:val="21"/>
              </w:rPr>
              <w:t>属于可再生清洁能</w:t>
            </w:r>
          </w:p>
          <w:p w14:paraId="47D577C7">
            <w:pPr>
              <w:pStyle w:val="6"/>
              <w:spacing w:before="19" w:line="220" w:lineRule="auto"/>
              <w:ind w:left="536"/>
              <w:rPr>
                <w:sz w:val="21"/>
                <w:szCs w:val="21"/>
              </w:rPr>
            </w:pPr>
            <w:r>
              <w:rPr>
                <w:spacing w:val="-1"/>
                <w:sz w:val="21"/>
                <w:szCs w:val="21"/>
              </w:rPr>
              <w:t>源工程。</w:t>
            </w:r>
          </w:p>
        </w:tc>
        <w:tc>
          <w:tcPr>
            <w:tcW w:w="1039" w:type="dxa"/>
            <w:gridSpan w:val="2"/>
            <w:vAlign w:val="top"/>
          </w:tcPr>
          <w:p w14:paraId="4AA3D104">
            <w:pPr>
              <w:spacing w:line="265" w:lineRule="auto"/>
              <w:rPr>
                <w:rFonts w:ascii="Arial"/>
                <w:sz w:val="21"/>
              </w:rPr>
            </w:pPr>
          </w:p>
          <w:p w14:paraId="69AE3472">
            <w:pPr>
              <w:spacing w:line="265" w:lineRule="auto"/>
              <w:rPr>
                <w:rFonts w:ascii="Arial"/>
                <w:sz w:val="21"/>
              </w:rPr>
            </w:pPr>
          </w:p>
          <w:p w14:paraId="739963CD">
            <w:pPr>
              <w:spacing w:line="266" w:lineRule="auto"/>
              <w:rPr>
                <w:rFonts w:ascii="Arial"/>
                <w:sz w:val="21"/>
              </w:rPr>
            </w:pPr>
          </w:p>
          <w:p w14:paraId="21DAE1AF">
            <w:pPr>
              <w:spacing w:line="266" w:lineRule="auto"/>
              <w:rPr>
                <w:rFonts w:ascii="Arial"/>
                <w:sz w:val="21"/>
              </w:rPr>
            </w:pPr>
          </w:p>
          <w:p w14:paraId="051A2D1C">
            <w:pPr>
              <w:spacing w:line="266" w:lineRule="auto"/>
              <w:rPr>
                <w:rFonts w:ascii="Arial"/>
                <w:sz w:val="21"/>
              </w:rPr>
            </w:pPr>
          </w:p>
          <w:p w14:paraId="4ED5DCDF">
            <w:pPr>
              <w:pStyle w:val="6"/>
              <w:spacing w:before="68" w:line="219" w:lineRule="auto"/>
              <w:ind w:left="309"/>
              <w:rPr>
                <w:sz w:val="21"/>
                <w:szCs w:val="21"/>
              </w:rPr>
            </w:pPr>
            <w:r>
              <w:rPr>
                <w:spacing w:val="-3"/>
                <w:sz w:val="21"/>
                <w:szCs w:val="21"/>
              </w:rPr>
              <w:t>符合</w:t>
            </w:r>
          </w:p>
        </w:tc>
        <w:tc>
          <w:tcPr>
            <w:tcW w:w="165" w:type="dxa"/>
            <w:vMerge w:val="continue"/>
            <w:tcBorders>
              <w:top w:val="nil"/>
              <w:bottom w:val="nil"/>
            </w:tcBorders>
            <w:vAlign w:val="top"/>
          </w:tcPr>
          <w:p w14:paraId="1891D124">
            <w:pPr>
              <w:rPr>
                <w:rFonts w:ascii="Arial"/>
                <w:sz w:val="21"/>
              </w:rPr>
            </w:pPr>
          </w:p>
        </w:tc>
      </w:tr>
      <w:tr w14:paraId="535D1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583" w:type="dxa"/>
            <w:vMerge w:val="continue"/>
            <w:tcBorders>
              <w:top w:val="nil"/>
              <w:bottom w:val="nil"/>
            </w:tcBorders>
            <w:vAlign w:val="top"/>
          </w:tcPr>
          <w:p w14:paraId="1A4CB132">
            <w:pPr>
              <w:rPr>
                <w:rFonts w:ascii="Arial"/>
                <w:sz w:val="21"/>
              </w:rPr>
            </w:pPr>
          </w:p>
        </w:tc>
        <w:tc>
          <w:tcPr>
            <w:tcW w:w="7102" w:type="dxa"/>
            <w:gridSpan w:val="7"/>
            <w:vAlign w:val="top"/>
          </w:tcPr>
          <w:p w14:paraId="1D364926">
            <w:pPr>
              <w:pStyle w:val="6"/>
              <w:spacing w:before="35" w:line="219" w:lineRule="auto"/>
              <w:ind w:left="1342"/>
              <w:rPr>
                <w:sz w:val="21"/>
                <w:szCs w:val="21"/>
              </w:rPr>
            </w:pPr>
            <w:r>
              <w:rPr>
                <w:spacing w:val="-1"/>
                <w:sz w:val="21"/>
                <w:szCs w:val="21"/>
              </w:rPr>
              <w:t>第四章、统筹协同治理，持续改善生态环境质量</w:t>
            </w:r>
          </w:p>
        </w:tc>
        <w:tc>
          <w:tcPr>
            <w:tcW w:w="165" w:type="dxa"/>
            <w:vMerge w:val="continue"/>
            <w:tcBorders>
              <w:top w:val="nil"/>
              <w:bottom w:val="nil"/>
            </w:tcBorders>
            <w:vAlign w:val="top"/>
          </w:tcPr>
          <w:p w14:paraId="6DE7897F">
            <w:pPr>
              <w:rPr>
                <w:rFonts w:ascii="Arial"/>
                <w:sz w:val="21"/>
              </w:rPr>
            </w:pPr>
          </w:p>
        </w:tc>
      </w:tr>
      <w:tr w14:paraId="0F811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3" w:hRule="atLeast"/>
        </w:trPr>
        <w:tc>
          <w:tcPr>
            <w:tcW w:w="1583" w:type="dxa"/>
            <w:vMerge w:val="continue"/>
            <w:tcBorders>
              <w:top w:val="nil"/>
            </w:tcBorders>
            <w:vAlign w:val="top"/>
          </w:tcPr>
          <w:p w14:paraId="379C6FDC">
            <w:pPr>
              <w:rPr>
                <w:rFonts w:ascii="Arial"/>
                <w:sz w:val="21"/>
              </w:rPr>
            </w:pPr>
          </w:p>
        </w:tc>
        <w:tc>
          <w:tcPr>
            <w:tcW w:w="979" w:type="dxa"/>
            <w:gridSpan w:val="2"/>
            <w:vAlign w:val="top"/>
          </w:tcPr>
          <w:p w14:paraId="3795EE07">
            <w:pPr>
              <w:pStyle w:val="6"/>
              <w:spacing w:before="168" w:line="241" w:lineRule="auto"/>
              <w:ind w:left="102" w:right="166" w:firstLine="170"/>
              <w:rPr>
                <w:sz w:val="21"/>
                <w:szCs w:val="21"/>
              </w:rPr>
            </w:pPr>
            <w:r>
              <w:rPr>
                <w:spacing w:val="-5"/>
                <w:sz w:val="21"/>
                <w:szCs w:val="21"/>
              </w:rPr>
              <w:t>第一</w:t>
            </w:r>
            <w:r>
              <w:rPr>
                <w:sz w:val="21"/>
                <w:szCs w:val="21"/>
              </w:rPr>
              <w:t xml:space="preserve">  </w:t>
            </w:r>
            <w:r>
              <w:rPr>
                <w:spacing w:val="17"/>
                <w:sz w:val="21"/>
                <w:szCs w:val="21"/>
              </w:rPr>
              <w:t>节、深</w:t>
            </w:r>
            <w:r>
              <w:rPr>
                <w:sz w:val="21"/>
                <w:szCs w:val="21"/>
              </w:rPr>
              <w:t xml:space="preserve"> </w:t>
            </w:r>
            <w:r>
              <w:rPr>
                <w:spacing w:val="16"/>
                <w:sz w:val="21"/>
                <w:szCs w:val="21"/>
              </w:rPr>
              <w:t>化三水</w:t>
            </w:r>
            <w:r>
              <w:rPr>
                <w:spacing w:val="1"/>
                <w:sz w:val="21"/>
                <w:szCs w:val="21"/>
              </w:rPr>
              <w:t xml:space="preserve"> </w:t>
            </w:r>
            <w:r>
              <w:rPr>
                <w:spacing w:val="-2"/>
                <w:sz w:val="21"/>
                <w:szCs w:val="21"/>
              </w:rPr>
              <w:t>统筹，</w:t>
            </w:r>
            <w:r>
              <w:rPr>
                <w:sz w:val="21"/>
                <w:szCs w:val="21"/>
              </w:rPr>
              <w:t xml:space="preserve"> </w:t>
            </w:r>
            <w:r>
              <w:rPr>
                <w:spacing w:val="16"/>
                <w:sz w:val="21"/>
                <w:szCs w:val="21"/>
              </w:rPr>
              <w:t>巩固水</w:t>
            </w:r>
            <w:r>
              <w:rPr>
                <w:spacing w:val="1"/>
                <w:sz w:val="21"/>
                <w:szCs w:val="21"/>
              </w:rPr>
              <w:t xml:space="preserve"> </w:t>
            </w:r>
            <w:r>
              <w:rPr>
                <w:spacing w:val="23"/>
                <w:sz w:val="21"/>
                <w:szCs w:val="21"/>
              </w:rPr>
              <w:t>生态环</w:t>
            </w:r>
            <w:r>
              <w:rPr>
                <w:sz w:val="21"/>
                <w:szCs w:val="21"/>
              </w:rPr>
              <w:t xml:space="preserve"> </w:t>
            </w:r>
            <w:r>
              <w:rPr>
                <w:spacing w:val="16"/>
                <w:sz w:val="21"/>
                <w:szCs w:val="21"/>
              </w:rPr>
              <w:t>境质量</w:t>
            </w:r>
          </w:p>
        </w:tc>
        <w:tc>
          <w:tcPr>
            <w:tcW w:w="3047" w:type="dxa"/>
            <w:vAlign w:val="top"/>
          </w:tcPr>
          <w:p w14:paraId="51CCCDAA">
            <w:pPr>
              <w:rPr>
                <w:rFonts w:ascii="Arial"/>
                <w:sz w:val="21"/>
              </w:rPr>
            </w:pPr>
          </w:p>
          <w:p w14:paraId="24BB6E10">
            <w:pPr>
              <w:pStyle w:val="6"/>
              <w:spacing w:before="68" w:line="243" w:lineRule="auto"/>
              <w:ind w:left="93" w:firstLine="59"/>
              <w:jc w:val="both"/>
              <w:rPr>
                <w:sz w:val="21"/>
                <w:szCs w:val="21"/>
              </w:rPr>
            </w:pPr>
            <w:r>
              <w:rPr>
                <w:spacing w:val="-1"/>
                <w:sz w:val="21"/>
                <w:szCs w:val="21"/>
              </w:rPr>
              <w:t>加强节水型社会建设，提高水</w:t>
            </w:r>
            <w:r>
              <w:rPr>
                <w:spacing w:val="1"/>
                <w:sz w:val="21"/>
                <w:szCs w:val="21"/>
              </w:rPr>
              <w:t xml:space="preserve">  </w:t>
            </w:r>
            <w:r>
              <w:rPr>
                <w:spacing w:val="12"/>
                <w:sz w:val="21"/>
                <w:szCs w:val="21"/>
              </w:rPr>
              <w:t>资源利用率。推广节水工艺、</w:t>
            </w:r>
            <w:r>
              <w:rPr>
                <w:spacing w:val="6"/>
                <w:sz w:val="21"/>
                <w:szCs w:val="21"/>
              </w:rPr>
              <w:t xml:space="preserve"> </w:t>
            </w:r>
            <w:r>
              <w:rPr>
                <w:spacing w:val="5"/>
                <w:sz w:val="21"/>
                <w:szCs w:val="21"/>
              </w:rPr>
              <w:t>技术和装备，促进企业废水深</w:t>
            </w:r>
            <w:r>
              <w:rPr>
                <w:spacing w:val="2"/>
                <w:sz w:val="21"/>
                <w:szCs w:val="21"/>
              </w:rPr>
              <w:t xml:space="preserve">  </w:t>
            </w:r>
            <w:r>
              <w:rPr>
                <w:spacing w:val="5"/>
                <w:sz w:val="21"/>
                <w:szCs w:val="21"/>
              </w:rPr>
              <w:t>度处理回用，加快推进工业园  区水循环利用改造建设重点工</w:t>
            </w:r>
            <w:r>
              <w:rPr>
                <w:spacing w:val="2"/>
                <w:sz w:val="21"/>
                <w:szCs w:val="21"/>
              </w:rPr>
              <w:t xml:space="preserve">  </w:t>
            </w:r>
            <w:r>
              <w:rPr>
                <w:sz w:val="21"/>
                <w:szCs w:val="21"/>
              </w:rPr>
              <w:t>程，提高工业用水循环利用率。</w:t>
            </w:r>
          </w:p>
        </w:tc>
        <w:tc>
          <w:tcPr>
            <w:tcW w:w="2037" w:type="dxa"/>
            <w:gridSpan w:val="2"/>
            <w:vAlign w:val="top"/>
          </w:tcPr>
          <w:p w14:paraId="07199B03">
            <w:pPr>
              <w:pStyle w:val="6"/>
              <w:spacing w:before="45" w:line="236" w:lineRule="auto"/>
              <w:ind w:left="176" w:right="125" w:firstLine="50"/>
              <w:jc w:val="both"/>
              <w:rPr>
                <w:sz w:val="21"/>
                <w:szCs w:val="21"/>
              </w:rPr>
            </w:pPr>
            <w:r>
              <w:rPr>
                <w:spacing w:val="-1"/>
                <w:sz w:val="21"/>
                <w:szCs w:val="21"/>
              </w:rPr>
              <w:t>项目无生产废水，</w:t>
            </w:r>
            <w:r>
              <w:rPr>
                <w:spacing w:val="1"/>
                <w:sz w:val="21"/>
                <w:szCs w:val="21"/>
              </w:rPr>
              <w:t xml:space="preserve"> 光伏电池板清洗废 水直接顺着流在光</w:t>
            </w:r>
            <w:r>
              <w:rPr>
                <w:sz w:val="21"/>
                <w:szCs w:val="21"/>
              </w:rPr>
              <w:t xml:space="preserve"> </w:t>
            </w:r>
            <w:r>
              <w:rPr>
                <w:spacing w:val="1"/>
                <w:sz w:val="21"/>
                <w:szCs w:val="21"/>
              </w:rPr>
              <w:t>伏板下面的经济作</w:t>
            </w:r>
            <w:r>
              <w:rPr>
                <w:spacing w:val="4"/>
                <w:sz w:val="21"/>
                <w:szCs w:val="21"/>
              </w:rPr>
              <w:t xml:space="preserve"> </w:t>
            </w:r>
            <w:r>
              <w:rPr>
                <w:spacing w:val="-2"/>
                <w:sz w:val="21"/>
                <w:szCs w:val="21"/>
              </w:rPr>
              <w:t>物上，作为金银花</w:t>
            </w:r>
            <w:r>
              <w:rPr>
                <w:spacing w:val="6"/>
                <w:sz w:val="21"/>
                <w:szCs w:val="21"/>
              </w:rPr>
              <w:t xml:space="preserve"> </w:t>
            </w:r>
            <w:r>
              <w:rPr>
                <w:spacing w:val="1"/>
                <w:sz w:val="21"/>
                <w:szCs w:val="21"/>
              </w:rPr>
              <w:t>灌溉补充水，不外</w:t>
            </w:r>
            <w:r>
              <w:rPr>
                <w:spacing w:val="4"/>
                <w:sz w:val="21"/>
                <w:szCs w:val="21"/>
              </w:rPr>
              <w:t xml:space="preserve"> </w:t>
            </w:r>
            <w:r>
              <w:rPr>
                <w:spacing w:val="-2"/>
                <w:sz w:val="21"/>
                <w:szCs w:val="21"/>
              </w:rPr>
              <w:t>排，清洗时间选择</w:t>
            </w:r>
            <w:r>
              <w:rPr>
                <w:spacing w:val="6"/>
                <w:sz w:val="21"/>
                <w:szCs w:val="21"/>
              </w:rPr>
              <w:t xml:space="preserve"> </w:t>
            </w:r>
            <w:r>
              <w:rPr>
                <w:spacing w:val="1"/>
                <w:sz w:val="21"/>
                <w:szCs w:val="21"/>
              </w:rPr>
              <w:t>在农作物可浇灌期</w:t>
            </w:r>
          </w:p>
        </w:tc>
        <w:tc>
          <w:tcPr>
            <w:tcW w:w="1039" w:type="dxa"/>
            <w:gridSpan w:val="2"/>
            <w:vAlign w:val="top"/>
          </w:tcPr>
          <w:p w14:paraId="6D237D3A">
            <w:pPr>
              <w:spacing w:line="311" w:lineRule="auto"/>
              <w:rPr>
                <w:rFonts w:ascii="Arial"/>
                <w:sz w:val="21"/>
              </w:rPr>
            </w:pPr>
          </w:p>
          <w:p w14:paraId="59F37E91">
            <w:pPr>
              <w:spacing w:line="311" w:lineRule="auto"/>
              <w:rPr>
                <w:rFonts w:ascii="Arial"/>
                <w:sz w:val="21"/>
              </w:rPr>
            </w:pPr>
          </w:p>
          <w:p w14:paraId="175E854B">
            <w:pPr>
              <w:spacing w:line="311" w:lineRule="auto"/>
              <w:rPr>
                <w:rFonts w:ascii="Arial"/>
                <w:sz w:val="21"/>
              </w:rPr>
            </w:pPr>
          </w:p>
          <w:p w14:paraId="34C8CEA3">
            <w:pPr>
              <w:pStyle w:val="6"/>
              <w:spacing w:before="69" w:line="219" w:lineRule="auto"/>
              <w:ind w:left="309"/>
              <w:rPr>
                <w:sz w:val="21"/>
                <w:szCs w:val="21"/>
              </w:rPr>
            </w:pPr>
            <w:r>
              <w:rPr>
                <w:spacing w:val="-3"/>
                <w:sz w:val="21"/>
                <w:szCs w:val="21"/>
              </w:rPr>
              <w:t>符合</w:t>
            </w:r>
          </w:p>
        </w:tc>
        <w:tc>
          <w:tcPr>
            <w:tcW w:w="165" w:type="dxa"/>
            <w:vMerge w:val="continue"/>
            <w:tcBorders>
              <w:top w:val="nil"/>
            </w:tcBorders>
            <w:vAlign w:val="top"/>
          </w:tcPr>
          <w:p w14:paraId="0DFDDC96">
            <w:pPr>
              <w:rPr>
                <w:rFonts w:ascii="Arial"/>
                <w:sz w:val="21"/>
              </w:rPr>
            </w:pPr>
          </w:p>
        </w:tc>
      </w:tr>
    </w:tbl>
    <w:p w14:paraId="11227CDC">
      <w:pPr>
        <w:pStyle w:val="2"/>
      </w:pPr>
    </w:p>
    <w:p w14:paraId="2D995878">
      <w:pPr>
        <w:sectPr>
          <w:footerReference r:id="rId28" w:type="default"/>
          <w:pgSz w:w="11910" w:h="16840"/>
          <w:pgMar w:top="1431" w:right="1554" w:bottom="1269" w:left="1494" w:header="0" w:footer="1089" w:gutter="0"/>
          <w:cols w:space="720" w:num="1"/>
        </w:sectPr>
      </w:pPr>
    </w:p>
    <w:p w14:paraId="11501FB9">
      <w:pPr>
        <w:spacing w:line="93" w:lineRule="exact"/>
      </w:pPr>
    </w:p>
    <w:tbl>
      <w:tblPr>
        <w:tblStyle w:val="5"/>
        <w:tblW w:w="8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599"/>
        <w:gridCol w:w="380"/>
        <w:gridCol w:w="2477"/>
        <w:gridCol w:w="569"/>
        <w:gridCol w:w="1349"/>
        <w:gridCol w:w="689"/>
        <w:gridCol w:w="1044"/>
      </w:tblGrid>
      <w:tr w14:paraId="7E78F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573" w:type="dxa"/>
            <w:vMerge w:val="restart"/>
            <w:tcBorders>
              <w:bottom w:val="nil"/>
            </w:tcBorders>
            <w:vAlign w:val="top"/>
          </w:tcPr>
          <w:p w14:paraId="6A43E07C">
            <w:pPr>
              <w:rPr>
                <w:rFonts w:ascii="Arial"/>
                <w:sz w:val="21"/>
              </w:rPr>
            </w:pPr>
          </w:p>
        </w:tc>
        <w:tc>
          <w:tcPr>
            <w:tcW w:w="979" w:type="dxa"/>
            <w:gridSpan w:val="2"/>
            <w:vAlign w:val="top"/>
          </w:tcPr>
          <w:p w14:paraId="42BDE24A">
            <w:pPr>
              <w:rPr>
                <w:rFonts w:ascii="Arial"/>
                <w:sz w:val="21"/>
              </w:rPr>
            </w:pPr>
          </w:p>
        </w:tc>
        <w:tc>
          <w:tcPr>
            <w:tcW w:w="3046" w:type="dxa"/>
            <w:gridSpan w:val="2"/>
            <w:vAlign w:val="top"/>
          </w:tcPr>
          <w:p w14:paraId="3A9ADE02">
            <w:pPr>
              <w:rPr>
                <w:rFonts w:ascii="Arial"/>
                <w:sz w:val="21"/>
              </w:rPr>
            </w:pPr>
          </w:p>
        </w:tc>
        <w:tc>
          <w:tcPr>
            <w:tcW w:w="2038" w:type="dxa"/>
            <w:gridSpan w:val="2"/>
            <w:vAlign w:val="top"/>
          </w:tcPr>
          <w:p w14:paraId="481E6D71">
            <w:pPr>
              <w:pStyle w:val="6"/>
              <w:spacing w:before="43" w:line="212" w:lineRule="auto"/>
              <w:ind w:left="647"/>
              <w:rPr>
                <w:sz w:val="21"/>
                <w:szCs w:val="21"/>
              </w:rPr>
            </w:pPr>
            <w:r>
              <w:rPr>
                <w:spacing w:val="-1"/>
                <w:sz w:val="21"/>
                <w:szCs w:val="21"/>
              </w:rPr>
              <w:t>间进行。</w:t>
            </w:r>
          </w:p>
        </w:tc>
        <w:tc>
          <w:tcPr>
            <w:tcW w:w="1044" w:type="dxa"/>
            <w:vAlign w:val="top"/>
          </w:tcPr>
          <w:p w14:paraId="6B1D4AC1">
            <w:pPr>
              <w:rPr>
                <w:rFonts w:ascii="Arial"/>
                <w:sz w:val="21"/>
              </w:rPr>
            </w:pPr>
          </w:p>
        </w:tc>
      </w:tr>
      <w:tr w14:paraId="408AD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1573" w:type="dxa"/>
            <w:vMerge w:val="continue"/>
            <w:tcBorders>
              <w:top w:val="nil"/>
              <w:bottom w:val="nil"/>
            </w:tcBorders>
            <w:vAlign w:val="top"/>
          </w:tcPr>
          <w:p w14:paraId="2B8B2B78">
            <w:pPr>
              <w:rPr>
                <w:rFonts w:ascii="Arial"/>
                <w:sz w:val="21"/>
              </w:rPr>
            </w:pPr>
          </w:p>
        </w:tc>
        <w:tc>
          <w:tcPr>
            <w:tcW w:w="979" w:type="dxa"/>
            <w:gridSpan w:val="2"/>
            <w:vMerge w:val="restart"/>
            <w:tcBorders>
              <w:bottom w:val="nil"/>
            </w:tcBorders>
            <w:vAlign w:val="top"/>
          </w:tcPr>
          <w:p w14:paraId="6EBA76D9">
            <w:pPr>
              <w:spacing w:line="281" w:lineRule="auto"/>
              <w:rPr>
                <w:rFonts w:ascii="Arial"/>
                <w:sz w:val="21"/>
              </w:rPr>
            </w:pPr>
          </w:p>
          <w:p w14:paraId="75DC3FC0">
            <w:pPr>
              <w:spacing w:line="282" w:lineRule="auto"/>
              <w:rPr>
                <w:rFonts w:ascii="Arial"/>
                <w:sz w:val="21"/>
              </w:rPr>
            </w:pPr>
          </w:p>
          <w:p w14:paraId="0CFC6DCD">
            <w:pPr>
              <w:spacing w:line="282" w:lineRule="auto"/>
              <w:rPr>
                <w:rFonts w:ascii="Arial"/>
                <w:sz w:val="21"/>
              </w:rPr>
            </w:pPr>
          </w:p>
          <w:p w14:paraId="57DA82D2">
            <w:pPr>
              <w:pStyle w:val="6"/>
              <w:spacing w:before="68" w:line="219" w:lineRule="auto"/>
              <w:ind w:left="272"/>
              <w:rPr>
                <w:sz w:val="21"/>
                <w:szCs w:val="21"/>
              </w:rPr>
            </w:pPr>
            <w:r>
              <w:rPr>
                <w:spacing w:val="10"/>
                <w:sz w:val="21"/>
                <w:szCs w:val="21"/>
              </w:rPr>
              <w:t>第四</w:t>
            </w:r>
          </w:p>
          <w:p w14:paraId="26616CBA">
            <w:pPr>
              <w:pStyle w:val="6"/>
              <w:spacing w:before="21" w:line="220" w:lineRule="auto"/>
              <w:ind w:left="162"/>
              <w:rPr>
                <w:sz w:val="21"/>
                <w:szCs w:val="21"/>
              </w:rPr>
            </w:pPr>
            <w:r>
              <w:rPr>
                <w:spacing w:val="-2"/>
                <w:sz w:val="21"/>
                <w:szCs w:val="21"/>
              </w:rPr>
              <w:t>节、坚</w:t>
            </w:r>
          </w:p>
          <w:p w14:paraId="6C31A7B7">
            <w:pPr>
              <w:pStyle w:val="6"/>
              <w:spacing w:before="9" w:line="219" w:lineRule="auto"/>
              <w:ind w:left="162"/>
              <w:rPr>
                <w:sz w:val="21"/>
                <w:szCs w:val="21"/>
              </w:rPr>
            </w:pPr>
            <w:r>
              <w:rPr>
                <w:spacing w:val="3"/>
                <w:sz w:val="21"/>
                <w:szCs w:val="21"/>
              </w:rPr>
              <w:t>持闭环</w:t>
            </w:r>
          </w:p>
          <w:p w14:paraId="2E5DFAB2">
            <w:pPr>
              <w:pStyle w:val="6"/>
              <w:spacing w:before="10" w:line="219" w:lineRule="auto"/>
              <w:ind w:left="102"/>
              <w:rPr>
                <w:sz w:val="21"/>
                <w:szCs w:val="21"/>
              </w:rPr>
            </w:pPr>
            <w:r>
              <w:rPr>
                <w:spacing w:val="-2"/>
                <w:sz w:val="21"/>
                <w:szCs w:val="21"/>
              </w:rPr>
              <w:t>管理，</w:t>
            </w:r>
          </w:p>
          <w:p w14:paraId="698B15D7">
            <w:pPr>
              <w:pStyle w:val="6"/>
              <w:spacing w:before="40" w:line="219" w:lineRule="auto"/>
              <w:ind w:left="162"/>
              <w:rPr>
                <w:sz w:val="21"/>
                <w:szCs w:val="21"/>
              </w:rPr>
            </w:pPr>
            <w:r>
              <w:rPr>
                <w:spacing w:val="7"/>
                <w:sz w:val="21"/>
                <w:szCs w:val="21"/>
              </w:rPr>
              <w:t>提高固</w:t>
            </w:r>
          </w:p>
          <w:p w14:paraId="64D8D845">
            <w:pPr>
              <w:pStyle w:val="6"/>
              <w:spacing w:before="22" w:line="220" w:lineRule="auto"/>
              <w:ind w:left="162"/>
              <w:rPr>
                <w:sz w:val="21"/>
                <w:szCs w:val="21"/>
              </w:rPr>
            </w:pPr>
            <w:r>
              <w:rPr>
                <w:spacing w:val="-2"/>
                <w:sz w:val="21"/>
                <w:szCs w:val="21"/>
              </w:rPr>
              <w:t>废治理</w:t>
            </w:r>
          </w:p>
          <w:p w14:paraId="0319B5EF">
            <w:pPr>
              <w:pStyle w:val="6"/>
              <w:spacing w:before="19" w:line="219" w:lineRule="auto"/>
              <w:ind w:left="272"/>
              <w:rPr>
                <w:sz w:val="21"/>
                <w:szCs w:val="21"/>
              </w:rPr>
            </w:pPr>
            <w:r>
              <w:rPr>
                <w:spacing w:val="4"/>
                <w:sz w:val="21"/>
                <w:szCs w:val="21"/>
              </w:rPr>
              <w:t>水平</w:t>
            </w:r>
          </w:p>
        </w:tc>
        <w:tc>
          <w:tcPr>
            <w:tcW w:w="3046" w:type="dxa"/>
            <w:gridSpan w:val="2"/>
            <w:vAlign w:val="top"/>
          </w:tcPr>
          <w:p w14:paraId="125DEF51">
            <w:pPr>
              <w:spacing w:line="323" w:lineRule="auto"/>
              <w:rPr>
                <w:rFonts w:ascii="Arial"/>
                <w:sz w:val="21"/>
              </w:rPr>
            </w:pPr>
          </w:p>
          <w:p w14:paraId="682E3A4D">
            <w:pPr>
              <w:spacing w:line="323" w:lineRule="auto"/>
              <w:rPr>
                <w:rFonts w:ascii="Arial"/>
                <w:sz w:val="21"/>
              </w:rPr>
            </w:pPr>
          </w:p>
          <w:p w14:paraId="184385AF">
            <w:pPr>
              <w:pStyle w:val="6"/>
              <w:spacing w:before="68" w:line="219" w:lineRule="auto"/>
              <w:ind w:left="113"/>
              <w:rPr>
                <w:sz w:val="21"/>
                <w:szCs w:val="21"/>
              </w:rPr>
            </w:pPr>
            <w:r>
              <w:rPr>
                <w:spacing w:val="3"/>
                <w:sz w:val="21"/>
                <w:szCs w:val="21"/>
              </w:rPr>
              <w:t>加强危险废物(含医疗废物)</w:t>
            </w:r>
          </w:p>
          <w:p w14:paraId="0733E342">
            <w:pPr>
              <w:pStyle w:val="6"/>
              <w:spacing w:before="20" w:line="219" w:lineRule="auto"/>
              <w:ind w:left="1043"/>
              <w:rPr>
                <w:sz w:val="21"/>
                <w:szCs w:val="21"/>
              </w:rPr>
            </w:pPr>
            <w:r>
              <w:rPr>
                <w:spacing w:val="-1"/>
                <w:sz w:val="21"/>
                <w:szCs w:val="21"/>
              </w:rPr>
              <w:t>收集处理。</w:t>
            </w:r>
          </w:p>
        </w:tc>
        <w:tc>
          <w:tcPr>
            <w:tcW w:w="2038" w:type="dxa"/>
            <w:gridSpan w:val="2"/>
            <w:vAlign w:val="top"/>
          </w:tcPr>
          <w:p w14:paraId="171DB569">
            <w:pPr>
              <w:pStyle w:val="6"/>
              <w:spacing w:before="37" w:line="219" w:lineRule="auto"/>
              <w:ind w:left="177"/>
              <w:rPr>
                <w:sz w:val="21"/>
                <w:szCs w:val="21"/>
              </w:rPr>
            </w:pPr>
            <w:r>
              <w:rPr>
                <w:spacing w:val="-1"/>
                <w:sz w:val="21"/>
                <w:szCs w:val="21"/>
              </w:rPr>
              <w:t>本项目风险为变压</w:t>
            </w:r>
          </w:p>
          <w:p w14:paraId="2B2B6FFD">
            <w:pPr>
              <w:pStyle w:val="6"/>
              <w:spacing w:before="22" w:line="220" w:lineRule="auto"/>
              <w:ind w:left="227"/>
              <w:rPr>
                <w:sz w:val="21"/>
                <w:szCs w:val="21"/>
              </w:rPr>
            </w:pPr>
            <w:r>
              <w:rPr>
                <w:spacing w:val="-1"/>
                <w:sz w:val="21"/>
                <w:szCs w:val="21"/>
              </w:rPr>
              <w:t>器发生事故排油，</w:t>
            </w:r>
          </w:p>
          <w:p w14:paraId="6295D985">
            <w:pPr>
              <w:pStyle w:val="6"/>
              <w:spacing w:before="9" w:line="219" w:lineRule="auto"/>
              <w:ind w:left="177"/>
              <w:rPr>
                <w:sz w:val="21"/>
                <w:szCs w:val="21"/>
              </w:rPr>
            </w:pPr>
            <w:r>
              <w:rPr>
                <w:spacing w:val="1"/>
                <w:sz w:val="21"/>
                <w:szCs w:val="21"/>
              </w:rPr>
              <w:t>项目建设集油池及</w:t>
            </w:r>
          </w:p>
          <w:p w14:paraId="7DF40ADB">
            <w:pPr>
              <w:pStyle w:val="6"/>
              <w:spacing w:before="50" w:line="219" w:lineRule="auto"/>
              <w:ind w:left="177"/>
              <w:rPr>
                <w:sz w:val="21"/>
                <w:szCs w:val="21"/>
              </w:rPr>
            </w:pPr>
            <w:r>
              <w:rPr>
                <w:spacing w:val="-1"/>
                <w:sz w:val="21"/>
                <w:szCs w:val="21"/>
              </w:rPr>
              <w:t>事故油池暂存事故</w:t>
            </w:r>
          </w:p>
          <w:p w14:paraId="4E5F8802">
            <w:pPr>
              <w:pStyle w:val="6"/>
              <w:spacing w:before="21" w:line="220" w:lineRule="auto"/>
              <w:ind w:left="177"/>
              <w:rPr>
                <w:sz w:val="21"/>
                <w:szCs w:val="21"/>
              </w:rPr>
            </w:pPr>
            <w:r>
              <w:rPr>
                <w:spacing w:val="2"/>
                <w:sz w:val="21"/>
                <w:szCs w:val="21"/>
              </w:rPr>
              <w:t>油，能保证事故油</w:t>
            </w:r>
          </w:p>
          <w:p w14:paraId="4E5BA0F2">
            <w:pPr>
              <w:pStyle w:val="6"/>
              <w:spacing w:before="10" w:line="220" w:lineRule="auto"/>
              <w:ind w:left="177"/>
              <w:rPr>
                <w:sz w:val="21"/>
                <w:szCs w:val="21"/>
              </w:rPr>
            </w:pPr>
            <w:r>
              <w:rPr>
                <w:spacing w:val="3"/>
                <w:sz w:val="21"/>
                <w:szCs w:val="21"/>
              </w:rPr>
              <w:t>不外排，不污染周</w:t>
            </w:r>
          </w:p>
          <w:p w14:paraId="0C5940C6">
            <w:pPr>
              <w:pStyle w:val="6"/>
              <w:spacing w:line="201" w:lineRule="auto"/>
              <w:ind w:left="647"/>
              <w:rPr>
                <w:sz w:val="21"/>
                <w:szCs w:val="21"/>
              </w:rPr>
            </w:pPr>
            <w:r>
              <w:rPr>
                <w:spacing w:val="-1"/>
                <w:sz w:val="21"/>
                <w:szCs w:val="21"/>
              </w:rPr>
              <w:t>边环境。</w:t>
            </w:r>
          </w:p>
        </w:tc>
        <w:tc>
          <w:tcPr>
            <w:tcW w:w="1044" w:type="dxa"/>
            <w:vAlign w:val="top"/>
          </w:tcPr>
          <w:p w14:paraId="39F1C564">
            <w:pPr>
              <w:spacing w:line="255" w:lineRule="auto"/>
              <w:rPr>
                <w:rFonts w:ascii="Arial"/>
                <w:sz w:val="21"/>
              </w:rPr>
            </w:pPr>
          </w:p>
          <w:p w14:paraId="301FDEFB">
            <w:pPr>
              <w:spacing w:line="255" w:lineRule="auto"/>
              <w:rPr>
                <w:rFonts w:ascii="Arial"/>
                <w:sz w:val="21"/>
              </w:rPr>
            </w:pPr>
          </w:p>
          <w:p w14:paraId="2BA7EFA4">
            <w:pPr>
              <w:spacing w:line="255" w:lineRule="auto"/>
              <w:rPr>
                <w:rFonts w:ascii="Arial"/>
                <w:sz w:val="21"/>
              </w:rPr>
            </w:pPr>
          </w:p>
          <w:p w14:paraId="573F7E4A">
            <w:pPr>
              <w:pStyle w:val="6"/>
              <w:spacing w:before="68" w:line="219" w:lineRule="auto"/>
              <w:ind w:left="309"/>
              <w:rPr>
                <w:sz w:val="21"/>
                <w:szCs w:val="21"/>
              </w:rPr>
            </w:pPr>
            <w:r>
              <w:rPr>
                <w:spacing w:val="-3"/>
                <w:sz w:val="21"/>
                <w:szCs w:val="21"/>
              </w:rPr>
              <w:t>符合</w:t>
            </w:r>
          </w:p>
        </w:tc>
      </w:tr>
      <w:tr w14:paraId="12E2C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1573" w:type="dxa"/>
            <w:vMerge w:val="continue"/>
            <w:tcBorders>
              <w:top w:val="nil"/>
              <w:bottom w:val="nil"/>
            </w:tcBorders>
            <w:vAlign w:val="top"/>
          </w:tcPr>
          <w:p w14:paraId="484CFD9D">
            <w:pPr>
              <w:rPr>
                <w:rFonts w:ascii="Arial"/>
                <w:sz w:val="21"/>
              </w:rPr>
            </w:pPr>
          </w:p>
        </w:tc>
        <w:tc>
          <w:tcPr>
            <w:tcW w:w="979" w:type="dxa"/>
            <w:gridSpan w:val="2"/>
            <w:vMerge w:val="continue"/>
            <w:tcBorders>
              <w:top w:val="nil"/>
            </w:tcBorders>
            <w:vAlign w:val="top"/>
          </w:tcPr>
          <w:p w14:paraId="3EBEC573">
            <w:pPr>
              <w:rPr>
                <w:rFonts w:ascii="Arial"/>
                <w:sz w:val="21"/>
              </w:rPr>
            </w:pPr>
          </w:p>
        </w:tc>
        <w:tc>
          <w:tcPr>
            <w:tcW w:w="3046" w:type="dxa"/>
            <w:gridSpan w:val="2"/>
            <w:vAlign w:val="top"/>
          </w:tcPr>
          <w:p w14:paraId="02945D64">
            <w:pPr>
              <w:spacing w:line="278" w:lineRule="auto"/>
              <w:rPr>
                <w:rFonts w:ascii="Arial"/>
                <w:sz w:val="21"/>
              </w:rPr>
            </w:pPr>
          </w:p>
          <w:p w14:paraId="3D847796">
            <w:pPr>
              <w:spacing w:line="279" w:lineRule="auto"/>
              <w:rPr>
                <w:rFonts w:ascii="Arial"/>
                <w:sz w:val="21"/>
              </w:rPr>
            </w:pPr>
          </w:p>
          <w:p w14:paraId="3A96E6E7">
            <w:pPr>
              <w:pStyle w:val="6"/>
              <w:spacing w:before="68" w:line="226" w:lineRule="auto"/>
              <w:ind w:left="253" w:right="207"/>
              <w:jc w:val="both"/>
              <w:rPr>
                <w:sz w:val="21"/>
                <w:szCs w:val="21"/>
              </w:rPr>
            </w:pPr>
            <w:r>
              <w:rPr>
                <w:spacing w:val="1"/>
                <w:sz w:val="21"/>
                <w:szCs w:val="21"/>
              </w:rPr>
              <w:t>提高工业固体废弃物综合利</w:t>
            </w:r>
            <w:r>
              <w:rPr>
                <w:spacing w:val="2"/>
                <w:sz w:val="21"/>
                <w:szCs w:val="21"/>
              </w:rPr>
              <w:t xml:space="preserve"> </w:t>
            </w:r>
            <w:r>
              <w:rPr>
                <w:spacing w:val="-1"/>
                <w:sz w:val="21"/>
                <w:szCs w:val="21"/>
              </w:rPr>
              <w:t>用水平，推进固体废物减量</w:t>
            </w:r>
            <w:r>
              <w:rPr>
                <w:spacing w:val="1"/>
                <w:sz w:val="21"/>
                <w:szCs w:val="21"/>
              </w:rPr>
              <w:t xml:space="preserve"> </w:t>
            </w:r>
            <w:r>
              <w:rPr>
                <w:spacing w:val="4"/>
                <w:sz w:val="21"/>
                <w:szCs w:val="21"/>
              </w:rPr>
              <w:t>化、资源化和无害化管理。</w:t>
            </w:r>
          </w:p>
        </w:tc>
        <w:tc>
          <w:tcPr>
            <w:tcW w:w="2038" w:type="dxa"/>
            <w:gridSpan w:val="2"/>
            <w:vAlign w:val="top"/>
          </w:tcPr>
          <w:p w14:paraId="38C5964A">
            <w:pPr>
              <w:pStyle w:val="6"/>
              <w:spacing w:before="69" w:line="219" w:lineRule="auto"/>
              <w:ind w:left="177"/>
              <w:rPr>
                <w:sz w:val="21"/>
                <w:szCs w:val="21"/>
              </w:rPr>
            </w:pPr>
            <w:r>
              <w:rPr>
                <w:spacing w:val="1"/>
                <w:sz w:val="21"/>
                <w:szCs w:val="21"/>
              </w:rPr>
              <w:t>项目报废光伏板及</w:t>
            </w:r>
          </w:p>
          <w:p w14:paraId="6A694165">
            <w:pPr>
              <w:pStyle w:val="6"/>
              <w:spacing w:before="12" w:line="219" w:lineRule="auto"/>
              <w:ind w:left="177"/>
              <w:rPr>
                <w:sz w:val="21"/>
                <w:szCs w:val="21"/>
              </w:rPr>
            </w:pPr>
            <w:r>
              <w:rPr>
                <w:spacing w:val="-1"/>
                <w:sz w:val="21"/>
                <w:szCs w:val="21"/>
              </w:rPr>
              <w:t>废电气元件进行收</w:t>
            </w:r>
          </w:p>
          <w:p w14:paraId="35CAC44A">
            <w:pPr>
              <w:pStyle w:val="6"/>
              <w:spacing w:before="1" w:line="210" w:lineRule="auto"/>
              <w:ind w:right="15"/>
              <w:jc w:val="right"/>
              <w:rPr>
                <w:sz w:val="21"/>
                <w:szCs w:val="21"/>
              </w:rPr>
            </w:pPr>
            <w:r>
              <w:rPr>
                <w:sz w:val="21"/>
                <w:szCs w:val="21"/>
              </w:rPr>
              <w:t>集暂存于项目仓库，</w:t>
            </w:r>
          </w:p>
          <w:p w14:paraId="780E2F21">
            <w:pPr>
              <w:pStyle w:val="6"/>
              <w:spacing w:line="218" w:lineRule="auto"/>
              <w:ind w:left="177"/>
              <w:rPr>
                <w:sz w:val="21"/>
                <w:szCs w:val="21"/>
              </w:rPr>
            </w:pPr>
            <w:r>
              <w:rPr>
                <w:spacing w:val="-1"/>
                <w:sz w:val="21"/>
                <w:szCs w:val="21"/>
              </w:rPr>
              <w:t>仓库设置在附近集</w:t>
            </w:r>
          </w:p>
          <w:p w14:paraId="31D0EBD4">
            <w:pPr>
              <w:pStyle w:val="6"/>
              <w:spacing w:before="2" w:line="202" w:lineRule="auto"/>
              <w:ind w:left="67"/>
              <w:rPr>
                <w:sz w:val="21"/>
                <w:szCs w:val="21"/>
              </w:rPr>
            </w:pPr>
            <w:r>
              <w:rPr>
                <w:spacing w:val="1"/>
                <w:sz w:val="21"/>
                <w:szCs w:val="21"/>
              </w:rPr>
              <w:t>镇。存有一定数量后</w:t>
            </w:r>
          </w:p>
          <w:p w14:paraId="146C94D1">
            <w:pPr>
              <w:pStyle w:val="6"/>
              <w:spacing w:line="202" w:lineRule="auto"/>
              <w:ind w:left="177"/>
              <w:rPr>
                <w:sz w:val="21"/>
                <w:szCs w:val="21"/>
              </w:rPr>
            </w:pPr>
            <w:r>
              <w:rPr>
                <w:spacing w:val="2"/>
                <w:sz w:val="21"/>
                <w:szCs w:val="21"/>
              </w:rPr>
              <w:t>由生产厂家收购回</w:t>
            </w:r>
          </w:p>
          <w:p w14:paraId="081C99BD">
            <w:pPr>
              <w:pStyle w:val="6"/>
              <w:spacing w:line="200" w:lineRule="auto"/>
              <w:ind w:left="97"/>
              <w:rPr>
                <w:sz w:val="21"/>
                <w:szCs w:val="21"/>
              </w:rPr>
            </w:pPr>
            <w:r>
              <w:rPr>
                <w:spacing w:val="2"/>
                <w:sz w:val="21"/>
                <w:szCs w:val="21"/>
              </w:rPr>
              <w:t>收处理</w:t>
            </w:r>
          </w:p>
        </w:tc>
        <w:tc>
          <w:tcPr>
            <w:tcW w:w="1044" w:type="dxa"/>
            <w:vAlign w:val="top"/>
          </w:tcPr>
          <w:p w14:paraId="28CC5671">
            <w:pPr>
              <w:spacing w:line="354" w:lineRule="auto"/>
              <w:rPr>
                <w:rFonts w:ascii="Arial"/>
                <w:sz w:val="21"/>
              </w:rPr>
            </w:pPr>
          </w:p>
          <w:p w14:paraId="3A2F318F">
            <w:pPr>
              <w:spacing w:line="354" w:lineRule="auto"/>
              <w:rPr>
                <w:rFonts w:ascii="Arial"/>
                <w:sz w:val="21"/>
              </w:rPr>
            </w:pPr>
          </w:p>
          <w:p w14:paraId="37E261B7">
            <w:pPr>
              <w:pStyle w:val="6"/>
              <w:spacing w:before="68" w:line="219" w:lineRule="auto"/>
              <w:ind w:left="439"/>
              <w:rPr>
                <w:sz w:val="21"/>
                <w:szCs w:val="21"/>
              </w:rPr>
            </w:pPr>
            <w:r>
              <w:rPr>
                <w:spacing w:val="-3"/>
                <w:sz w:val="21"/>
                <w:szCs w:val="21"/>
              </w:rPr>
              <w:t>符合</w:t>
            </w:r>
          </w:p>
        </w:tc>
      </w:tr>
      <w:tr w14:paraId="524D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1573" w:type="dxa"/>
            <w:vMerge w:val="continue"/>
            <w:tcBorders>
              <w:top w:val="nil"/>
              <w:bottom w:val="nil"/>
            </w:tcBorders>
            <w:vAlign w:val="top"/>
          </w:tcPr>
          <w:p w14:paraId="3805C700">
            <w:pPr>
              <w:rPr>
                <w:rFonts w:ascii="Arial"/>
                <w:sz w:val="21"/>
              </w:rPr>
            </w:pPr>
          </w:p>
        </w:tc>
        <w:tc>
          <w:tcPr>
            <w:tcW w:w="979" w:type="dxa"/>
            <w:gridSpan w:val="2"/>
            <w:vAlign w:val="top"/>
          </w:tcPr>
          <w:p w14:paraId="0F728B85">
            <w:pPr>
              <w:pStyle w:val="6"/>
              <w:spacing w:before="41" w:line="243" w:lineRule="auto"/>
              <w:ind w:left="162" w:right="160" w:firstLine="110"/>
              <w:rPr>
                <w:sz w:val="21"/>
                <w:szCs w:val="21"/>
              </w:rPr>
            </w:pPr>
            <w:r>
              <w:rPr>
                <w:spacing w:val="-5"/>
                <w:sz w:val="21"/>
                <w:szCs w:val="21"/>
              </w:rPr>
              <w:t>第五</w:t>
            </w:r>
            <w:r>
              <w:rPr>
                <w:sz w:val="21"/>
                <w:szCs w:val="21"/>
              </w:rPr>
              <w:t xml:space="preserve">  </w:t>
            </w:r>
            <w:r>
              <w:rPr>
                <w:spacing w:val="5"/>
                <w:sz w:val="21"/>
                <w:szCs w:val="21"/>
              </w:rPr>
              <w:t>节、加</w:t>
            </w:r>
          </w:p>
          <w:p w14:paraId="59FA226A">
            <w:pPr>
              <w:pStyle w:val="6"/>
              <w:spacing w:line="221" w:lineRule="auto"/>
              <w:ind w:left="162"/>
              <w:rPr>
                <w:sz w:val="21"/>
                <w:szCs w:val="21"/>
              </w:rPr>
            </w:pPr>
            <w:r>
              <w:rPr>
                <w:spacing w:val="2"/>
                <w:sz w:val="21"/>
                <w:szCs w:val="21"/>
              </w:rPr>
              <w:t>强农业</w:t>
            </w:r>
          </w:p>
          <w:p w14:paraId="093053C0">
            <w:pPr>
              <w:pStyle w:val="6"/>
              <w:spacing w:before="17" w:line="221" w:lineRule="auto"/>
              <w:ind w:left="162"/>
              <w:rPr>
                <w:sz w:val="21"/>
                <w:szCs w:val="21"/>
              </w:rPr>
            </w:pPr>
            <w:r>
              <w:rPr>
                <w:spacing w:val="6"/>
                <w:sz w:val="21"/>
                <w:szCs w:val="21"/>
              </w:rPr>
              <w:t>面源治</w:t>
            </w:r>
          </w:p>
          <w:p w14:paraId="2901897F">
            <w:pPr>
              <w:pStyle w:val="6"/>
              <w:spacing w:before="20" w:line="222" w:lineRule="auto"/>
              <w:ind w:left="162"/>
              <w:rPr>
                <w:sz w:val="21"/>
                <w:szCs w:val="21"/>
              </w:rPr>
            </w:pPr>
            <w:r>
              <w:rPr>
                <w:spacing w:val="-3"/>
                <w:sz w:val="21"/>
                <w:szCs w:val="21"/>
              </w:rPr>
              <w:t>理，推</w:t>
            </w:r>
          </w:p>
          <w:p w14:paraId="0150F8C1">
            <w:pPr>
              <w:pStyle w:val="6"/>
              <w:spacing w:before="23" w:line="219" w:lineRule="auto"/>
              <w:ind w:left="162"/>
              <w:rPr>
                <w:sz w:val="21"/>
                <w:szCs w:val="21"/>
              </w:rPr>
            </w:pPr>
            <w:r>
              <w:rPr>
                <w:spacing w:val="-2"/>
                <w:sz w:val="21"/>
                <w:szCs w:val="21"/>
              </w:rPr>
              <w:t>进农村</w:t>
            </w:r>
          </w:p>
          <w:p w14:paraId="109AFA8C">
            <w:pPr>
              <w:pStyle w:val="6"/>
              <w:spacing w:before="22" w:line="220" w:lineRule="auto"/>
              <w:ind w:left="162"/>
              <w:rPr>
                <w:sz w:val="21"/>
                <w:szCs w:val="21"/>
              </w:rPr>
            </w:pPr>
            <w:r>
              <w:rPr>
                <w:spacing w:val="-2"/>
                <w:sz w:val="21"/>
                <w:szCs w:val="21"/>
              </w:rPr>
              <w:t>环境保</w:t>
            </w:r>
          </w:p>
          <w:p w14:paraId="7C0E2B23">
            <w:pPr>
              <w:pStyle w:val="6"/>
              <w:spacing w:before="20" w:line="198" w:lineRule="auto"/>
              <w:ind w:left="372"/>
              <w:rPr>
                <w:sz w:val="21"/>
                <w:szCs w:val="21"/>
              </w:rPr>
            </w:pPr>
            <w:r>
              <w:rPr>
                <w:sz w:val="21"/>
                <w:szCs w:val="21"/>
              </w:rPr>
              <w:t>护</w:t>
            </w:r>
          </w:p>
        </w:tc>
        <w:tc>
          <w:tcPr>
            <w:tcW w:w="3046" w:type="dxa"/>
            <w:gridSpan w:val="2"/>
            <w:vAlign w:val="top"/>
          </w:tcPr>
          <w:p w14:paraId="7337DB77">
            <w:pPr>
              <w:spacing w:line="402" w:lineRule="auto"/>
              <w:rPr>
                <w:rFonts w:ascii="Arial"/>
                <w:sz w:val="21"/>
              </w:rPr>
            </w:pPr>
          </w:p>
          <w:p w14:paraId="1488268C">
            <w:pPr>
              <w:pStyle w:val="6"/>
              <w:spacing w:before="68" w:line="219" w:lineRule="auto"/>
              <w:ind w:left="153"/>
              <w:rPr>
                <w:sz w:val="21"/>
                <w:szCs w:val="21"/>
              </w:rPr>
            </w:pPr>
            <w:r>
              <w:rPr>
                <w:spacing w:val="8"/>
                <w:sz w:val="21"/>
                <w:szCs w:val="21"/>
              </w:rPr>
              <w:t>因地制宜发展秸秆热解气化、</w:t>
            </w:r>
          </w:p>
          <w:p w14:paraId="56D21C7D">
            <w:pPr>
              <w:pStyle w:val="6"/>
              <w:spacing w:before="20" w:line="219" w:lineRule="auto"/>
              <w:ind w:left="153"/>
              <w:rPr>
                <w:sz w:val="21"/>
                <w:szCs w:val="21"/>
              </w:rPr>
            </w:pPr>
            <w:r>
              <w:rPr>
                <w:spacing w:val="-1"/>
                <w:sz w:val="21"/>
                <w:szCs w:val="21"/>
              </w:rPr>
              <w:t>秸秆沼气、秸秆生物质燃料等</w:t>
            </w:r>
          </w:p>
          <w:p w14:paraId="50EB9147">
            <w:pPr>
              <w:pStyle w:val="6"/>
              <w:spacing w:before="19" w:line="219" w:lineRule="auto"/>
              <w:ind w:left="153"/>
              <w:rPr>
                <w:sz w:val="21"/>
                <w:szCs w:val="21"/>
              </w:rPr>
            </w:pPr>
            <w:r>
              <w:rPr>
                <w:spacing w:val="-1"/>
                <w:sz w:val="21"/>
                <w:szCs w:val="21"/>
              </w:rPr>
              <w:t>农村清洁能源，推动秸秆高值</w:t>
            </w:r>
          </w:p>
          <w:p w14:paraId="5CEDE40B">
            <w:pPr>
              <w:pStyle w:val="6"/>
              <w:spacing w:before="21" w:line="219" w:lineRule="auto"/>
              <w:ind w:left="153"/>
              <w:rPr>
                <w:sz w:val="21"/>
                <w:szCs w:val="21"/>
              </w:rPr>
            </w:pPr>
            <w:r>
              <w:rPr>
                <w:spacing w:val="-1"/>
                <w:sz w:val="21"/>
                <w:szCs w:val="21"/>
              </w:rPr>
              <w:t>化综合利用与农村人居环境改</w:t>
            </w:r>
          </w:p>
          <w:p w14:paraId="5AC6AAD7">
            <w:pPr>
              <w:pStyle w:val="6"/>
              <w:spacing w:before="30" w:line="219" w:lineRule="auto"/>
              <w:ind w:left="933"/>
              <w:rPr>
                <w:sz w:val="21"/>
                <w:szCs w:val="21"/>
              </w:rPr>
            </w:pPr>
            <w:r>
              <w:rPr>
                <w:sz w:val="21"/>
                <w:szCs w:val="21"/>
              </w:rPr>
              <w:t>善有机结合。</w:t>
            </w:r>
          </w:p>
        </w:tc>
        <w:tc>
          <w:tcPr>
            <w:tcW w:w="2038" w:type="dxa"/>
            <w:gridSpan w:val="2"/>
            <w:vAlign w:val="top"/>
          </w:tcPr>
          <w:p w14:paraId="05D3F311">
            <w:pPr>
              <w:spacing w:line="324" w:lineRule="auto"/>
              <w:rPr>
                <w:rFonts w:ascii="Arial"/>
                <w:sz w:val="21"/>
              </w:rPr>
            </w:pPr>
          </w:p>
          <w:p w14:paraId="0666849F">
            <w:pPr>
              <w:spacing w:line="324" w:lineRule="auto"/>
              <w:rPr>
                <w:rFonts w:ascii="Arial"/>
                <w:sz w:val="21"/>
              </w:rPr>
            </w:pPr>
          </w:p>
          <w:p w14:paraId="69122FD6">
            <w:pPr>
              <w:pStyle w:val="6"/>
              <w:spacing w:before="69" w:line="219" w:lineRule="auto"/>
              <w:ind w:left="177"/>
              <w:rPr>
                <w:sz w:val="21"/>
                <w:szCs w:val="21"/>
              </w:rPr>
            </w:pPr>
            <w:r>
              <w:rPr>
                <w:spacing w:val="1"/>
                <w:sz w:val="21"/>
                <w:szCs w:val="21"/>
              </w:rPr>
              <w:t>项目为光伏发电项</w:t>
            </w:r>
          </w:p>
          <w:p w14:paraId="4CA59CD8">
            <w:pPr>
              <w:pStyle w:val="6"/>
              <w:spacing w:before="42" w:line="219" w:lineRule="auto"/>
              <w:ind w:left="177"/>
              <w:rPr>
                <w:sz w:val="21"/>
                <w:szCs w:val="21"/>
              </w:rPr>
            </w:pPr>
            <w:r>
              <w:rPr>
                <w:spacing w:val="1"/>
                <w:sz w:val="21"/>
                <w:szCs w:val="21"/>
              </w:rPr>
              <w:t>目，不涉及上述条</w:t>
            </w:r>
          </w:p>
          <w:p w14:paraId="04FE9FED">
            <w:pPr>
              <w:pStyle w:val="6"/>
              <w:spacing w:before="22" w:line="221" w:lineRule="auto"/>
              <w:ind w:left="907"/>
              <w:rPr>
                <w:sz w:val="21"/>
                <w:szCs w:val="21"/>
              </w:rPr>
            </w:pPr>
            <w:r>
              <w:rPr>
                <w:sz w:val="21"/>
                <w:szCs w:val="21"/>
              </w:rPr>
              <w:t>款</w:t>
            </w:r>
          </w:p>
        </w:tc>
        <w:tc>
          <w:tcPr>
            <w:tcW w:w="1044" w:type="dxa"/>
            <w:vAlign w:val="top"/>
          </w:tcPr>
          <w:p w14:paraId="3C0F24F6">
            <w:pPr>
              <w:spacing w:line="306" w:lineRule="auto"/>
              <w:rPr>
                <w:rFonts w:ascii="Arial"/>
                <w:sz w:val="21"/>
              </w:rPr>
            </w:pPr>
          </w:p>
          <w:p w14:paraId="76564FC5">
            <w:pPr>
              <w:spacing w:line="306" w:lineRule="auto"/>
              <w:rPr>
                <w:rFonts w:ascii="Arial"/>
                <w:sz w:val="21"/>
              </w:rPr>
            </w:pPr>
          </w:p>
          <w:p w14:paraId="70671E67">
            <w:pPr>
              <w:spacing w:line="306" w:lineRule="auto"/>
              <w:rPr>
                <w:rFonts w:ascii="Arial"/>
                <w:sz w:val="21"/>
              </w:rPr>
            </w:pPr>
          </w:p>
          <w:p w14:paraId="170DBBEE">
            <w:pPr>
              <w:pStyle w:val="6"/>
              <w:spacing w:before="69" w:line="219" w:lineRule="auto"/>
              <w:ind w:left="309"/>
              <w:rPr>
                <w:sz w:val="21"/>
                <w:szCs w:val="21"/>
              </w:rPr>
            </w:pPr>
            <w:r>
              <w:rPr>
                <w:spacing w:val="-3"/>
                <w:sz w:val="21"/>
                <w:szCs w:val="21"/>
              </w:rPr>
              <w:t>符合</w:t>
            </w:r>
          </w:p>
        </w:tc>
      </w:tr>
      <w:tr w14:paraId="0D299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573" w:type="dxa"/>
            <w:vMerge w:val="continue"/>
            <w:tcBorders>
              <w:top w:val="nil"/>
              <w:bottom w:val="nil"/>
            </w:tcBorders>
            <w:vAlign w:val="top"/>
          </w:tcPr>
          <w:p w14:paraId="10D5807C">
            <w:pPr>
              <w:rPr>
                <w:rFonts w:ascii="Arial"/>
                <w:sz w:val="21"/>
              </w:rPr>
            </w:pPr>
          </w:p>
        </w:tc>
        <w:tc>
          <w:tcPr>
            <w:tcW w:w="7107" w:type="dxa"/>
            <w:gridSpan w:val="7"/>
            <w:vAlign w:val="top"/>
          </w:tcPr>
          <w:p w14:paraId="67004EFA">
            <w:pPr>
              <w:pStyle w:val="6"/>
              <w:spacing w:before="103" w:line="219" w:lineRule="auto"/>
              <w:ind w:left="1782"/>
              <w:rPr>
                <w:sz w:val="21"/>
                <w:szCs w:val="21"/>
              </w:rPr>
            </w:pPr>
            <w:r>
              <w:rPr>
                <w:spacing w:val="-1"/>
                <w:sz w:val="21"/>
                <w:szCs w:val="21"/>
              </w:rPr>
              <w:t>第五章、坚持减污降碳，应对气候变化</w:t>
            </w:r>
          </w:p>
        </w:tc>
      </w:tr>
      <w:tr w14:paraId="4B863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573" w:type="dxa"/>
            <w:vMerge w:val="continue"/>
            <w:tcBorders>
              <w:top w:val="nil"/>
              <w:bottom w:val="nil"/>
            </w:tcBorders>
            <w:vAlign w:val="top"/>
          </w:tcPr>
          <w:p w14:paraId="7F5016B7">
            <w:pPr>
              <w:rPr>
                <w:rFonts w:ascii="Arial"/>
                <w:sz w:val="21"/>
              </w:rPr>
            </w:pPr>
          </w:p>
        </w:tc>
        <w:tc>
          <w:tcPr>
            <w:tcW w:w="979" w:type="dxa"/>
            <w:gridSpan w:val="2"/>
            <w:vAlign w:val="top"/>
          </w:tcPr>
          <w:p w14:paraId="49D6943C">
            <w:pPr>
              <w:pStyle w:val="6"/>
              <w:spacing w:before="46" w:line="229" w:lineRule="auto"/>
              <w:ind w:left="162" w:right="158" w:firstLine="110"/>
              <w:rPr>
                <w:sz w:val="21"/>
                <w:szCs w:val="21"/>
              </w:rPr>
            </w:pPr>
            <w:r>
              <w:rPr>
                <w:spacing w:val="-5"/>
                <w:sz w:val="21"/>
                <w:szCs w:val="21"/>
              </w:rPr>
              <w:t>第二</w:t>
            </w:r>
            <w:r>
              <w:rPr>
                <w:sz w:val="21"/>
                <w:szCs w:val="21"/>
              </w:rPr>
              <w:t xml:space="preserve">  </w:t>
            </w:r>
            <w:r>
              <w:rPr>
                <w:spacing w:val="-3"/>
                <w:sz w:val="21"/>
                <w:szCs w:val="21"/>
              </w:rPr>
              <w:t>节、强</w:t>
            </w:r>
            <w:r>
              <w:rPr>
                <w:sz w:val="21"/>
                <w:szCs w:val="21"/>
              </w:rPr>
              <w:t xml:space="preserve"> </w:t>
            </w:r>
            <w:r>
              <w:rPr>
                <w:spacing w:val="-4"/>
                <w:sz w:val="21"/>
                <w:szCs w:val="21"/>
              </w:rPr>
              <w:t>化温室</w:t>
            </w:r>
            <w:r>
              <w:rPr>
                <w:spacing w:val="1"/>
                <w:sz w:val="21"/>
                <w:szCs w:val="21"/>
              </w:rPr>
              <w:t xml:space="preserve"> </w:t>
            </w:r>
            <w:r>
              <w:rPr>
                <w:spacing w:val="-4"/>
                <w:sz w:val="21"/>
                <w:szCs w:val="21"/>
              </w:rPr>
              <w:t>气体排</w:t>
            </w:r>
            <w:r>
              <w:rPr>
                <w:spacing w:val="1"/>
                <w:sz w:val="21"/>
                <w:szCs w:val="21"/>
              </w:rPr>
              <w:t xml:space="preserve"> </w:t>
            </w:r>
            <w:r>
              <w:rPr>
                <w:spacing w:val="6"/>
                <w:sz w:val="21"/>
                <w:szCs w:val="21"/>
              </w:rPr>
              <w:t>放控制</w:t>
            </w:r>
          </w:p>
        </w:tc>
        <w:tc>
          <w:tcPr>
            <w:tcW w:w="3046" w:type="dxa"/>
            <w:gridSpan w:val="2"/>
            <w:vAlign w:val="top"/>
          </w:tcPr>
          <w:p w14:paraId="31F4FCEA">
            <w:pPr>
              <w:spacing w:line="374" w:lineRule="auto"/>
              <w:rPr>
                <w:rFonts w:ascii="Arial"/>
                <w:sz w:val="21"/>
              </w:rPr>
            </w:pPr>
          </w:p>
          <w:p w14:paraId="2AE62FAE">
            <w:pPr>
              <w:pStyle w:val="6"/>
              <w:spacing w:before="68" w:line="266" w:lineRule="auto"/>
              <w:ind w:left="412" w:right="107" w:hanging="209"/>
              <w:rPr>
                <w:sz w:val="21"/>
                <w:szCs w:val="21"/>
              </w:rPr>
            </w:pPr>
            <w:r>
              <w:rPr>
                <w:spacing w:val="-1"/>
                <w:sz w:val="21"/>
                <w:szCs w:val="21"/>
              </w:rPr>
              <w:t>控制工业领域二氧化碳排放。</w:t>
            </w:r>
            <w:r>
              <w:rPr>
                <w:spacing w:val="7"/>
                <w:sz w:val="21"/>
                <w:szCs w:val="21"/>
              </w:rPr>
              <w:t xml:space="preserve"> </w:t>
            </w:r>
            <w:r>
              <w:rPr>
                <w:spacing w:val="-1"/>
                <w:sz w:val="21"/>
                <w:szCs w:val="21"/>
              </w:rPr>
              <w:t>推动工业结构节能降碳。</w:t>
            </w:r>
          </w:p>
        </w:tc>
        <w:tc>
          <w:tcPr>
            <w:tcW w:w="2038" w:type="dxa"/>
            <w:gridSpan w:val="2"/>
            <w:vAlign w:val="top"/>
          </w:tcPr>
          <w:p w14:paraId="2A9D1186">
            <w:pPr>
              <w:spacing w:line="243" w:lineRule="auto"/>
              <w:rPr>
                <w:rFonts w:ascii="Arial"/>
                <w:sz w:val="21"/>
              </w:rPr>
            </w:pPr>
          </w:p>
          <w:p w14:paraId="030ED4ED">
            <w:pPr>
              <w:pStyle w:val="6"/>
              <w:spacing w:before="68" w:line="219" w:lineRule="auto"/>
              <w:ind w:left="177"/>
              <w:rPr>
                <w:sz w:val="21"/>
                <w:szCs w:val="21"/>
              </w:rPr>
            </w:pPr>
            <w:r>
              <w:rPr>
                <w:spacing w:val="1"/>
                <w:sz w:val="21"/>
                <w:szCs w:val="21"/>
              </w:rPr>
              <w:t>项目为光伏发电项</w:t>
            </w:r>
          </w:p>
          <w:p w14:paraId="4D9AB4AF">
            <w:pPr>
              <w:pStyle w:val="6"/>
              <w:spacing w:before="12" w:line="219" w:lineRule="auto"/>
              <w:ind w:left="177"/>
              <w:rPr>
                <w:sz w:val="21"/>
                <w:szCs w:val="21"/>
              </w:rPr>
            </w:pPr>
            <w:r>
              <w:rPr>
                <w:spacing w:val="1"/>
                <w:sz w:val="21"/>
                <w:szCs w:val="21"/>
              </w:rPr>
              <w:t>目，运营过程不产</w:t>
            </w:r>
          </w:p>
          <w:p w14:paraId="6AFCF07E">
            <w:pPr>
              <w:pStyle w:val="6"/>
              <w:spacing w:before="41" w:line="220" w:lineRule="auto"/>
              <w:ind w:left="437"/>
              <w:rPr>
                <w:sz w:val="21"/>
                <w:szCs w:val="21"/>
              </w:rPr>
            </w:pPr>
            <w:r>
              <w:rPr>
                <w:spacing w:val="-1"/>
                <w:sz w:val="21"/>
                <w:szCs w:val="21"/>
              </w:rPr>
              <w:t>生工业废气。</w:t>
            </w:r>
          </w:p>
        </w:tc>
        <w:tc>
          <w:tcPr>
            <w:tcW w:w="1044" w:type="dxa"/>
            <w:vAlign w:val="top"/>
          </w:tcPr>
          <w:p w14:paraId="739EA42F">
            <w:pPr>
              <w:spacing w:line="256" w:lineRule="auto"/>
              <w:rPr>
                <w:rFonts w:ascii="Arial"/>
                <w:sz w:val="21"/>
              </w:rPr>
            </w:pPr>
          </w:p>
          <w:p w14:paraId="0806F4F9">
            <w:pPr>
              <w:spacing w:line="257" w:lineRule="auto"/>
              <w:rPr>
                <w:rFonts w:ascii="Arial"/>
                <w:sz w:val="21"/>
              </w:rPr>
            </w:pPr>
          </w:p>
          <w:p w14:paraId="223804F3">
            <w:pPr>
              <w:pStyle w:val="6"/>
              <w:spacing w:before="68" w:line="219" w:lineRule="auto"/>
              <w:ind w:left="309"/>
              <w:rPr>
                <w:sz w:val="21"/>
                <w:szCs w:val="21"/>
              </w:rPr>
            </w:pPr>
            <w:r>
              <w:rPr>
                <w:spacing w:val="-3"/>
                <w:sz w:val="21"/>
                <w:szCs w:val="21"/>
              </w:rPr>
              <w:t>符合</w:t>
            </w:r>
          </w:p>
        </w:tc>
      </w:tr>
      <w:tr w14:paraId="7A9C6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8" w:hRule="atLeast"/>
        </w:trPr>
        <w:tc>
          <w:tcPr>
            <w:tcW w:w="1573" w:type="dxa"/>
            <w:vMerge w:val="continue"/>
            <w:tcBorders>
              <w:top w:val="nil"/>
              <w:bottom w:val="nil"/>
            </w:tcBorders>
            <w:vAlign w:val="top"/>
          </w:tcPr>
          <w:p w14:paraId="1F4A5629">
            <w:pPr>
              <w:rPr>
                <w:rFonts w:ascii="Arial"/>
                <w:sz w:val="21"/>
              </w:rPr>
            </w:pPr>
          </w:p>
        </w:tc>
        <w:tc>
          <w:tcPr>
            <w:tcW w:w="7107" w:type="dxa"/>
            <w:gridSpan w:val="7"/>
            <w:vAlign w:val="top"/>
          </w:tcPr>
          <w:p w14:paraId="358916CC">
            <w:pPr>
              <w:pStyle w:val="6"/>
              <w:spacing w:before="44" w:line="219" w:lineRule="auto"/>
              <w:ind w:left="412"/>
              <w:rPr>
                <w:sz w:val="21"/>
                <w:szCs w:val="21"/>
              </w:rPr>
            </w:pPr>
            <w:r>
              <w:rPr>
                <w:sz w:val="21"/>
                <w:szCs w:val="21"/>
              </w:rPr>
              <w:t>综上分析，项目与《曲靖市生态环境保护“十四五”</w:t>
            </w:r>
            <w:r>
              <w:rPr>
                <w:spacing w:val="-1"/>
                <w:sz w:val="21"/>
                <w:szCs w:val="21"/>
              </w:rPr>
              <w:t>规划》相符。</w:t>
            </w:r>
          </w:p>
          <w:p w14:paraId="04C97BA5">
            <w:pPr>
              <w:pStyle w:val="6"/>
              <w:spacing w:before="217" w:line="408" w:lineRule="auto"/>
              <w:ind w:left="15" w:right="57" w:firstLine="419"/>
              <w:rPr>
                <w:sz w:val="21"/>
                <w:szCs w:val="21"/>
              </w:rPr>
            </w:pPr>
            <w:r>
              <w:rPr>
                <w:b/>
                <w:bCs/>
                <w:spacing w:val="-2"/>
                <w:sz w:val="21"/>
                <w:szCs w:val="21"/>
              </w:rPr>
              <w:t>14、与《输变电建设项目环境保护技术要求》(HJ1113-2020)</w:t>
            </w:r>
            <w:r>
              <w:rPr>
                <w:spacing w:val="12"/>
                <w:sz w:val="21"/>
                <w:szCs w:val="21"/>
              </w:rPr>
              <w:t xml:space="preserve">       </w:t>
            </w:r>
            <w:r>
              <w:rPr>
                <w:b/>
                <w:bCs/>
                <w:spacing w:val="-2"/>
                <w:sz w:val="21"/>
                <w:szCs w:val="21"/>
              </w:rPr>
              <w:t>的</w:t>
            </w:r>
            <w:r>
              <w:rPr>
                <w:spacing w:val="2"/>
                <w:sz w:val="21"/>
                <w:szCs w:val="21"/>
              </w:rPr>
              <w:t xml:space="preserve"> </w:t>
            </w:r>
            <w:r>
              <w:rPr>
                <w:b/>
                <w:bCs/>
                <w:spacing w:val="-4"/>
                <w:sz w:val="21"/>
                <w:szCs w:val="21"/>
              </w:rPr>
              <w:t>相符性分析</w:t>
            </w:r>
          </w:p>
          <w:p w14:paraId="70336D02">
            <w:pPr>
              <w:pStyle w:val="6"/>
              <w:spacing w:before="1" w:line="411" w:lineRule="auto"/>
              <w:ind w:left="12" w:right="100" w:firstLine="389"/>
              <w:rPr>
                <w:sz w:val="21"/>
                <w:szCs w:val="21"/>
              </w:rPr>
            </w:pPr>
            <w:r>
              <w:rPr>
                <w:sz w:val="21"/>
                <w:szCs w:val="21"/>
              </w:rPr>
              <w:t>项目与《输变电建设项目环境保护技术要求》(HJ1113-2020)</w:t>
            </w:r>
            <w:r>
              <w:rPr>
                <w:spacing w:val="11"/>
                <w:sz w:val="21"/>
                <w:szCs w:val="21"/>
              </w:rPr>
              <w:t xml:space="preserve">       </w:t>
            </w:r>
            <w:r>
              <w:rPr>
                <w:sz w:val="21"/>
                <w:szCs w:val="21"/>
              </w:rPr>
              <w:t>的</w:t>
            </w:r>
            <w:r>
              <w:rPr>
                <w:spacing w:val="6"/>
                <w:sz w:val="21"/>
                <w:szCs w:val="21"/>
              </w:rPr>
              <w:t xml:space="preserve"> </w:t>
            </w:r>
            <w:r>
              <w:rPr>
                <w:spacing w:val="-1"/>
                <w:sz w:val="21"/>
                <w:szCs w:val="21"/>
              </w:rPr>
              <w:t>相符性分析见下表。</w:t>
            </w:r>
          </w:p>
          <w:p w14:paraId="5A34B8D9">
            <w:pPr>
              <w:pStyle w:val="6"/>
              <w:spacing w:before="1" w:line="251" w:lineRule="auto"/>
              <w:ind w:left="3014" w:right="57" w:hanging="3000"/>
              <w:rPr>
                <w:sz w:val="21"/>
                <w:szCs w:val="21"/>
              </w:rPr>
            </w:pPr>
            <w:r>
              <w:rPr>
                <w:b/>
                <w:bCs/>
                <w:spacing w:val="14"/>
                <w:sz w:val="20"/>
                <w:szCs w:val="20"/>
              </w:rPr>
              <w:t>表1-13与《输变电建设项目环境保护技术要求》(</w:t>
            </w:r>
            <w:r>
              <w:rPr>
                <w:b/>
                <w:bCs/>
                <w:sz w:val="20"/>
                <w:szCs w:val="20"/>
              </w:rPr>
              <w:t>HJ</w:t>
            </w:r>
            <w:r>
              <w:rPr>
                <w:b/>
                <w:bCs/>
                <w:spacing w:val="14"/>
                <w:sz w:val="20"/>
                <w:szCs w:val="20"/>
              </w:rPr>
              <w:t>1113</w:t>
            </w:r>
            <w:r>
              <w:rPr>
                <w:b/>
                <w:bCs/>
                <w:spacing w:val="13"/>
                <w:sz w:val="20"/>
                <w:szCs w:val="20"/>
              </w:rPr>
              <w:t>-2020)</w:t>
            </w:r>
            <w:r>
              <w:rPr>
                <w:spacing w:val="7"/>
                <w:sz w:val="20"/>
                <w:szCs w:val="20"/>
              </w:rPr>
              <w:t xml:space="preserve">       </w:t>
            </w:r>
            <w:r>
              <w:rPr>
                <w:b/>
                <w:bCs/>
                <w:spacing w:val="13"/>
                <w:sz w:val="21"/>
                <w:szCs w:val="21"/>
              </w:rPr>
              <w:t>的</w:t>
            </w:r>
            <w:r>
              <w:rPr>
                <w:spacing w:val="3"/>
                <w:sz w:val="21"/>
                <w:szCs w:val="21"/>
              </w:rPr>
              <w:t xml:space="preserve"> </w:t>
            </w:r>
            <w:r>
              <w:rPr>
                <w:b/>
                <w:bCs/>
                <w:spacing w:val="-4"/>
                <w:sz w:val="21"/>
                <w:szCs w:val="21"/>
              </w:rPr>
              <w:t>相符性分析</w:t>
            </w:r>
          </w:p>
        </w:tc>
      </w:tr>
      <w:tr w14:paraId="1859C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573" w:type="dxa"/>
            <w:vMerge w:val="continue"/>
            <w:tcBorders>
              <w:top w:val="nil"/>
              <w:bottom w:val="nil"/>
            </w:tcBorders>
            <w:vAlign w:val="top"/>
          </w:tcPr>
          <w:p w14:paraId="4BBC78C2">
            <w:pPr>
              <w:rPr>
                <w:rFonts w:ascii="Arial"/>
                <w:sz w:val="21"/>
              </w:rPr>
            </w:pPr>
          </w:p>
        </w:tc>
        <w:tc>
          <w:tcPr>
            <w:tcW w:w="599" w:type="dxa"/>
            <w:textDirection w:val="tbRlV"/>
            <w:vAlign w:val="top"/>
          </w:tcPr>
          <w:p w14:paraId="6BD018F3">
            <w:pPr>
              <w:pStyle w:val="6"/>
              <w:spacing w:before="209" w:line="199" w:lineRule="auto"/>
              <w:rPr>
                <w:sz w:val="21"/>
                <w:szCs w:val="21"/>
              </w:rPr>
            </w:pPr>
            <w:r>
              <w:rPr>
                <w:spacing w:val="-1"/>
                <w:sz w:val="21"/>
                <w:szCs w:val="21"/>
              </w:rPr>
              <w:t>序</w:t>
            </w:r>
            <w:r>
              <w:rPr>
                <w:spacing w:val="11"/>
                <w:sz w:val="21"/>
                <w:szCs w:val="21"/>
              </w:rPr>
              <w:t xml:space="preserve"> </w:t>
            </w:r>
            <w:r>
              <w:rPr>
                <w:spacing w:val="-1"/>
                <w:sz w:val="21"/>
                <w:szCs w:val="21"/>
              </w:rPr>
              <w:t>号</w:t>
            </w:r>
          </w:p>
        </w:tc>
        <w:tc>
          <w:tcPr>
            <w:tcW w:w="2857" w:type="dxa"/>
            <w:gridSpan w:val="2"/>
            <w:vAlign w:val="top"/>
          </w:tcPr>
          <w:p w14:paraId="45C9E2EF">
            <w:pPr>
              <w:pStyle w:val="6"/>
              <w:spacing w:before="56" w:line="208" w:lineRule="auto"/>
              <w:ind w:left="942" w:right="243" w:hanging="834"/>
              <w:rPr>
                <w:sz w:val="21"/>
                <w:szCs w:val="21"/>
              </w:rPr>
            </w:pPr>
            <w:r>
              <w:rPr>
                <w:spacing w:val="-3"/>
                <w:sz w:val="21"/>
                <w:szCs w:val="21"/>
              </w:rPr>
              <w:t>《输变电建设项目环境保护</w:t>
            </w:r>
            <w:r>
              <w:rPr>
                <w:spacing w:val="10"/>
                <w:sz w:val="21"/>
                <w:szCs w:val="21"/>
              </w:rPr>
              <w:t xml:space="preserve"> </w:t>
            </w:r>
            <w:r>
              <w:rPr>
                <w:sz w:val="21"/>
                <w:szCs w:val="21"/>
              </w:rPr>
              <w:t>技术要求》</w:t>
            </w:r>
          </w:p>
        </w:tc>
        <w:tc>
          <w:tcPr>
            <w:tcW w:w="1918" w:type="dxa"/>
            <w:gridSpan w:val="2"/>
            <w:vAlign w:val="top"/>
          </w:tcPr>
          <w:p w14:paraId="5DD56E5D">
            <w:pPr>
              <w:pStyle w:val="6"/>
              <w:spacing w:before="176" w:line="219" w:lineRule="auto"/>
              <w:ind w:left="426"/>
              <w:rPr>
                <w:sz w:val="21"/>
                <w:szCs w:val="21"/>
              </w:rPr>
            </w:pPr>
            <w:r>
              <w:rPr>
                <w:spacing w:val="-2"/>
                <w:sz w:val="21"/>
                <w:szCs w:val="21"/>
              </w:rPr>
              <w:t>本项目情况</w:t>
            </w:r>
          </w:p>
        </w:tc>
        <w:tc>
          <w:tcPr>
            <w:tcW w:w="1733" w:type="dxa"/>
            <w:gridSpan w:val="2"/>
            <w:vAlign w:val="top"/>
          </w:tcPr>
          <w:p w14:paraId="1B73ACCD">
            <w:pPr>
              <w:pStyle w:val="6"/>
              <w:spacing w:before="177" w:line="219" w:lineRule="auto"/>
              <w:ind w:left="548"/>
              <w:rPr>
                <w:sz w:val="21"/>
                <w:szCs w:val="21"/>
              </w:rPr>
            </w:pPr>
            <w:r>
              <w:rPr>
                <w:spacing w:val="-3"/>
                <w:sz w:val="21"/>
                <w:szCs w:val="21"/>
              </w:rPr>
              <w:t>符合性</w:t>
            </w:r>
          </w:p>
        </w:tc>
      </w:tr>
      <w:tr w14:paraId="6E434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573" w:type="dxa"/>
            <w:vMerge w:val="continue"/>
            <w:tcBorders>
              <w:top w:val="nil"/>
              <w:bottom w:val="nil"/>
            </w:tcBorders>
            <w:vAlign w:val="top"/>
          </w:tcPr>
          <w:p w14:paraId="1D351DE1">
            <w:pPr>
              <w:rPr>
                <w:rFonts w:ascii="Arial"/>
                <w:sz w:val="21"/>
              </w:rPr>
            </w:pPr>
          </w:p>
        </w:tc>
        <w:tc>
          <w:tcPr>
            <w:tcW w:w="599" w:type="dxa"/>
            <w:vAlign w:val="top"/>
          </w:tcPr>
          <w:p w14:paraId="69768953">
            <w:pPr>
              <w:pStyle w:val="6"/>
              <w:spacing w:before="208" w:line="241" w:lineRule="auto"/>
              <w:ind w:left="232"/>
              <w:rPr>
                <w:sz w:val="21"/>
                <w:szCs w:val="21"/>
              </w:rPr>
            </w:pPr>
            <w:r>
              <w:rPr>
                <w:sz w:val="21"/>
                <w:szCs w:val="21"/>
              </w:rPr>
              <w:t>1</w:t>
            </w:r>
          </w:p>
        </w:tc>
        <w:tc>
          <w:tcPr>
            <w:tcW w:w="2857" w:type="dxa"/>
            <w:gridSpan w:val="2"/>
            <w:vAlign w:val="top"/>
          </w:tcPr>
          <w:p w14:paraId="58973A89">
            <w:pPr>
              <w:pStyle w:val="6"/>
              <w:spacing w:before="57" w:line="216" w:lineRule="auto"/>
              <w:ind w:left="312" w:right="153" w:hanging="149"/>
              <w:rPr>
                <w:sz w:val="21"/>
                <w:szCs w:val="21"/>
              </w:rPr>
            </w:pPr>
            <w:r>
              <w:rPr>
                <w:sz w:val="21"/>
                <w:szCs w:val="21"/>
              </w:rPr>
              <w:t>工程选址选线应符合规划环</w:t>
            </w:r>
            <w:r>
              <w:rPr>
                <w:spacing w:val="9"/>
                <w:sz w:val="21"/>
                <w:szCs w:val="21"/>
              </w:rPr>
              <w:t xml:space="preserve"> </w:t>
            </w:r>
            <w:r>
              <w:rPr>
                <w:sz w:val="21"/>
                <w:szCs w:val="21"/>
              </w:rPr>
              <w:t>境影响评价文件的要求。</w:t>
            </w:r>
          </w:p>
        </w:tc>
        <w:tc>
          <w:tcPr>
            <w:tcW w:w="1918" w:type="dxa"/>
            <w:gridSpan w:val="2"/>
            <w:vAlign w:val="top"/>
          </w:tcPr>
          <w:p w14:paraId="0F8E58AD">
            <w:pPr>
              <w:pStyle w:val="6"/>
              <w:spacing w:before="57" w:line="216" w:lineRule="auto"/>
              <w:ind w:left="326" w:right="121" w:hanging="210"/>
              <w:rPr>
                <w:sz w:val="21"/>
                <w:szCs w:val="21"/>
              </w:rPr>
            </w:pPr>
            <w:r>
              <w:rPr>
                <w:spacing w:val="-2"/>
                <w:sz w:val="21"/>
                <w:szCs w:val="21"/>
              </w:rPr>
              <w:t>本工程无规划环境</w:t>
            </w:r>
            <w:r>
              <w:rPr>
                <w:spacing w:val="5"/>
                <w:sz w:val="21"/>
                <w:szCs w:val="21"/>
              </w:rPr>
              <w:t xml:space="preserve"> </w:t>
            </w:r>
            <w:r>
              <w:rPr>
                <w:spacing w:val="-2"/>
                <w:sz w:val="21"/>
                <w:szCs w:val="21"/>
              </w:rPr>
              <w:t>影响评价文件</w:t>
            </w:r>
          </w:p>
        </w:tc>
        <w:tc>
          <w:tcPr>
            <w:tcW w:w="1733" w:type="dxa"/>
            <w:gridSpan w:val="2"/>
            <w:vAlign w:val="top"/>
          </w:tcPr>
          <w:p w14:paraId="2BF73492">
            <w:pPr>
              <w:pStyle w:val="6"/>
              <w:spacing w:before="187" w:line="219" w:lineRule="auto"/>
              <w:ind w:left="648"/>
              <w:rPr>
                <w:sz w:val="21"/>
                <w:szCs w:val="21"/>
              </w:rPr>
            </w:pPr>
            <w:r>
              <w:rPr>
                <w:spacing w:val="-3"/>
                <w:sz w:val="21"/>
                <w:szCs w:val="21"/>
              </w:rPr>
              <w:t>符合</w:t>
            </w:r>
          </w:p>
        </w:tc>
      </w:tr>
      <w:tr w14:paraId="5B650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1573" w:type="dxa"/>
            <w:vMerge w:val="continue"/>
            <w:tcBorders>
              <w:top w:val="nil"/>
            </w:tcBorders>
            <w:vAlign w:val="top"/>
          </w:tcPr>
          <w:p w14:paraId="7796BB42">
            <w:pPr>
              <w:rPr>
                <w:rFonts w:ascii="Arial"/>
                <w:sz w:val="21"/>
              </w:rPr>
            </w:pPr>
          </w:p>
        </w:tc>
        <w:tc>
          <w:tcPr>
            <w:tcW w:w="599" w:type="dxa"/>
            <w:vAlign w:val="top"/>
          </w:tcPr>
          <w:p w14:paraId="58BAF39C">
            <w:pPr>
              <w:spacing w:line="338" w:lineRule="auto"/>
              <w:rPr>
                <w:rFonts w:ascii="Arial"/>
                <w:sz w:val="21"/>
              </w:rPr>
            </w:pPr>
          </w:p>
          <w:p w14:paraId="3BEA0E9E">
            <w:pPr>
              <w:spacing w:line="339" w:lineRule="auto"/>
              <w:rPr>
                <w:rFonts w:ascii="Arial"/>
                <w:sz w:val="21"/>
              </w:rPr>
            </w:pPr>
          </w:p>
          <w:p w14:paraId="1CF42684">
            <w:pPr>
              <w:pStyle w:val="6"/>
              <w:spacing w:before="68" w:line="241" w:lineRule="auto"/>
              <w:ind w:left="232"/>
              <w:rPr>
                <w:sz w:val="21"/>
                <w:szCs w:val="21"/>
              </w:rPr>
            </w:pPr>
            <w:r>
              <w:rPr>
                <w:sz w:val="21"/>
                <w:szCs w:val="21"/>
              </w:rPr>
              <w:t>2</w:t>
            </w:r>
          </w:p>
        </w:tc>
        <w:tc>
          <w:tcPr>
            <w:tcW w:w="2857" w:type="dxa"/>
            <w:gridSpan w:val="2"/>
            <w:vAlign w:val="top"/>
          </w:tcPr>
          <w:p w14:paraId="12E2717E">
            <w:pPr>
              <w:pStyle w:val="6"/>
              <w:spacing w:before="30" w:line="235" w:lineRule="auto"/>
              <w:ind w:left="163" w:right="138"/>
              <w:rPr>
                <w:sz w:val="21"/>
                <w:szCs w:val="21"/>
              </w:rPr>
            </w:pPr>
            <w:r>
              <w:rPr>
                <w:spacing w:val="-1"/>
                <w:sz w:val="21"/>
                <w:szCs w:val="21"/>
              </w:rPr>
              <w:t>输变电建设项目选址选线应</w:t>
            </w:r>
            <w:r>
              <w:rPr>
                <w:spacing w:val="3"/>
                <w:sz w:val="21"/>
                <w:szCs w:val="21"/>
              </w:rPr>
              <w:t xml:space="preserve"> </w:t>
            </w:r>
            <w:r>
              <w:rPr>
                <w:spacing w:val="10"/>
                <w:sz w:val="21"/>
                <w:szCs w:val="21"/>
              </w:rPr>
              <w:t>符合生态保护红线管控要</w:t>
            </w:r>
            <w:r>
              <w:rPr>
                <w:sz w:val="21"/>
                <w:szCs w:val="21"/>
              </w:rPr>
              <w:t xml:space="preserve">  </w:t>
            </w:r>
            <w:r>
              <w:rPr>
                <w:spacing w:val="2"/>
                <w:sz w:val="21"/>
                <w:szCs w:val="21"/>
              </w:rPr>
              <w:t>求，避让自然保护区、饮用</w:t>
            </w:r>
            <w:r>
              <w:rPr>
                <w:sz w:val="21"/>
                <w:szCs w:val="21"/>
              </w:rPr>
              <w:t xml:space="preserve"> </w:t>
            </w:r>
            <w:r>
              <w:rPr>
                <w:spacing w:val="9"/>
                <w:sz w:val="21"/>
                <w:szCs w:val="21"/>
              </w:rPr>
              <w:t>水水源保护区等环境敏感</w:t>
            </w:r>
            <w:r>
              <w:rPr>
                <w:spacing w:val="4"/>
                <w:sz w:val="21"/>
                <w:szCs w:val="21"/>
              </w:rPr>
              <w:t xml:space="preserve">  </w:t>
            </w:r>
            <w:r>
              <w:rPr>
                <w:sz w:val="21"/>
                <w:szCs w:val="21"/>
              </w:rPr>
              <w:t>区。确实因自然条件等因素</w:t>
            </w:r>
            <w:r>
              <w:rPr>
                <w:spacing w:val="8"/>
                <w:sz w:val="21"/>
                <w:szCs w:val="21"/>
              </w:rPr>
              <w:t xml:space="preserve"> </w:t>
            </w:r>
            <w:r>
              <w:rPr>
                <w:sz w:val="21"/>
                <w:szCs w:val="21"/>
              </w:rPr>
              <w:t>限制无法避让自然保护区实</w:t>
            </w:r>
          </w:p>
        </w:tc>
        <w:tc>
          <w:tcPr>
            <w:tcW w:w="1918" w:type="dxa"/>
            <w:gridSpan w:val="2"/>
            <w:vAlign w:val="top"/>
          </w:tcPr>
          <w:p w14:paraId="431659A4">
            <w:pPr>
              <w:pStyle w:val="6"/>
              <w:spacing w:before="177" w:line="219" w:lineRule="auto"/>
              <w:ind w:left="116"/>
              <w:rPr>
                <w:sz w:val="21"/>
                <w:szCs w:val="21"/>
              </w:rPr>
            </w:pPr>
            <w:r>
              <w:rPr>
                <w:spacing w:val="-1"/>
                <w:sz w:val="21"/>
                <w:szCs w:val="21"/>
              </w:rPr>
              <w:t>本项目选址选线对</w:t>
            </w:r>
          </w:p>
          <w:p w14:paraId="0AC7CD73">
            <w:pPr>
              <w:pStyle w:val="6"/>
              <w:spacing w:before="22" w:line="220" w:lineRule="auto"/>
              <w:ind w:left="116"/>
              <w:rPr>
                <w:sz w:val="21"/>
                <w:szCs w:val="21"/>
              </w:rPr>
            </w:pPr>
            <w:r>
              <w:rPr>
                <w:spacing w:val="3"/>
                <w:sz w:val="21"/>
                <w:szCs w:val="21"/>
              </w:rPr>
              <w:t>自然保护区、饮用</w:t>
            </w:r>
          </w:p>
          <w:p w14:paraId="42412B35">
            <w:pPr>
              <w:pStyle w:val="6"/>
              <w:spacing w:before="19" w:line="219" w:lineRule="auto"/>
              <w:ind w:left="116"/>
              <w:rPr>
                <w:sz w:val="21"/>
                <w:szCs w:val="21"/>
              </w:rPr>
            </w:pPr>
            <w:r>
              <w:rPr>
                <w:spacing w:val="1"/>
                <w:sz w:val="21"/>
                <w:szCs w:val="21"/>
              </w:rPr>
              <w:t>水水源保护区、生</w:t>
            </w:r>
          </w:p>
          <w:p w14:paraId="20C1AF20">
            <w:pPr>
              <w:pStyle w:val="6"/>
              <w:spacing w:before="21" w:line="220" w:lineRule="auto"/>
              <w:ind w:left="116"/>
              <w:rPr>
                <w:sz w:val="21"/>
                <w:szCs w:val="21"/>
              </w:rPr>
            </w:pPr>
            <w:r>
              <w:rPr>
                <w:spacing w:val="3"/>
                <w:sz w:val="21"/>
                <w:szCs w:val="21"/>
              </w:rPr>
              <w:t>态红线区域进行了</w:t>
            </w:r>
          </w:p>
          <w:p w14:paraId="1F51D5A2">
            <w:pPr>
              <w:pStyle w:val="6"/>
              <w:spacing w:before="36" w:line="226" w:lineRule="auto"/>
              <w:ind w:left="686"/>
              <w:rPr>
                <w:sz w:val="21"/>
                <w:szCs w:val="21"/>
              </w:rPr>
            </w:pPr>
            <w:r>
              <w:rPr>
                <w:spacing w:val="1"/>
                <w:sz w:val="21"/>
                <w:szCs w:val="21"/>
              </w:rPr>
              <w:t>避让。</w:t>
            </w:r>
          </w:p>
        </w:tc>
        <w:tc>
          <w:tcPr>
            <w:tcW w:w="1733" w:type="dxa"/>
            <w:gridSpan w:val="2"/>
            <w:vAlign w:val="top"/>
          </w:tcPr>
          <w:p w14:paraId="54668F9E">
            <w:pPr>
              <w:spacing w:line="328" w:lineRule="auto"/>
              <w:rPr>
                <w:rFonts w:ascii="Arial"/>
                <w:sz w:val="21"/>
              </w:rPr>
            </w:pPr>
          </w:p>
          <w:p w14:paraId="4017A07C">
            <w:pPr>
              <w:spacing w:line="328" w:lineRule="auto"/>
              <w:rPr>
                <w:rFonts w:ascii="Arial"/>
                <w:sz w:val="21"/>
              </w:rPr>
            </w:pPr>
          </w:p>
          <w:p w14:paraId="3EADE747">
            <w:pPr>
              <w:pStyle w:val="6"/>
              <w:spacing w:before="68" w:line="219" w:lineRule="auto"/>
              <w:ind w:left="648"/>
              <w:rPr>
                <w:sz w:val="21"/>
                <w:szCs w:val="21"/>
              </w:rPr>
            </w:pPr>
            <w:r>
              <w:rPr>
                <w:spacing w:val="-3"/>
                <w:sz w:val="21"/>
                <w:szCs w:val="21"/>
              </w:rPr>
              <w:t>符合</w:t>
            </w:r>
          </w:p>
        </w:tc>
      </w:tr>
    </w:tbl>
    <w:p w14:paraId="3DB1005B">
      <w:pPr>
        <w:pStyle w:val="2"/>
      </w:pPr>
    </w:p>
    <w:p w14:paraId="53D78466">
      <w:pPr>
        <w:sectPr>
          <w:footerReference r:id="rId29" w:type="default"/>
          <w:pgSz w:w="11910" w:h="16840"/>
          <w:pgMar w:top="1431" w:right="1725" w:bottom="1253" w:left="1494" w:header="0" w:footer="1091" w:gutter="0"/>
          <w:cols w:space="720" w:num="1"/>
        </w:sectPr>
      </w:pPr>
    </w:p>
    <w:p w14:paraId="3A9F99C7">
      <w:pPr>
        <w:spacing w:line="93" w:lineRule="exact"/>
      </w:pPr>
    </w:p>
    <w:tbl>
      <w:tblPr>
        <w:tblStyle w:val="5"/>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599"/>
        <w:gridCol w:w="2837"/>
        <w:gridCol w:w="1938"/>
        <w:gridCol w:w="1718"/>
        <w:gridCol w:w="165"/>
      </w:tblGrid>
      <w:tr w14:paraId="1A368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1573" w:type="dxa"/>
            <w:vMerge w:val="restart"/>
            <w:tcBorders>
              <w:bottom w:val="nil"/>
            </w:tcBorders>
            <w:vAlign w:val="top"/>
          </w:tcPr>
          <w:p w14:paraId="08613C7C">
            <w:pPr>
              <w:rPr>
                <w:rFonts w:ascii="Arial"/>
                <w:sz w:val="21"/>
              </w:rPr>
            </w:pPr>
          </w:p>
        </w:tc>
        <w:tc>
          <w:tcPr>
            <w:tcW w:w="599" w:type="dxa"/>
            <w:vAlign w:val="top"/>
          </w:tcPr>
          <w:p w14:paraId="0BA22933">
            <w:pPr>
              <w:rPr>
                <w:rFonts w:ascii="Arial"/>
                <w:sz w:val="21"/>
              </w:rPr>
            </w:pPr>
          </w:p>
        </w:tc>
        <w:tc>
          <w:tcPr>
            <w:tcW w:w="2837" w:type="dxa"/>
            <w:vAlign w:val="top"/>
          </w:tcPr>
          <w:p w14:paraId="4F950234">
            <w:pPr>
              <w:pStyle w:val="6"/>
              <w:spacing w:before="43" w:line="218" w:lineRule="auto"/>
              <w:ind w:left="93"/>
              <w:rPr>
                <w:sz w:val="22"/>
                <w:szCs w:val="22"/>
              </w:rPr>
            </w:pPr>
            <w:r>
              <w:rPr>
                <w:spacing w:val="1"/>
                <w:sz w:val="22"/>
                <w:szCs w:val="22"/>
              </w:rPr>
              <w:t>验区、饮用水水源二级保护</w:t>
            </w:r>
          </w:p>
          <w:p w14:paraId="6F62FE58">
            <w:pPr>
              <w:pStyle w:val="6"/>
              <w:spacing w:line="219" w:lineRule="auto"/>
              <w:ind w:left="203"/>
              <w:rPr>
                <w:sz w:val="22"/>
                <w:szCs w:val="22"/>
              </w:rPr>
            </w:pPr>
            <w:r>
              <w:rPr>
                <w:spacing w:val="1"/>
                <w:sz w:val="22"/>
                <w:szCs w:val="22"/>
              </w:rPr>
              <w:t>区等环境敏感区的输电线</w:t>
            </w:r>
          </w:p>
          <w:p w14:paraId="160ADAA3">
            <w:pPr>
              <w:pStyle w:val="6"/>
              <w:spacing w:before="29" w:line="219" w:lineRule="auto"/>
              <w:ind w:left="93"/>
              <w:rPr>
                <w:sz w:val="22"/>
                <w:szCs w:val="22"/>
              </w:rPr>
            </w:pPr>
            <w:r>
              <w:rPr>
                <w:spacing w:val="-1"/>
                <w:sz w:val="22"/>
                <w:szCs w:val="22"/>
              </w:rPr>
              <w:t>路，应在满足相关法律法规</w:t>
            </w:r>
          </w:p>
          <w:p w14:paraId="45E3EC3B">
            <w:pPr>
              <w:pStyle w:val="6"/>
              <w:spacing w:before="19" w:line="219" w:lineRule="auto"/>
              <w:ind w:left="93"/>
              <w:rPr>
                <w:sz w:val="22"/>
                <w:szCs w:val="22"/>
              </w:rPr>
            </w:pPr>
            <w:r>
              <w:rPr>
                <w:spacing w:val="-1"/>
                <w:sz w:val="22"/>
                <w:szCs w:val="22"/>
              </w:rPr>
              <w:t>及管理要求的前提下对线路</w:t>
            </w:r>
          </w:p>
          <w:p w14:paraId="18750F8A">
            <w:pPr>
              <w:pStyle w:val="6"/>
              <w:spacing w:before="7" w:line="219" w:lineRule="auto"/>
              <w:ind w:left="93"/>
              <w:rPr>
                <w:sz w:val="22"/>
                <w:szCs w:val="22"/>
              </w:rPr>
            </w:pPr>
            <w:r>
              <w:rPr>
                <w:spacing w:val="-1"/>
                <w:sz w:val="22"/>
                <w:szCs w:val="22"/>
              </w:rPr>
              <w:t>方案进行唯一性论证，并采</w:t>
            </w:r>
          </w:p>
          <w:p w14:paraId="3D79C5E5">
            <w:pPr>
              <w:pStyle w:val="6"/>
              <w:spacing w:before="21" w:line="183" w:lineRule="auto"/>
              <w:ind w:left="473"/>
              <w:rPr>
                <w:sz w:val="22"/>
                <w:szCs w:val="22"/>
              </w:rPr>
            </w:pPr>
            <w:r>
              <w:rPr>
                <w:spacing w:val="-1"/>
                <w:sz w:val="22"/>
                <w:szCs w:val="22"/>
              </w:rPr>
              <w:t>取无害化方式通过。</w:t>
            </w:r>
          </w:p>
        </w:tc>
        <w:tc>
          <w:tcPr>
            <w:tcW w:w="1938" w:type="dxa"/>
            <w:vAlign w:val="top"/>
          </w:tcPr>
          <w:p w14:paraId="554A920E">
            <w:pPr>
              <w:rPr>
                <w:rFonts w:ascii="Arial"/>
                <w:sz w:val="21"/>
              </w:rPr>
            </w:pPr>
          </w:p>
        </w:tc>
        <w:tc>
          <w:tcPr>
            <w:tcW w:w="1718" w:type="dxa"/>
            <w:vAlign w:val="top"/>
          </w:tcPr>
          <w:p w14:paraId="333004FC">
            <w:pPr>
              <w:rPr>
                <w:rFonts w:ascii="Arial"/>
                <w:sz w:val="21"/>
              </w:rPr>
            </w:pPr>
          </w:p>
        </w:tc>
        <w:tc>
          <w:tcPr>
            <w:tcW w:w="165" w:type="dxa"/>
            <w:vMerge w:val="restart"/>
            <w:tcBorders>
              <w:bottom w:val="nil"/>
            </w:tcBorders>
            <w:vAlign w:val="top"/>
          </w:tcPr>
          <w:p w14:paraId="654E63D6">
            <w:pPr>
              <w:rPr>
                <w:rFonts w:ascii="Arial"/>
                <w:sz w:val="21"/>
              </w:rPr>
            </w:pPr>
          </w:p>
        </w:tc>
      </w:tr>
      <w:tr w14:paraId="42329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573" w:type="dxa"/>
            <w:vMerge w:val="continue"/>
            <w:tcBorders>
              <w:top w:val="nil"/>
              <w:bottom w:val="nil"/>
            </w:tcBorders>
            <w:vAlign w:val="top"/>
          </w:tcPr>
          <w:p w14:paraId="772C0131">
            <w:pPr>
              <w:rPr>
                <w:rFonts w:ascii="Arial"/>
                <w:sz w:val="21"/>
              </w:rPr>
            </w:pPr>
          </w:p>
        </w:tc>
        <w:tc>
          <w:tcPr>
            <w:tcW w:w="599" w:type="dxa"/>
            <w:vAlign w:val="top"/>
          </w:tcPr>
          <w:p w14:paraId="2EF84894">
            <w:pPr>
              <w:spacing w:line="258" w:lineRule="auto"/>
              <w:rPr>
                <w:rFonts w:ascii="Arial"/>
                <w:sz w:val="21"/>
              </w:rPr>
            </w:pPr>
          </w:p>
          <w:p w14:paraId="229340E2">
            <w:pPr>
              <w:spacing w:line="259" w:lineRule="auto"/>
              <w:rPr>
                <w:rFonts w:ascii="Arial"/>
                <w:sz w:val="21"/>
              </w:rPr>
            </w:pPr>
          </w:p>
          <w:p w14:paraId="5A7427EC">
            <w:pPr>
              <w:pStyle w:val="6"/>
              <w:spacing w:before="72"/>
              <w:ind w:left="232"/>
              <w:rPr>
                <w:sz w:val="22"/>
                <w:szCs w:val="22"/>
              </w:rPr>
            </w:pPr>
            <w:r>
              <w:rPr>
                <w:sz w:val="22"/>
                <w:szCs w:val="22"/>
              </w:rPr>
              <w:t>3</w:t>
            </w:r>
          </w:p>
        </w:tc>
        <w:tc>
          <w:tcPr>
            <w:tcW w:w="2837" w:type="dxa"/>
            <w:vAlign w:val="top"/>
          </w:tcPr>
          <w:p w14:paraId="5476B4BE">
            <w:pPr>
              <w:pStyle w:val="6"/>
              <w:spacing w:before="31" w:line="219" w:lineRule="auto"/>
              <w:ind w:left="93"/>
              <w:rPr>
                <w:sz w:val="22"/>
                <w:szCs w:val="22"/>
              </w:rPr>
            </w:pPr>
            <w:r>
              <w:rPr>
                <w:spacing w:val="1"/>
                <w:sz w:val="22"/>
                <w:szCs w:val="22"/>
              </w:rPr>
              <w:t>变电工程在选址时应按终期</w:t>
            </w:r>
          </w:p>
          <w:p w14:paraId="73DFC4C8">
            <w:pPr>
              <w:pStyle w:val="6"/>
              <w:spacing w:before="7" w:line="219" w:lineRule="auto"/>
              <w:ind w:left="93"/>
              <w:rPr>
                <w:sz w:val="22"/>
                <w:szCs w:val="22"/>
              </w:rPr>
            </w:pPr>
            <w:r>
              <w:rPr>
                <w:spacing w:val="-1"/>
                <w:sz w:val="22"/>
                <w:szCs w:val="22"/>
              </w:rPr>
              <w:t>规模综合考虑进出线走廊规</w:t>
            </w:r>
          </w:p>
          <w:p w14:paraId="1B7490D8">
            <w:pPr>
              <w:pStyle w:val="6"/>
              <w:spacing w:before="41" w:line="209" w:lineRule="auto"/>
              <w:ind w:left="93"/>
              <w:rPr>
                <w:sz w:val="22"/>
                <w:szCs w:val="22"/>
              </w:rPr>
            </w:pPr>
            <w:r>
              <w:rPr>
                <w:spacing w:val="-1"/>
                <w:sz w:val="22"/>
                <w:szCs w:val="22"/>
              </w:rPr>
              <w:t>划，避免进出线进入自然保</w:t>
            </w:r>
          </w:p>
          <w:p w14:paraId="38D8F279">
            <w:pPr>
              <w:pStyle w:val="6"/>
              <w:spacing w:line="219" w:lineRule="auto"/>
              <w:ind w:left="93"/>
              <w:rPr>
                <w:sz w:val="22"/>
                <w:szCs w:val="22"/>
              </w:rPr>
            </w:pPr>
            <w:r>
              <w:rPr>
                <w:spacing w:val="-1"/>
                <w:sz w:val="22"/>
                <w:szCs w:val="22"/>
              </w:rPr>
              <w:t>护区、饮用水水源保护区等</w:t>
            </w:r>
          </w:p>
          <w:p w14:paraId="2E0F1E98">
            <w:pPr>
              <w:pStyle w:val="6"/>
              <w:spacing w:before="8" w:line="192" w:lineRule="auto"/>
              <w:ind w:left="803"/>
              <w:rPr>
                <w:sz w:val="22"/>
                <w:szCs w:val="22"/>
              </w:rPr>
            </w:pPr>
            <w:r>
              <w:rPr>
                <w:sz w:val="22"/>
                <w:szCs w:val="22"/>
              </w:rPr>
              <w:t>环境敏感区。</w:t>
            </w:r>
          </w:p>
        </w:tc>
        <w:tc>
          <w:tcPr>
            <w:tcW w:w="1938" w:type="dxa"/>
            <w:vAlign w:val="top"/>
          </w:tcPr>
          <w:p w14:paraId="04C25518">
            <w:pPr>
              <w:pStyle w:val="6"/>
              <w:spacing w:before="179" w:line="219" w:lineRule="auto"/>
              <w:ind w:left="86"/>
              <w:rPr>
                <w:sz w:val="22"/>
                <w:szCs w:val="22"/>
              </w:rPr>
            </w:pPr>
            <w:r>
              <w:rPr>
                <w:spacing w:val="1"/>
                <w:sz w:val="22"/>
                <w:szCs w:val="22"/>
              </w:rPr>
              <w:t>本项目不涉及自然</w:t>
            </w:r>
          </w:p>
          <w:p w14:paraId="4B29AFC9">
            <w:pPr>
              <w:pStyle w:val="6"/>
              <w:spacing w:before="10" w:line="219" w:lineRule="auto"/>
              <w:ind w:left="86"/>
              <w:rPr>
                <w:sz w:val="22"/>
                <w:szCs w:val="22"/>
              </w:rPr>
            </w:pPr>
            <w:r>
              <w:rPr>
                <w:spacing w:val="-2"/>
                <w:sz w:val="22"/>
                <w:szCs w:val="22"/>
              </w:rPr>
              <w:t>保护区、饮用水水</w:t>
            </w:r>
          </w:p>
          <w:p w14:paraId="0EAD7306">
            <w:pPr>
              <w:pStyle w:val="6"/>
              <w:spacing w:before="8" w:line="219" w:lineRule="auto"/>
              <w:ind w:left="86"/>
              <w:rPr>
                <w:sz w:val="22"/>
                <w:szCs w:val="22"/>
              </w:rPr>
            </w:pPr>
            <w:r>
              <w:rPr>
                <w:spacing w:val="-1"/>
                <w:sz w:val="22"/>
                <w:szCs w:val="22"/>
              </w:rPr>
              <w:t>源保护区等环境敏</w:t>
            </w:r>
          </w:p>
          <w:p w14:paraId="25EC3F15">
            <w:pPr>
              <w:pStyle w:val="6"/>
              <w:spacing w:before="3" w:line="224" w:lineRule="auto"/>
              <w:ind w:left="746"/>
              <w:rPr>
                <w:sz w:val="22"/>
                <w:szCs w:val="22"/>
              </w:rPr>
            </w:pPr>
            <w:r>
              <w:rPr>
                <w:spacing w:val="9"/>
                <w:sz w:val="22"/>
                <w:szCs w:val="22"/>
              </w:rPr>
              <w:t>感区</w:t>
            </w:r>
          </w:p>
        </w:tc>
        <w:tc>
          <w:tcPr>
            <w:tcW w:w="1718" w:type="dxa"/>
            <w:vAlign w:val="top"/>
          </w:tcPr>
          <w:p w14:paraId="7E1BE8DB">
            <w:pPr>
              <w:spacing w:line="248" w:lineRule="auto"/>
              <w:rPr>
                <w:rFonts w:ascii="Arial"/>
                <w:sz w:val="21"/>
              </w:rPr>
            </w:pPr>
          </w:p>
          <w:p w14:paraId="30E2FDCD">
            <w:pPr>
              <w:spacing w:line="248" w:lineRule="auto"/>
              <w:rPr>
                <w:rFonts w:ascii="Arial"/>
                <w:sz w:val="21"/>
              </w:rPr>
            </w:pPr>
          </w:p>
          <w:p w14:paraId="374F6D7F">
            <w:pPr>
              <w:pStyle w:val="6"/>
              <w:spacing w:before="72" w:line="219" w:lineRule="auto"/>
              <w:ind w:left="638"/>
              <w:rPr>
                <w:sz w:val="22"/>
                <w:szCs w:val="22"/>
              </w:rPr>
            </w:pPr>
            <w:r>
              <w:rPr>
                <w:spacing w:val="-3"/>
                <w:sz w:val="22"/>
                <w:szCs w:val="22"/>
              </w:rPr>
              <w:t>符合</w:t>
            </w:r>
          </w:p>
        </w:tc>
        <w:tc>
          <w:tcPr>
            <w:tcW w:w="165" w:type="dxa"/>
            <w:vMerge w:val="continue"/>
            <w:tcBorders>
              <w:top w:val="nil"/>
              <w:bottom w:val="nil"/>
            </w:tcBorders>
            <w:vAlign w:val="top"/>
          </w:tcPr>
          <w:p w14:paraId="70FDCF73">
            <w:pPr>
              <w:rPr>
                <w:rFonts w:ascii="Arial"/>
                <w:sz w:val="21"/>
              </w:rPr>
            </w:pPr>
          </w:p>
        </w:tc>
      </w:tr>
      <w:tr w14:paraId="51EA3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7" w:hRule="atLeast"/>
        </w:trPr>
        <w:tc>
          <w:tcPr>
            <w:tcW w:w="1573" w:type="dxa"/>
            <w:vMerge w:val="continue"/>
            <w:tcBorders>
              <w:top w:val="nil"/>
              <w:bottom w:val="nil"/>
            </w:tcBorders>
            <w:vAlign w:val="top"/>
          </w:tcPr>
          <w:p w14:paraId="5886A1BD">
            <w:pPr>
              <w:rPr>
                <w:rFonts w:ascii="Arial"/>
                <w:sz w:val="21"/>
              </w:rPr>
            </w:pPr>
          </w:p>
        </w:tc>
        <w:tc>
          <w:tcPr>
            <w:tcW w:w="599" w:type="dxa"/>
            <w:vAlign w:val="top"/>
          </w:tcPr>
          <w:p w14:paraId="183BCAEA">
            <w:pPr>
              <w:spacing w:line="267" w:lineRule="auto"/>
              <w:rPr>
                <w:rFonts w:ascii="Arial"/>
                <w:sz w:val="21"/>
              </w:rPr>
            </w:pPr>
          </w:p>
          <w:p w14:paraId="70A8334A">
            <w:pPr>
              <w:spacing w:line="267" w:lineRule="auto"/>
              <w:rPr>
                <w:rFonts w:ascii="Arial"/>
                <w:sz w:val="21"/>
              </w:rPr>
            </w:pPr>
          </w:p>
          <w:p w14:paraId="286A9D74">
            <w:pPr>
              <w:spacing w:line="267" w:lineRule="auto"/>
              <w:rPr>
                <w:rFonts w:ascii="Arial"/>
                <w:sz w:val="21"/>
              </w:rPr>
            </w:pPr>
          </w:p>
          <w:p w14:paraId="1C1FC969">
            <w:pPr>
              <w:spacing w:line="267" w:lineRule="auto"/>
              <w:rPr>
                <w:rFonts w:ascii="Arial"/>
                <w:sz w:val="21"/>
              </w:rPr>
            </w:pPr>
          </w:p>
          <w:p w14:paraId="08A56C30">
            <w:pPr>
              <w:spacing w:line="267" w:lineRule="auto"/>
              <w:rPr>
                <w:rFonts w:ascii="Arial"/>
                <w:sz w:val="21"/>
              </w:rPr>
            </w:pPr>
          </w:p>
          <w:p w14:paraId="42BFFC7A">
            <w:pPr>
              <w:spacing w:line="267" w:lineRule="auto"/>
              <w:rPr>
                <w:rFonts w:ascii="Arial"/>
                <w:sz w:val="21"/>
              </w:rPr>
            </w:pPr>
          </w:p>
          <w:p w14:paraId="1F1E0FCA">
            <w:pPr>
              <w:pStyle w:val="6"/>
              <w:spacing w:before="71" w:line="241" w:lineRule="auto"/>
              <w:ind w:left="232"/>
              <w:rPr>
                <w:sz w:val="22"/>
                <w:szCs w:val="22"/>
              </w:rPr>
            </w:pPr>
            <w:r>
              <w:rPr>
                <w:sz w:val="22"/>
                <w:szCs w:val="22"/>
              </w:rPr>
              <w:t>4</w:t>
            </w:r>
          </w:p>
        </w:tc>
        <w:tc>
          <w:tcPr>
            <w:tcW w:w="2837" w:type="dxa"/>
            <w:vAlign w:val="top"/>
          </w:tcPr>
          <w:p w14:paraId="366958A3">
            <w:pPr>
              <w:spacing w:line="305" w:lineRule="auto"/>
              <w:rPr>
                <w:rFonts w:ascii="Arial"/>
                <w:sz w:val="21"/>
              </w:rPr>
            </w:pPr>
          </w:p>
          <w:p w14:paraId="01117CD0">
            <w:pPr>
              <w:spacing w:line="305" w:lineRule="auto"/>
              <w:rPr>
                <w:rFonts w:ascii="Arial"/>
                <w:sz w:val="21"/>
              </w:rPr>
            </w:pPr>
          </w:p>
          <w:p w14:paraId="71624DA6">
            <w:pPr>
              <w:spacing w:line="305" w:lineRule="auto"/>
              <w:rPr>
                <w:rFonts w:ascii="Arial"/>
                <w:sz w:val="21"/>
              </w:rPr>
            </w:pPr>
          </w:p>
          <w:p w14:paraId="40DF52C1">
            <w:pPr>
              <w:pStyle w:val="6"/>
              <w:spacing w:before="72" w:line="220" w:lineRule="auto"/>
              <w:ind w:left="93"/>
              <w:rPr>
                <w:sz w:val="22"/>
                <w:szCs w:val="22"/>
              </w:rPr>
            </w:pPr>
            <w:r>
              <w:rPr>
                <w:spacing w:val="-1"/>
                <w:sz w:val="22"/>
                <w:szCs w:val="22"/>
              </w:rPr>
              <w:t>户外变电工程及规划架空进</w:t>
            </w:r>
          </w:p>
          <w:p w14:paraId="177BA78F">
            <w:pPr>
              <w:pStyle w:val="6"/>
              <w:spacing w:before="27" w:line="220" w:lineRule="auto"/>
              <w:ind w:left="93"/>
              <w:rPr>
                <w:sz w:val="22"/>
                <w:szCs w:val="22"/>
              </w:rPr>
            </w:pPr>
            <w:r>
              <w:rPr>
                <w:spacing w:val="1"/>
                <w:sz w:val="22"/>
                <w:szCs w:val="22"/>
              </w:rPr>
              <w:t>出线选址选线时，应关注以</w:t>
            </w:r>
          </w:p>
          <w:p w14:paraId="7C104FDA">
            <w:pPr>
              <w:pStyle w:val="6"/>
              <w:spacing w:before="6" w:line="218" w:lineRule="auto"/>
              <w:jc w:val="right"/>
              <w:rPr>
                <w:sz w:val="22"/>
                <w:szCs w:val="22"/>
              </w:rPr>
            </w:pPr>
            <w:r>
              <w:rPr>
                <w:spacing w:val="-13"/>
                <w:sz w:val="22"/>
                <w:szCs w:val="22"/>
              </w:rPr>
              <w:t>居住、医疗卫生、文化教育、</w:t>
            </w:r>
          </w:p>
          <w:p w14:paraId="2348FF74">
            <w:pPr>
              <w:pStyle w:val="6"/>
              <w:spacing w:line="218" w:lineRule="auto"/>
              <w:ind w:left="93"/>
              <w:rPr>
                <w:sz w:val="22"/>
                <w:szCs w:val="22"/>
              </w:rPr>
            </w:pPr>
            <w:r>
              <w:rPr>
                <w:spacing w:val="1"/>
                <w:sz w:val="22"/>
                <w:szCs w:val="22"/>
              </w:rPr>
              <w:t>科研、行政办公等为主要功</w:t>
            </w:r>
          </w:p>
          <w:p w14:paraId="39E6E23C">
            <w:pPr>
              <w:pStyle w:val="6"/>
              <w:spacing w:before="29" w:line="211" w:lineRule="auto"/>
              <w:ind w:left="143"/>
              <w:rPr>
                <w:sz w:val="22"/>
                <w:szCs w:val="22"/>
              </w:rPr>
            </w:pPr>
            <w:r>
              <w:rPr>
                <w:sz w:val="22"/>
                <w:szCs w:val="22"/>
              </w:rPr>
              <w:t>能的区域，采取综合措施，</w:t>
            </w:r>
          </w:p>
          <w:p w14:paraId="37169A3D">
            <w:pPr>
              <w:pStyle w:val="6"/>
              <w:spacing w:line="220" w:lineRule="auto"/>
              <w:ind w:left="252"/>
              <w:rPr>
                <w:sz w:val="22"/>
                <w:szCs w:val="22"/>
              </w:rPr>
            </w:pPr>
            <w:r>
              <w:rPr>
                <w:sz w:val="22"/>
                <w:szCs w:val="22"/>
              </w:rPr>
              <w:t>减少电磁和声环境影响。</w:t>
            </w:r>
          </w:p>
        </w:tc>
        <w:tc>
          <w:tcPr>
            <w:tcW w:w="1938" w:type="dxa"/>
            <w:vAlign w:val="top"/>
          </w:tcPr>
          <w:p w14:paraId="7F6184F5">
            <w:pPr>
              <w:pStyle w:val="6"/>
              <w:spacing w:before="39" w:line="218" w:lineRule="auto"/>
              <w:ind w:left="86"/>
              <w:rPr>
                <w:sz w:val="22"/>
                <w:szCs w:val="22"/>
              </w:rPr>
            </w:pPr>
            <w:r>
              <w:rPr>
                <w:spacing w:val="1"/>
                <w:sz w:val="22"/>
                <w:szCs w:val="22"/>
              </w:rPr>
              <w:t>本项目评价内容不</w:t>
            </w:r>
          </w:p>
          <w:p w14:paraId="4B381F33">
            <w:pPr>
              <w:pStyle w:val="6"/>
              <w:spacing w:before="22" w:line="219" w:lineRule="auto"/>
              <w:ind w:left="86"/>
              <w:rPr>
                <w:sz w:val="22"/>
                <w:szCs w:val="22"/>
              </w:rPr>
            </w:pPr>
            <w:r>
              <w:rPr>
                <w:spacing w:val="1"/>
                <w:sz w:val="22"/>
                <w:szCs w:val="22"/>
              </w:rPr>
              <w:t>包括送出线路，电</w:t>
            </w:r>
          </w:p>
          <w:p w14:paraId="365DAA34">
            <w:pPr>
              <w:pStyle w:val="6"/>
              <w:spacing w:before="6" w:line="218" w:lineRule="auto"/>
              <w:ind w:left="86"/>
              <w:rPr>
                <w:sz w:val="22"/>
                <w:szCs w:val="22"/>
              </w:rPr>
            </w:pPr>
            <w:r>
              <w:rPr>
                <w:spacing w:val="-1"/>
                <w:sz w:val="22"/>
                <w:szCs w:val="22"/>
              </w:rPr>
              <w:t>磁环境评价范围为</w:t>
            </w:r>
          </w:p>
          <w:p w14:paraId="64D3E540">
            <w:pPr>
              <w:pStyle w:val="6"/>
              <w:spacing w:before="13" w:line="220" w:lineRule="auto"/>
              <w:ind w:left="136"/>
              <w:rPr>
                <w:sz w:val="22"/>
                <w:szCs w:val="22"/>
              </w:rPr>
            </w:pPr>
            <w:r>
              <w:rPr>
                <w:spacing w:val="-2"/>
                <w:sz w:val="22"/>
                <w:szCs w:val="22"/>
              </w:rPr>
              <w:t>升压站围墙外40m</w:t>
            </w:r>
          </w:p>
          <w:p w14:paraId="622172F6">
            <w:pPr>
              <w:pStyle w:val="6"/>
              <w:spacing w:before="17" w:line="219" w:lineRule="auto"/>
              <w:ind w:left="196"/>
              <w:rPr>
                <w:sz w:val="22"/>
                <w:szCs w:val="22"/>
              </w:rPr>
            </w:pPr>
            <w:r>
              <w:rPr>
                <w:spacing w:val="1"/>
                <w:sz w:val="22"/>
                <w:szCs w:val="22"/>
              </w:rPr>
              <w:t>范围内，升压站</w:t>
            </w:r>
          </w:p>
          <w:p w14:paraId="760D0756">
            <w:pPr>
              <w:pStyle w:val="6"/>
              <w:spacing w:before="9" w:line="219" w:lineRule="auto"/>
              <w:ind w:left="136"/>
              <w:rPr>
                <w:sz w:val="22"/>
                <w:szCs w:val="22"/>
              </w:rPr>
            </w:pPr>
            <w:r>
              <w:rPr>
                <w:spacing w:val="-1"/>
                <w:sz w:val="22"/>
                <w:szCs w:val="22"/>
              </w:rPr>
              <w:t>40m范围内无环境</w:t>
            </w:r>
          </w:p>
          <w:p w14:paraId="63F6D5F5">
            <w:pPr>
              <w:pStyle w:val="6"/>
              <w:spacing w:before="19" w:line="219" w:lineRule="auto"/>
              <w:ind w:left="86"/>
              <w:rPr>
                <w:sz w:val="22"/>
                <w:szCs w:val="22"/>
              </w:rPr>
            </w:pPr>
            <w:r>
              <w:rPr>
                <w:spacing w:val="-2"/>
                <w:sz w:val="22"/>
                <w:szCs w:val="22"/>
              </w:rPr>
              <w:t>保护目标；根据预</w:t>
            </w:r>
          </w:p>
          <w:p w14:paraId="789D92CB">
            <w:pPr>
              <w:pStyle w:val="6"/>
              <w:spacing w:before="10" w:line="217" w:lineRule="auto"/>
              <w:ind w:left="86"/>
              <w:rPr>
                <w:sz w:val="22"/>
                <w:szCs w:val="22"/>
              </w:rPr>
            </w:pPr>
            <w:r>
              <w:rPr>
                <w:spacing w:val="1"/>
                <w:sz w:val="22"/>
                <w:szCs w:val="22"/>
              </w:rPr>
              <w:t>测运行期升压站噪</w:t>
            </w:r>
          </w:p>
          <w:p w14:paraId="3C38C740">
            <w:pPr>
              <w:pStyle w:val="6"/>
              <w:spacing w:line="219" w:lineRule="auto"/>
              <w:ind w:left="196"/>
              <w:rPr>
                <w:sz w:val="22"/>
                <w:szCs w:val="22"/>
              </w:rPr>
            </w:pPr>
            <w:r>
              <w:rPr>
                <w:spacing w:val="1"/>
                <w:sz w:val="22"/>
                <w:szCs w:val="22"/>
              </w:rPr>
              <w:t>声预计结果满足</w:t>
            </w:r>
          </w:p>
          <w:p w14:paraId="62CF56B7">
            <w:pPr>
              <w:pStyle w:val="6"/>
              <w:spacing w:before="30" w:line="210" w:lineRule="auto"/>
              <w:ind w:left="26"/>
              <w:rPr>
                <w:sz w:val="22"/>
                <w:szCs w:val="22"/>
              </w:rPr>
            </w:pPr>
            <w:r>
              <w:rPr>
                <w:sz w:val="22"/>
                <w:szCs w:val="22"/>
              </w:rPr>
              <w:t>《工业企业厂界环</w:t>
            </w:r>
          </w:p>
          <w:p w14:paraId="6F20E361">
            <w:pPr>
              <w:pStyle w:val="6"/>
              <w:spacing w:line="220" w:lineRule="auto"/>
              <w:ind w:left="136"/>
              <w:rPr>
                <w:sz w:val="22"/>
                <w:szCs w:val="22"/>
              </w:rPr>
            </w:pPr>
            <w:r>
              <w:rPr>
                <w:spacing w:val="-2"/>
                <w:sz w:val="22"/>
                <w:szCs w:val="22"/>
              </w:rPr>
              <w:t>境噪声排放标准》</w:t>
            </w:r>
          </w:p>
          <w:p w14:paraId="13542C67">
            <w:pPr>
              <w:pStyle w:val="6"/>
              <w:spacing w:before="20" w:line="198" w:lineRule="auto"/>
              <w:ind w:left="96" w:right="189" w:firstLine="39"/>
              <w:rPr>
                <w:sz w:val="22"/>
                <w:szCs w:val="22"/>
              </w:rPr>
            </w:pPr>
            <w:r>
              <w:rPr>
                <w:spacing w:val="-4"/>
                <w:sz w:val="22"/>
                <w:szCs w:val="22"/>
              </w:rPr>
              <w:t>(GB12348-2008)1</w:t>
            </w:r>
            <w:r>
              <w:rPr>
                <w:spacing w:val="11"/>
                <w:sz w:val="22"/>
                <w:szCs w:val="22"/>
              </w:rPr>
              <w:t xml:space="preserve"> </w:t>
            </w:r>
            <w:r>
              <w:rPr>
                <w:spacing w:val="-2"/>
                <w:sz w:val="22"/>
                <w:szCs w:val="22"/>
              </w:rPr>
              <w:t>类要求</w:t>
            </w:r>
          </w:p>
        </w:tc>
        <w:tc>
          <w:tcPr>
            <w:tcW w:w="1718" w:type="dxa"/>
            <w:vAlign w:val="top"/>
          </w:tcPr>
          <w:p w14:paraId="16375743">
            <w:pPr>
              <w:spacing w:line="263" w:lineRule="auto"/>
              <w:rPr>
                <w:rFonts w:ascii="Arial"/>
                <w:sz w:val="21"/>
              </w:rPr>
            </w:pPr>
          </w:p>
          <w:p w14:paraId="2DD0B46A">
            <w:pPr>
              <w:spacing w:line="263" w:lineRule="auto"/>
              <w:rPr>
                <w:rFonts w:ascii="Arial"/>
                <w:sz w:val="21"/>
              </w:rPr>
            </w:pPr>
          </w:p>
          <w:p w14:paraId="1A9A2078">
            <w:pPr>
              <w:spacing w:line="263" w:lineRule="auto"/>
              <w:rPr>
                <w:rFonts w:ascii="Arial"/>
                <w:sz w:val="21"/>
              </w:rPr>
            </w:pPr>
          </w:p>
          <w:p w14:paraId="67A4B7A6">
            <w:pPr>
              <w:spacing w:line="263" w:lineRule="auto"/>
              <w:rPr>
                <w:rFonts w:ascii="Arial"/>
                <w:sz w:val="21"/>
              </w:rPr>
            </w:pPr>
          </w:p>
          <w:p w14:paraId="60885D50">
            <w:pPr>
              <w:spacing w:line="264" w:lineRule="auto"/>
              <w:rPr>
                <w:rFonts w:ascii="Arial"/>
                <w:sz w:val="21"/>
              </w:rPr>
            </w:pPr>
          </w:p>
          <w:p w14:paraId="6C26331A">
            <w:pPr>
              <w:spacing w:line="264" w:lineRule="auto"/>
              <w:rPr>
                <w:rFonts w:ascii="Arial"/>
                <w:sz w:val="21"/>
              </w:rPr>
            </w:pPr>
          </w:p>
          <w:p w14:paraId="2638FF0A">
            <w:pPr>
              <w:pStyle w:val="6"/>
              <w:spacing w:before="72" w:line="219" w:lineRule="auto"/>
              <w:ind w:left="638"/>
              <w:rPr>
                <w:sz w:val="22"/>
                <w:szCs w:val="22"/>
              </w:rPr>
            </w:pPr>
            <w:r>
              <w:rPr>
                <w:spacing w:val="-3"/>
                <w:sz w:val="22"/>
                <w:szCs w:val="22"/>
              </w:rPr>
              <w:t>符合</w:t>
            </w:r>
          </w:p>
        </w:tc>
        <w:tc>
          <w:tcPr>
            <w:tcW w:w="165" w:type="dxa"/>
            <w:vMerge w:val="continue"/>
            <w:tcBorders>
              <w:top w:val="nil"/>
            </w:tcBorders>
            <w:vAlign w:val="top"/>
          </w:tcPr>
          <w:p w14:paraId="7E28FF83">
            <w:pPr>
              <w:rPr>
                <w:rFonts w:ascii="Arial"/>
                <w:sz w:val="21"/>
              </w:rPr>
            </w:pPr>
          </w:p>
        </w:tc>
      </w:tr>
      <w:tr w14:paraId="0AE5A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0" w:hRule="atLeast"/>
        </w:trPr>
        <w:tc>
          <w:tcPr>
            <w:tcW w:w="1573" w:type="dxa"/>
            <w:vMerge w:val="continue"/>
            <w:tcBorders>
              <w:top w:val="nil"/>
            </w:tcBorders>
            <w:vAlign w:val="top"/>
          </w:tcPr>
          <w:p w14:paraId="5164DCAA">
            <w:pPr>
              <w:rPr>
                <w:rFonts w:ascii="Arial"/>
                <w:sz w:val="21"/>
              </w:rPr>
            </w:pPr>
          </w:p>
        </w:tc>
        <w:tc>
          <w:tcPr>
            <w:tcW w:w="7257" w:type="dxa"/>
            <w:gridSpan w:val="5"/>
            <w:vAlign w:val="top"/>
          </w:tcPr>
          <w:p w14:paraId="78B933F7">
            <w:pPr>
              <w:pStyle w:val="6"/>
              <w:spacing w:before="48" w:line="391" w:lineRule="auto"/>
              <w:ind w:left="15" w:right="709" w:firstLine="469"/>
              <w:rPr>
                <w:sz w:val="22"/>
                <w:szCs w:val="22"/>
              </w:rPr>
            </w:pPr>
            <w:r>
              <w:rPr>
                <w:b/>
                <w:bCs/>
                <w:spacing w:val="-2"/>
                <w:sz w:val="22"/>
                <w:szCs w:val="22"/>
              </w:rPr>
              <w:t>15、与《云南省生物多样性保护条例》(HJ1113</w:t>
            </w:r>
            <w:r>
              <w:rPr>
                <w:b/>
                <w:bCs/>
                <w:spacing w:val="-3"/>
                <w:sz w:val="22"/>
                <w:szCs w:val="22"/>
              </w:rPr>
              <w:t>-2020)的相符性</w:t>
            </w:r>
            <w:r>
              <w:rPr>
                <w:sz w:val="22"/>
                <w:szCs w:val="22"/>
              </w:rPr>
              <w:t xml:space="preserve"> </w:t>
            </w:r>
            <w:r>
              <w:rPr>
                <w:b/>
                <w:bCs/>
                <w:spacing w:val="-6"/>
                <w:sz w:val="22"/>
                <w:szCs w:val="22"/>
              </w:rPr>
              <w:t>分析</w:t>
            </w:r>
          </w:p>
          <w:p w14:paraId="19353063">
            <w:pPr>
              <w:pStyle w:val="6"/>
              <w:spacing w:before="13" w:line="378" w:lineRule="auto"/>
              <w:ind w:left="12" w:right="315" w:firstLine="429"/>
              <w:rPr>
                <w:sz w:val="22"/>
                <w:szCs w:val="22"/>
              </w:rPr>
            </w:pPr>
            <w:r>
              <w:rPr>
                <w:spacing w:val="4"/>
                <w:sz w:val="22"/>
                <w:szCs w:val="22"/>
              </w:rPr>
              <w:t>《云南省生物多样性保护条例》第二十九条规定</w:t>
            </w:r>
            <w:r>
              <w:rPr>
                <w:spacing w:val="3"/>
                <w:sz w:val="22"/>
                <w:szCs w:val="22"/>
              </w:rPr>
              <w:t>：“新建、改建、</w:t>
            </w:r>
            <w:r>
              <w:rPr>
                <w:sz w:val="22"/>
                <w:szCs w:val="22"/>
              </w:rPr>
              <w:t xml:space="preserve"> 扩建建设项目以及开发自然资源，应当依法开</w:t>
            </w:r>
            <w:r>
              <w:rPr>
                <w:spacing w:val="-1"/>
                <w:sz w:val="22"/>
                <w:szCs w:val="22"/>
              </w:rPr>
              <w:t>展环境影响评价。对可</w:t>
            </w:r>
          </w:p>
          <w:p w14:paraId="2BB59A03">
            <w:pPr>
              <w:pStyle w:val="6"/>
              <w:spacing w:before="19" w:line="392" w:lineRule="auto"/>
              <w:ind w:left="12" w:right="614"/>
              <w:rPr>
                <w:sz w:val="22"/>
                <w:szCs w:val="22"/>
              </w:rPr>
            </w:pPr>
            <w:r>
              <w:rPr>
                <w:spacing w:val="1"/>
                <w:sz w:val="22"/>
                <w:szCs w:val="22"/>
              </w:rPr>
              <w:t>能造成重要生态系统破坏、损害重要物种及</w:t>
            </w:r>
            <w:r>
              <w:rPr>
                <w:sz w:val="22"/>
                <w:szCs w:val="22"/>
              </w:rPr>
              <w:t>其栖息地和生境的，应当 制定专项保护、恢复和补偿方案，纳入环境</w:t>
            </w:r>
            <w:r>
              <w:rPr>
                <w:spacing w:val="-1"/>
                <w:sz w:val="22"/>
                <w:szCs w:val="22"/>
              </w:rPr>
              <w:t>影响评价。在生物多样性</w:t>
            </w:r>
            <w:r>
              <w:rPr>
                <w:sz w:val="22"/>
                <w:szCs w:val="22"/>
              </w:rPr>
              <w:t xml:space="preserve"> 保护优先区域的建设项目以及自然资源开发</w:t>
            </w:r>
            <w:r>
              <w:rPr>
                <w:spacing w:val="-1"/>
                <w:sz w:val="22"/>
                <w:szCs w:val="22"/>
              </w:rPr>
              <w:t>，应当评价对生物多样性</w:t>
            </w:r>
            <w:r>
              <w:rPr>
                <w:sz w:val="22"/>
                <w:szCs w:val="22"/>
              </w:rPr>
              <w:t xml:space="preserve"> 的影响，并作为环境影响评价的重要组成部分</w:t>
            </w:r>
            <w:r>
              <w:rPr>
                <w:spacing w:val="-1"/>
                <w:sz w:val="22"/>
                <w:szCs w:val="22"/>
              </w:rPr>
              <w:t>”。</w:t>
            </w:r>
          </w:p>
          <w:p w14:paraId="5DB1D6AB">
            <w:pPr>
              <w:pStyle w:val="6"/>
              <w:spacing w:before="1" w:line="389" w:lineRule="auto"/>
              <w:ind w:left="82" w:right="653" w:firstLine="340"/>
              <w:rPr>
                <w:sz w:val="22"/>
                <w:szCs w:val="22"/>
              </w:rPr>
            </w:pPr>
            <w:r>
              <w:rPr>
                <w:sz w:val="22"/>
                <w:szCs w:val="22"/>
              </w:rPr>
              <w:t>本项目为光伏发电项目，根据曲靖市马龙区自然资源局选址意见</w:t>
            </w:r>
            <w:r>
              <w:rPr>
                <w:spacing w:val="10"/>
                <w:sz w:val="22"/>
                <w:szCs w:val="22"/>
              </w:rPr>
              <w:t xml:space="preserve"> </w:t>
            </w:r>
            <w:r>
              <w:rPr>
                <w:spacing w:val="1"/>
                <w:sz w:val="22"/>
                <w:szCs w:val="22"/>
              </w:rPr>
              <w:t>(详见附件9)、曲靖市马龙区林业和草原局选址意见(详见附件11)</w:t>
            </w:r>
          </w:p>
          <w:p w14:paraId="54E089E7">
            <w:pPr>
              <w:pStyle w:val="6"/>
              <w:spacing w:line="216" w:lineRule="auto"/>
              <w:ind w:left="12"/>
              <w:rPr>
                <w:sz w:val="22"/>
                <w:szCs w:val="22"/>
              </w:rPr>
            </w:pPr>
            <w:r>
              <w:rPr>
                <w:sz w:val="22"/>
                <w:szCs w:val="22"/>
              </w:rPr>
              <w:t>及曲靖市马龙区文化和旅游局(详见附件10),</w:t>
            </w:r>
            <w:r>
              <w:rPr>
                <w:spacing w:val="-1"/>
                <w:sz w:val="22"/>
                <w:szCs w:val="22"/>
              </w:rPr>
              <w:t>本项目不涉及生态保</w:t>
            </w:r>
          </w:p>
          <w:p w14:paraId="492CBCCC">
            <w:pPr>
              <w:pStyle w:val="6"/>
              <w:spacing w:before="216" w:line="384" w:lineRule="auto"/>
              <w:ind w:left="12" w:right="621"/>
              <w:rPr>
                <w:sz w:val="22"/>
                <w:szCs w:val="22"/>
              </w:rPr>
            </w:pPr>
            <w:r>
              <w:rPr>
                <w:sz w:val="22"/>
                <w:szCs w:val="22"/>
              </w:rPr>
              <w:t>护红线、基本农田、自然保护地、文物保护单位。根据《几沃梁子农</w:t>
            </w:r>
            <w:r>
              <w:rPr>
                <w:spacing w:val="12"/>
                <w:sz w:val="22"/>
                <w:szCs w:val="22"/>
              </w:rPr>
              <w:t xml:space="preserve"> </w:t>
            </w:r>
            <w:r>
              <w:rPr>
                <w:sz w:val="22"/>
                <w:szCs w:val="22"/>
              </w:rPr>
              <w:t>光互补光伏发电项目使用林地可行性报告》</w:t>
            </w:r>
            <w:r>
              <w:rPr>
                <w:spacing w:val="-1"/>
                <w:sz w:val="22"/>
                <w:szCs w:val="22"/>
              </w:rPr>
              <w:t>,光伏板区内临时用地面</w:t>
            </w:r>
          </w:p>
          <w:p w14:paraId="61374602">
            <w:pPr>
              <w:pStyle w:val="6"/>
              <w:spacing w:before="11" w:line="377" w:lineRule="auto"/>
              <w:ind w:left="12" w:right="515"/>
              <w:rPr>
                <w:sz w:val="22"/>
                <w:szCs w:val="22"/>
              </w:rPr>
            </w:pPr>
            <w:r>
              <w:rPr>
                <w:spacing w:val="3"/>
                <w:sz w:val="22"/>
                <w:szCs w:val="22"/>
              </w:rPr>
              <w:t>积为207.2271</w:t>
            </w:r>
            <w:r>
              <w:rPr>
                <w:sz w:val="22"/>
                <w:szCs w:val="22"/>
              </w:rPr>
              <w:t>hm</w:t>
            </w:r>
            <w:r>
              <w:rPr>
                <w:spacing w:val="3"/>
                <w:sz w:val="22"/>
                <w:szCs w:val="22"/>
              </w:rPr>
              <w:t>²,占用林地地类性质为一般灌木林及其他林地，塔基</w:t>
            </w:r>
            <w:r>
              <w:rPr>
                <w:spacing w:val="16"/>
                <w:sz w:val="22"/>
                <w:szCs w:val="22"/>
              </w:rPr>
              <w:t xml:space="preserve"> </w:t>
            </w:r>
            <w:r>
              <w:rPr>
                <w:spacing w:val="6"/>
                <w:sz w:val="22"/>
                <w:szCs w:val="22"/>
              </w:rPr>
              <w:t>共114个，占用面积0.543</w:t>
            </w:r>
            <w:r>
              <w:rPr>
                <w:sz w:val="22"/>
                <w:szCs w:val="22"/>
              </w:rPr>
              <w:t>hm</w:t>
            </w:r>
            <w:r>
              <w:rPr>
                <w:spacing w:val="6"/>
                <w:sz w:val="22"/>
                <w:szCs w:val="22"/>
              </w:rPr>
              <w:t>²,升压站占地面积1.1014</w:t>
            </w:r>
            <w:r>
              <w:rPr>
                <w:sz w:val="22"/>
                <w:szCs w:val="22"/>
              </w:rPr>
              <w:t>hm</w:t>
            </w:r>
            <w:r>
              <w:rPr>
                <w:spacing w:val="6"/>
                <w:sz w:val="22"/>
                <w:szCs w:val="22"/>
              </w:rPr>
              <w:t>²,塔基及升</w:t>
            </w:r>
          </w:p>
        </w:tc>
      </w:tr>
    </w:tbl>
    <w:p w14:paraId="4EA9E6C3">
      <w:pPr>
        <w:pStyle w:val="2"/>
      </w:pPr>
    </w:p>
    <w:p w14:paraId="629F5529">
      <w:pPr>
        <w:sectPr>
          <w:footerReference r:id="rId30" w:type="default"/>
          <w:pgSz w:w="11910" w:h="16840"/>
          <w:pgMar w:top="1431" w:right="1574" w:bottom="1269" w:left="1494" w:header="0" w:footer="1089" w:gutter="0"/>
          <w:cols w:space="720" w:num="1"/>
        </w:sectPr>
      </w:pPr>
    </w:p>
    <w:p w14:paraId="6F65AAAC">
      <w:pPr>
        <w:spacing w:line="93" w:lineRule="exact"/>
      </w:pPr>
    </w:p>
    <w:tbl>
      <w:tblPr>
        <w:tblStyle w:val="5"/>
        <w:tblW w:w="88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298"/>
      </w:tblGrid>
      <w:tr w14:paraId="62EA0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22CC83F1">
            <w:pPr>
              <w:rPr>
                <w:rFonts w:ascii="Arial"/>
                <w:sz w:val="21"/>
              </w:rPr>
            </w:pPr>
          </w:p>
        </w:tc>
        <w:tc>
          <w:tcPr>
            <w:tcW w:w="7298" w:type="dxa"/>
            <w:vAlign w:val="top"/>
          </w:tcPr>
          <w:p w14:paraId="62C29C78">
            <w:pPr>
              <w:pStyle w:val="6"/>
              <w:spacing w:before="34" w:line="359" w:lineRule="auto"/>
              <w:ind w:left="12" w:right="24"/>
              <w:jc w:val="both"/>
            </w:pPr>
            <w:r>
              <w:t>压站永久占地为其他用地。根据现场调查，项目区占地类型为其它草</w:t>
            </w:r>
            <w:r>
              <w:rPr>
                <w:spacing w:val="10"/>
              </w:rPr>
              <w:t xml:space="preserve"> </w:t>
            </w:r>
            <w:r>
              <w:t>地、裸土地、裸岩石砾地、农用地，不涉及</w:t>
            </w:r>
            <w:r>
              <w:rPr>
                <w:spacing w:val="-1"/>
              </w:rPr>
              <w:t>野生动物重要栖息地、珍</w:t>
            </w:r>
            <w:r>
              <w:t xml:space="preserve"> </w:t>
            </w:r>
            <w:r>
              <w:rPr>
                <w:spacing w:val="2"/>
              </w:rPr>
              <w:t>稀濒危和极小种群野生植物重要原生境，项目</w:t>
            </w:r>
            <w:r>
              <w:rPr>
                <w:spacing w:val="1"/>
              </w:rPr>
              <w:t>所在区域不属于云南生</w:t>
            </w:r>
            <w:r>
              <w:t xml:space="preserve"> 物多样性保护优先区域，项目建设不会造成</w:t>
            </w:r>
            <w:r>
              <w:rPr>
                <w:spacing w:val="-1"/>
              </w:rPr>
              <w:t>重要生态系统破坏，不会</w:t>
            </w:r>
            <w:r>
              <w:t xml:space="preserve"> 损害重要物种及其栖息地和生境。项目施工区均为陆地，分布其中的</w:t>
            </w:r>
            <w:r>
              <w:rPr>
                <w:spacing w:val="17"/>
              </w:rPr>
              <w:t xml:space="preserve"> </w:t>
            </w:r>
            <w:r>
              <w:rPr>
                <w:spacing w:val="2"/>
              </w:rPr>
              <w:t>物种与周边一致，本项目建设对生物多样性</w:t>
            </w:r>
            <w:r>
              <w:rPr>
                <w:spacing w:val="1"/>
              </w:rPr>
              <w:t>影响较小，项目建设符合</w:t>
            </w:r>
            <w:r>
              <w:t xml:space="preserve"> </w:t>
            </w:r>
            <w:r>
              <w:rPr>
                <w:spacing w:val="-1"/>
              </w:rPr>
              <w:t>《云南省生物多样性保护条例》。</w:t>
            </w:r>
          </w:p>
          <w:p w14:paraId="6471D624">
            <w:pPr>
              <w:pStyle w:val="6"/>
              <w:spacing w:before="2" w:line="355" w:lineRule="auto"/>
              <w:ind w:left="15" w:right="26" w:firstLine="419"/>
            </w:pPr>
            <w:r>
              <w:rPr>
                <w:b/>
                <w:bCs/>
                <w:spacing w:val="-3"/>
              </w:rPr>
              <w:t>16、与《云南省生物多样性保护战略与行动计划》(2024-2030年</w:t>
            </w:r>
            <w:r>
              <w:rPr>
                <w:spacing w:val="-3"/>
              </w:rPr>
              <w:t>)</w:t>
            </w:r>
            <w:r>
              <w:rPr>
                <w:spacing w:val="4"/>
              </w:rPr>
              <w:t xml:space="preserve"> </w:t>
            </w:r>
            <w:r>
              <w:rPr>
                <w:b/>
                <w:bCs/>
                <w:spacing w:val="-2"/>
              </w:rPr>
              <w:t>的相符性分析</w:t>
            </w:r>
          </w:p>
          <w:p w14:paraId="31478D4A">
            <w:pPr>
              <w:pStyle w:val="6"/>
              <w:spacing w:before="23" w:line="359" w:lineRule="auto"/>
              <w:ind w:left="12" w:firstLine="489"/>
              <w:jc w:val="both"/>
            </w:pPr>
            <w:r>
              <w:t>《云南省生物多样性保护战略与行动计划(2024-2030)》的指导</w:t>
            </w:r>
            <w:r>
              <w:rPr>
                <w:spacing w:val="2"/>
              </w:rPr>
              <w:t xml:space="preserve">  思想：以习近平新时代中国特色社会主义思想为指导，深入贯彻</w:t>
            </w:r>
            <w:r>
              <w:rPr>
                <w:spacing w:val="1"/>
              </w:rPr>
              <w:t>习近</w:t>
            </w:r>
            <w:r>
              <w:t xml:space="preserve"> </w:t>
            </w:r>
            <w:r>
              <w:rPr>
                <w:spacing w:val="2"/>
              </w:rPr>
              <w:t>平生态文明思想，全面贯彻党的二十大精神，牢固树立绿水青山就是</w:t>
            </w:r>
            <w:r>
              <w:t xml:space="preserve"> 金山银山理念，践行“昆明-蒙特利尔全球生物多样性框架”,坚定落 </w:t>
            </w:r>
            <w:r>
              <w:rPr>
                <w:spacing w:val="2"/>
              </w:rPr>
              <w:t>实新时期国家和省生物多样性保护战略部署，立足新发展阶段以</w:t>
            </w:r>
            <w:r>
              <w:rPr>
                <w:spacing w:val="1"/>
              </w:rPr>
              <w:t>有效</w:t>
            </w:r>
            <w:r>
              <w:t xml:space="preserve"> </w:t>
            </w:r>
            <w:r>
              <w:rPr>
                <w:spacing w:val="2"/>
              </w:rPr>
              <w:t>应对生物多样性挑战，全面提高生物多样性保护、可持续利用和惠益</w:t>
            </w:r>
            <w:r>
              <w:t xml:space="preserve"> </w:t>
            </w:r>
            <w:r>
              <w:rPr>
                <w:spacing w:val="2"/>
              </w:rPr>
              <w:t>分享水平，推进生物多样性治理体系和治理能力现代化为目标，将生</w:t>
            </w:r>
            <w:r>
              <w:t xml:space="preserve"> </w:t>
            </w:r>
            <w:r>
              <w:rPr>
                <w:spacing w:val="2"/>
              </w:rPr>
              <w:t>物多样性保护融入“3815”战略、生态文明建设排头兵和</w:t>
            </w:r>
            <w:r>
              <w:rPr>
                <w:spacing w:val="1"/>
              </w:rPr>
              <w:t>壮大“三大</w:t>
            </w:r>
            <w:r>
              <w:t xml:space="preserve"> 经济”全过程，守护好我国重要生物多样性宝库，筑牢西南生态安全 </w:t>
            </w:r>
            <w:r>
              <w:rPr>
                <w:spacing w:val="2"/>
              </w:rPr>
              <w:t>屏障，以生物多样性保护新成就促进生态绿色高质量发展，为美丽中</w:t>
            </w:r>
            <w:r>
              <w:rPr>
                <w:spacing w:val="14"/>
              </w:rPr>
              <w:t xml:space="preserve"> </w:t>
            </w:r>
            <w:r>
              <w:t>国建设作出云南贡献，为全球生物多样性保</w:t>
            </w:r>
            <w:r>
              <w:rPr>
                <w:spacing w:val="-1"/>
              </w:rPr>
              <w:t>护贡献云南智慧和方案。</w:t>
            </w:r>
          </w:p>
          <w:p w14:paraId="167C6434">
            <w:pPr>
              <w:pStyle w:val="6"/>
              <w:spacing w:before="4" w:line="359" w:lineRule="auto"/>
              <w:ind w:left="12" w:firstLine="481"/>
              <w:jc w:val="both"/>
            </w:pPr>
            <w:r>
              <w:rPr>
                <w:spacing w:val="-6"/>
              </w:rPr>
              <w:t>基本原则：尊重自然、保护优先。牢固树立尊重自然、顺应自然、</w:t>
            </w:r>
            <w:r>
              <w:rPr>
                <w:spacing w:val="7"/>
              </w:rPr>
              <w:t xml:space="preserve"> </w:t>
            </w:r>
            <w:r>
              <w:rPr>
                <w:spacing w:val="-2"/>
              </w:rPr>
              <w:t>保护自然的生态文明理念，坚持保护优先，综合运用自然恢复和人工</w:t>
            </w:r>
            <w:r>
              <w:rPr>
                <w:spacing w:val="2"/>
              </w:rPr>
              <w:t xml:space="preserve">  </w:t>
            </w:r>
            <w:r>
              <w:rPr>
                <w:spacing w:val="-2"/>
              </w:rPr>
              <w:t>修复两种手段，因地因时制宜、分区分类施策，对重要生态系统、生</w:t>
            </w:r>
            <w:r>
              <w:rPr>
                <w:spacing w:val="1"/>
              </w:rPr>
              <w:t xml:space="preserve">  </w:t>
            </w:r>
            <w:r>
              <w:rPr>
                <w:spacing w:val="-4"/>
              </w:rPr>
              <w:t>物物种及遗传资源实施有效保护，保障生物安全和生态安全。</w:t>
            </w:r>
          </w:p>
          <w:p w14:paraId="284EE600">
            <w:pPr>
              <w:pStyle w:val="6"/>
              <w:spacing w:before="6" w:line="352" w:lineRule="auto"/>
              <w:ind w:left="12" w:right="5" w:firstLine="539"/>
              <w:jc w:val="both"/>
            </w:pPr>
            <w:r>
              <w:t>绿色发展、惠益共享。将生物多样性保护、可持续利用与惠益分</w:t>
            </w:r>
            <w:r>
              <w:rPr>
                <w:spacing w:val="9"/>
              </w:rPr>
              <w:t xml:space="preserve"> </w:t>
            </w:r>
            <w:r>
              <w:t>享作为推进美丽中国七彩云南建设的重要目标，科学合理和可持续利</w:t>
            </w:r>
            <w:r>
              <w:rPr>
                <w:spacing w:val="16"/>
              </w:rPr>
              <w:t xml:space="preserve"> </w:t>
            </w:r>
            <w:r>
              <w:t>用生物生态资源，建立生态产品价值实现机制，促进公平公正分享利</w:t>
            </w:r>
            <w:r>
              <w:rPr>
                <w:spacing w:val="16"/>
              </w:rPr>
              <w:t xml:space="preserve"> </w:t>
            </w:r>
            <w:r>
              <w:t>用生物遗传资源、自然生态资源所产生的惠益，推动生产和生活方式</w:t>
            </w:r>
            <w:r>
              <w:rPr>
                <w:spacing w:val="8"/>
              </w:rPr>
              <w:t xml:space="preserve"> </w:t>
            </w:r>
            <w:r>
              <w:t>绿色低碳转型，实现生物多样性保护和高质量发展双</w:t>
            </w:r>
            <w:r>
              <w:rPr>
                <w:spacing w:val="-1"/>
              </w:rPr>
              <w:t>赢。</w:t>
            </w:r>
          </w:p>
        </w:tc>
      </w:tr>
    </w:tbl>
    <w:p w14:paraId="4AE322BB">
      <w:pPr>
        <w:pStyle w:val="2"/>
      </w:pPr>
    </w:p>
    <w:p w14:paraId="101B450E">
      <w:pPr>
        <w:sectPr>
          <w:footerReference r:id="rId31" w:type="default"/>
          <w:pgSz w:w="11910" w:h="16840"/>
          <w:pgMar w:top="1431" w:right="1553" w:bottom="1269" w:left="1494" w:header="0" w:footer="1089" w:gutter="0"/>
          <w:cols w:space="720" w:num="1"/>
        </w:sectPr>
      </w:pPr>
    </w:p>
    <w:p w14:paraId="3BDD4A15">
      <w:pPr>
        <w:spacing w:line="93" w:lineRule="exact"/>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297"/>
      </w:tblGrid>
      <w:tr w14:paraId="7BF13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7E8DB3E1">
            <w:pPr>
              <w:rPr>
                <w:rFonts w:ascii="Arial"/>
                <w:sz w:val="21"/>
              </w:rPr>
            </w:pPr>
          </w:p>
        </w:tc>
        <w:tc>
          <w:tcPr>
            <w:tcW w:w="7297" w:type="dxa"/>
            <w:vAlign w:val="top"/>
          </w:tcPr>
          <w:p w14:paraId="53DA647C">
            <w:pPr>
              <w:pStyle w:val="6"/>
              <w:spacing w:before="30" w:line="360" w:lineRule="auto"/>
              <w:ind w:left="12" w:right="52" w:firstLine="469"/>
            </w:pPr>
            <w:r>
              <w:t>政府主导、全民参与。完善体制机制，加强生物多样性保护工作</w:t>
            </w:r>
            <w:r>
              <w:rPr>
                <w:spacing w:val="14"/>
              </w:rPr>
              <w:t xml:space="preserve"> </w:t>
            </w:r>
            <w:r>
              <w:t>统筹协调，强化各级政府生物多样性保护的主体责任和主导作用，鼓</w:t>
            </w:r>
            <w:r>
              <w:rPr>
                <w:spacing w:val="8"/>
              </w:rPr>
              <w:t xml:space="preserve"> </w:t>
            </w:r>
            <w:r>
              <w:rPr>
                <w:spacing w:val="1"/>
              </w:rPr>
              <w:t>励和引导企事业单位、社会组织和公众参与生物</w:t>
            </w:r>
            <w:r>
              <w:t>多样性保护、可持续 利用和惠益分享，形成全社会共同参与生物多样性保护的良好氛围。 持续深化生物多样性保护国际合作，积极拓展国际合作对象、合作领</w:t>
            </w:r>
            <w:r>
              <w:rPr>
                <w:spacing w:val="9"/>
              </w:rPr>
              <w:t xml:space="preserve"> </w:t>
            </w:r>
            <w:r>
              <w:rPr>
                <w:spacing w:val="-1"/>
              </w:rPr>
              <w:t>域和合作项目。</w:t>
            </w:r>
          </w:p>
          <w:p w14:paraId="4E0426E2">
            <w:pPr>
              <w:pStyle w:val="6"/>
              <w:spacing w:before="4" w:line="358" w:lineRule="auto"/>
              <w:ind w:left="12" w:right="50" w:firstLine="489"/>
            </w:pPr>
            <w:r>
              <w:t>项目位于曲靖市马龙区。项目用地已纳入经依法批准的《曲靖市</w:t>
            </w:r>
            <w:r>
              <w:rPr>
                <w:spacing w:val="13"/>
              </w:rPr>
              <w:t xml:space="preserve"> </w:t>
            </w:r>
            <w:r>
              <w:t>马龙区国土空间总体规划(2021-2035)年》,用地不涉及各级自然保</w:t>
            </w:r>
          </w:p>
          <w:p w14:paraId="483B81E6">
            <w:pPr>
              <w:pStyle w:val="6"/>
              <w:spacing w:before="4" w:line="359" w:lineRule="auto"/>
              <w:ind w:left="12"/>
            </w:pPr>
            <w:r>
              <w:rPr>
                <w:spacing w:val="-4"/>
              </w:rPr>
              <w:t>护区，不涉及生态保护红线，不涉及永久基本农田。与《云南省生物</w:t>
            </w:r>
            <w:r>
              <w:rPr>
                <w:spacing w:val="7"/>
              </w:rPr>
              <w:t xml:space="preserve">  </w:t>
            </w:r>
            <w:r>
              <w:rPr>
                <w:spacing w:val="-2"/>
              </w:rPr>
              <w:t>多样性保护战略与行动计划(2024-2030年)》统筹生</w:t>
            </w:r>
            <w:r>
              <w:rPr>
                <w:spacing w:val="-3"/>
              </w:rPr>
              <w:t>物多样性保护与</w:t>
            </w:r>
            <w:r>
              <w:t xml:space="preserve">   </w:t>
            </w:r>
            <w:r>
              <w:rPr>
                <w:spacing w:val="-5"/>
              </w:rPr>
              <w:t>经济社会发展，保护优先、科学利用的指导</w:t>
            </w:r>
            <w:r>
              <w:rPr>
                <w:spacing w:val="-6"/>
              </w:rPr>
              <w:t>思想和基本原则是一致的。</w:t>
            </w:r>
            <w:r>
              <w:t xml:space="preserve"> </w:t>
            </w:r>
            <w:r>
              <w:rPr>
                <w:spacing w:val="-4"/>
              </w:rPr>
              <w:t>本项目与《云南省生物多样性保护战略与行动计划(2024~2030年)》</w:t>
            </w:r>
          </w:p>
          <w:p w14:paraId="7BC3CC31">
            <w:pPr>
              <w:pStyle w:val="6"/>
              <w:spacing w:before="11" w:line="221" w:lineRule="auto"/>
              <w:ind w:left="12"/>
            </w:pPr>
            <w:r>
              <w:t>不冲突。</w:t>
            </w:r>
          </w:p>
          <w:p w14:paraId="5DF581D0">
            <w:pPr>
              <w:pStyle w:val="6"/>
              <w:spacing w:before="158" w:line="219" w:lineRule="auto"/>
              <w:ind w:left="505"/>
            </w:pPr>
            <w:r>
              <w:rPr>
                <w:b/>
                <w:bCs/>
                <w:spacing w:val="-3"/>
              </w:rPr>
              <w:t>17、与《云南省生态环境保护条例》的符合性分析</w:t>
            </w:r>
          </w:p>
          <w:p w14:paraId="75F0730D">
            <w:pPr>
              <w:pStyle w:val="6"/>
              <w:spacing w:before="190" w:line="359" w:lineRule="auto"/>
              <w:ind w:left="12" w:right="34" w:firstLine="469"/>
              <w:jc w:val="both"/>
            </w:pPr>
            <w:r>
              <w:t>《云南省生态环境保护条例》中第三条生态环境保护坚持中</w:t>
            </w:r>
            <w:r>
              <w:rPr>
                <w:spacing w:val="-1"/>
              </w:rPr>
              <w:t>国共</w:t>
            </w:r>
            <w:r>
              <w:t xml:space="preserve"> </w:t>
            </w:r>
            <w:r>
              <w:rPr>
                <w:spacing w:val="1"/>
              </w:rPr>
              <w:t>产党的领导，贯彻习近平生态文明思想，落实绿水青山就是金山银山</w:t>
            </w:r>
            <w:r>
              <w:rPr>
                <w:spacing w:val="9"/>
              </w:rPr>
              <w:t xml:space="preserve"> </w:t>
            </w:r>
            <w:r>
              <w:t>的理念，坚持预防为主、系统治理、生态优先、绿色低碳发展、公众</w:t>
            </w:r>
            <w:r>
              <w:rPr>
                <w:spacing w:val="8"/>
              </w:rPr>
              <w:t xml:space="preserve"> </w:t>
            </w:r>
            <w:r>
              <w:rPr>
                <w:spacing w:val="-1"/>
              </w:rPr>
              <w:t>参与、损害担责的原则。</w:t>
            </w:r>
          </w:p>
          <w:p w14:paraId="156A234E">
            <w:pPr>
              <w:pStyle w:val="6"/>
              <w:spacing w:before="1" w:line="361" w:lineRule="auto"/>
              <w:ind w:left="12" w:right="43" w:firstLine="499"/>
            </w:pPr>
            <w:r>
              <w:t>项目为光伏发电，属绿色清洁能源。项目用地已纳入经依法批准</w:t>
            </w:r>
            <w:r>
              <w:rPr>
                <w:spacing w:val="10"/>
              </w:rPr>
              <w:t xml:space="preserve"> </w:t>
            </w:r>
            <w:r>
              <w:t>的《曲靖市马龙区国土空间总体规划(2021-2035)年》,用地不涉及</w:t>
            </w:r>
          </w:p>
          <w:p w14:paraId="428F02D1">
            <w:pPr>
              <w:pStyle w:val="6"/>
              <w:spacing w:before="1" w:line="360" w:lineRule="auto"/>
              <w:ind w:left="12" w:right="49" w:firstLine="10"/>
            </w:pPr>
            <w:r>
              <w:t>各级自然保护区，不涉及生态保护红线，不涉及永久基本农田。本项</w:t>
            </w:r>
            <w:r>
              <w:rPr>
                <w:spacing w:val="14"/>
              </w:rPr>
              <w:t xml:space="preserve"> </w:t>
            </w:r>
            <w:r>
              <w:t>目与《云南省生态环境保护条例》不冲突。</w:t>
            </w:r>
          </w:p>
          <w:p w14:paraId="7107D948">
            <w:pPr>
              <w:pStyle w:val="6"/>
              <w:spacing w:line="359" w:lineRule="auto"/>
              <w:ind w:left="15" w:right="55" w:firstLine="489"/>
            </w:pPr>
            <w:r>
              <w:rPr>
                <w:b/>
                <w:bCs/>
                <w:spacing w:val="-2"/>
              </w:rPr>
              <w:t>18、与《云南省人民政府印发关于加快光</w:t>
            </w:r>
            <w:r>
              <w:rPr>
                <w:b/>
                <w:bCs/>
                <w:spacing w:val="-3"/>
              </w:rPr>
              <w:t>伏发电发展若干政策措</w:t>
            </w:r>
            <w:r>
              <w:t xml:space="preserve"> </w:t>
            </w:r>
            <w:r>
              <w:rPr>
                <w:b/>
                <w:bCs/>
                <w:spacing w:val="-3"/>
              </w:rPr>
              <w:t>施的通知》(云政发〔2022〕16号)的符合性分析</w:t>
            </w:r>
          </w:p>
          <w:p w14:paraId="6B26F1EB">
            <w:pPr>
              <w:pStyle w:val="6"/>
              <w:spacing w:line="362" w:lineRule="auto"/>
              <w:ind w:left="12" w:right="104" w:firstLine="469"/>
            </w:pPr>
            <w:r>
              <w:rPr>
                <w:spacing w:val="-1"/>
              </w:rPr>
              <w:t>《云南省人民政府印发关于加快光伏发电发展若干政策措施的通</w:t>
            </w:r>
            <w:r>
              <w:rPr>
                <w:spacing w:val="7"/>
              </w:rPr>
              <w:t xml:space="preserve"> </w:t>
            </w:r>
            <w:r>
              <w:rPr>
                <w:spacing w:val="1"/>
              </w:rPr>
              <w:t>知》(云政发〔2022〕16号)中</w:t>
            </w:r>
          </w:p>
          <w:p w14:paraId="38BE318E">
            <w:pPr>
              <w:pStyle w:val="6"/>
              <w:spacing w:line="220" w:lineRule="auto"/>
              <w:ind w:left="482"/>
            </w:pPr>
            <w:r>
              <w:rPr>
                <w:spacing w:val="-1"/>
              </w:rPr>
              <w:t>一、全面有序放开</w:t>
            </w:r>
          </w:p>
          <w:p w14:paraId="263A8BB0">
            <w:pPr>
              <w:pStyle w:val="6"/>
              <w:spacing w:before="180" w:line="216" w:lineRule="auto"/>
              <w:ind w:left="601"/>
            </w:pPr>
            <w:r>
              <w:t>(一)建立资源图和项目库。严守“三线一单”,组织各州、市</w:t>
            </w:r>
          </w:p>
          <w:p w14:paraId="58CED25E">
            <w:pPr>
              <w:pStyle w:val="6"/>
              <w:spacing w:before="171" w:line="219" w:lineRule="auto"/>
              <w:ind w:left="12"/>
            </w:pPr>
            <w:r>
              <w:t>开展光伏发电资源全面清查，统筹资源条件</w:t>
            </w:r>
            <w:r>
              <w:rPr>
                <w:spacing w:val="-1"/>
              </w:rPr>
              <w:t>、电力供需、生态环境保</w:t>
            </w:r>
          </w:p>
        </w:tc>
      </w:tr>
    </w:tbl>
    <w:p w14:paraId="592C1522">
      <w:pPr>
        <w:pStyle w:val="2"/>
      </w:pPr>
    </w:p>
    <w:p w14:paraId="571ADBFE">
      <w:pPr>
        <w:sectPr>
          <w:footerReference r:id="rId32" w:type="default"/>
          <w:pgSz w:w="11910" w:h="16840"/>
          <w:pgMar w:top="1431" w:right="1554" w:bottom="1269" w:left="1494" w:header="0" w:footer="1089" w:gutter="0"/>
          <w:cols w:space="720" w:num="1"/>
        </w:sectPr>
      </w:pPr>
    </w:p>
    <w:p w14:paraId="05F238E3">
      <w:pPr>
        <w:spacing w:line="93" w:lineRule="exact"/>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297"/>
      </w:tblGrid>
      <w:tr w14:paraId="2D283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39F3E748">
            <w:pPr>
              <w:rPr>
                <w:rFonts w:ascii="Arial"/>
                <w:sz w:val="21"/>
              </w:rPr>
            </w:pPr>
          </w:p>
        </w:tc>
        <w:tc>
          <w:tcPr>
            <w:tcW w:w="7297" w:type="dxa"/>
            <w:vAlign w:val="top"/>
          </w:tcPr>
          <w:p w14:paraId="0E450127">
            <w:pPr>
              <w:pStyle w:val="6"/>
              <w:spacing w:before="23" w:line="360" w:lineRule="auto"/>
              <w:ind w:left="12"/>
              <w:jc w:val="both"/>
            </w:pPr>
            <w:r>
              <w:rPr>
                <w:spacing w:val="-6"/>
              </w:rPr>
              <w:t>护。要素保障等因素，形成资源分布“一张图”。发挥规划统筹和引领</w:t>
            </w:r>
            <w:r>
              <w:rPr>
                <w:spacing w:val="18"/>
              </w:rPr>
              <w:t xml:space="preserve"> </w:t>
            </w:r>
            <w:r>
              <w:t>作用，将光伏发电项目及配套接网工程统一纳入国土空间规划，搭建</w:t>
            </w:r>
            <w:r>
              <w:rPr>
                <w:spacing w:val="13"/>
              </w:rPr>
              <w:t xml:space="preserve"> </w:t>
            </w:r>
            <w:r>
              <w:t>省级统管理的项目库，入库项目须充分衔接省级和州、市规划，未入</w:t>
            </w:r>
            <w:r>
              <w:rPr>
                <w:spacing w:val="2"/>
              </w:rPr>
              <w:t xml:space="preserve"> </w:t>
            </w:r>
            <w:r>
              <w:rPr>
                <w:spacing w:val="-2"/>
              </w:rPr>
              <w:t>库项目各州、市不得开发建设。(省能源局牵头；省自然资源厅、省生</w:t>
            </w:r>
            <w:r>
              <w:rPr>
                <w:spacing w:val="15"/>
              </w:rPr>
              <w:t xml:space="preserve"> </w:t>
            </w:r>
            <w:r>
              <w:t>态环境厅、省林草局，云南电网公司，各州、市人</w:t>
            </w:r>
            <w:r>
              <w:rPr>
                <w:spacing w:val="-1"/>
              </w:rPr>
              <w:t>民政府配合)。</w:t>
            </w:r>
          </w:p>
          <w:p w14:paraId="22AAE8D9">
            <w:pPr>
              <w:pStyle w:val="6"/>
              <w:spacing w:line="218" w:lineRule="auto"/>
              <w:ind w:left="542"/>
            </w:pPr>
            <w:r>
              <w:t>2023年6月13日，云南省发展和改革委员会、云南省能源</w:t>
            </w:r>
          </w:p>
          <w:p w14:paraId="41D4C4AB">
            <w:pPr>
              <w:pStyle w:val="6"/>
              <w:spacing w:before="185" w:line="219" w:lineRule="auto"/>
              <w:ind w:left="12"/>
            </w:pPr>
            <w:r>
              <w:t>局联合发布了《云南省2023年第一批新能源项目开发建设方案的通</w:t>
            </w:r>
          </w:p>
          <w:p w14:paraId="23D9F8E6">
            <w:pPr>
              <w:pStyle w:val="6"/>
              <w:spacing w:before="203" w:line="216" w:lineRule="auto"/>
              <w:ind w:left="22"/>
            </w:pPr>
            <w:r>
              <w:t>知》(云能源水电〔2023〕170号),本项目为云南省2023年第一批</w:t>
            </w:r>
          </w:p>
          <w:p w14:paraId="73C3FF65">
            <w:pPr>
              <w:pStyle w:val="6"/>
              <w:spacing w:before="172" w:line="358" w:lineRule="auto"/>
              <w:ind w:left="12"/>
              <w:jc w:val="both"/>
            </w:pPr>
            <w:r>
              <w:rPr>
                <w:spacing w:val="-5"/>
              </w:rPr>
              <w:t>新能源项目建设清单中的项目，序号为“34几沃梁子农</w:t>
            </w:r>
            <w:r>
              <w:rPr>
                <w:spacing w:val="-6"/>
              </w:rPr>
              <w:t>光互补光伏发电</w:t>
            </w:r>
            <w:r>
              <w:t xml:space="preserve"> </w:t>
            </w:r>
            <w:r>
              <w:rPr>
                <w:spacing w:val="-6"/>
              </w:rPr>
              <w:t>项目”。项目开发符合《云南省人民政府印发关于加快光伏发电发展若</w:t>
            </w:r>
            <w:r>
              <w:rPr>
                <w:spacing w:val="18"/>
              </w:rPr>
              <w:t xml:space="preserve"> </w:t>
            </w:r>
            <w:r>
              <w:rPr>
                <w:spacing w:val="-1"/>
              </w:rPr>
              <w:t>干政策措施的通知》(云政发〔2022〕16号)要求。</w:t>
            </w:r>
          </w:p>
          <w:p w14:paraId="78A2EBFD">
            <w:pPr>
              <w:pStyle w:val="6"/>
              <w:spacing w:before="2" w:line="361" w:lineRule="auto"/>
              <w:ind w:left="15" w:right="34" w:firstLine="509"/>
            </w:pPr>
            <w:r>
              <w:rPr>
                <w:b/>
                <w:bCs/>
                <w:spacing w:val="-2"/>
              </w:rPr>
              <w:t>19、与《云南省发展和改革委员会云南省</w:t>
            </w:r>
            <w:r>
              <w:rPr>
                <w:b/>
                <w:bCs/>
                <w:spacing w:val="-3"/>
              </w:rPr>
              <w:t>能源局关于进一步规范</w:t>
            </w:r>
            <w:r>
              <w:t xml:space="preserve"> </w:t>
            </w:r>
            <w:r>
              <w:rPr>
                <w:b/>
                <w:bCs/>
                <w:spacing w:val="-1"/>
              </w:rPr>
              <w:t>开发行为加快光伏发电发展的通知》(云发改能源〔2023</w:t>
            </w:r>
            <w:r>
              <w:rPr>
                <w:b/>
                <w:bCs/>
                <w:spacing w:val="-2"/>
              </w:rPr>
              <w:t>〕264号)</w:t>
            </w:r>
          </w:p>
          <w:p w14:paraId="1798EC3E">
            <w:pPr>
              <w:pStyle w:val="6"/>
              <w:spacing w:line="219" w:lineRule="auto"/>
              <w:ind w:left="15"/>
            </w:pPr>
            <w:r>
              <w:rPr>
                <w:b/>
                <w:bCs/>
                <w:spacing w:val="-2"/>
              </w:rPr>
              <w:t>的符合性分析</w:t>
            </w:r>
          </w:p>
          <w:p w14:paraId="0BEFFF2E">
            <w:pPr>
              <w:pStyle w:val="6"/>
              <w:spacing w:before="177" w:line="362" w:lineRule="auto"/>
              <w:ind w:left="12" w:right="52" w:firstLine="489"/>
            </w:pPr>
            <w:r>
              <w:t>《云南省发展和改革委员会云南省能源局关于进一步规范开发行</w:t>
            </w:r>
            <w:r>
              <w:rPr>
                <w:spacing w:val="11"/>
              </w:rPr>
              <w:t xml:space="preserve"> </w:t>
            </w:r>
            <w:r>
              <w:rPr>
                <w:spacing w:val="1"/>
              </w:rPr>
              <w:t>为加快光伏发电发展的通知》(云发改能源〔2023〕</w:t>
            </w:r>
            <w:r>
              <w:t>264号)中</w:t>
            </w:r>
          </w:p>
          <w:p w14:paraId="50EF8123">
            <w:pPr>
              <w:pStyle w:val="6"/>
              <w:spacing w:before="3" w:line="359" w:lineRule="auto"/>
              <w:ind w:firstLine="474"/>
            </w:pPr>
            <w:r>
              <w:rPr>
                <w:spacing w:val="-5"/>
              </w:rPr>
              <w:t>一、建立光伏资源“一张图”、“一个库”。各州(市)根据新的”</w:t>
            </w:r>
            <w:r>
              <w:rPr>
                <w:spacing w:val="1"/>
              </w:rPr>
              <w:t xml:space="preserve"> </w:t>
            </w:r>
            <w:r>
              <w:rPr>
                <w:spacing w:val="-5"/>
              </w:rPr>
              <w:t>“三区三线”和年度变更调查成果开展光伏发电资源的全面排查，统</w:t>
            </w:r>
            <w:r>
              <w:rPr>
                <w:spacing w:val="9"/>
              </w:rPr>
              <w:t xml:space="preserve">  </w:t>
            </w:r>
            <w:r>
              <w:rPr>
                <w:spacing w:val="-5"/>
              </w:rPr>
              <w:t>筹资源条件、电力供需、生态环境保护、要素保障等因素，</w:t>
            </w:r>
            <w:r>
              <w:rPr>
                <w:spacing w:val="-6"/>
              </w:rPr>
              <w:t>经州(市)</w:t>
            </w:r>
            <w:r>
              <w:t xml:space="preserve">   </w:t>
            </w:r>
            <w:r>
              <w:rPr>
                <w:spacing w:val="-12"/>
              </w:rPr>
              <w:t>要素保障部门审核并出具书面审核意见后，由州(市)人民政府报送省发</w:t>
            </w:r>
            <w:r>
              <w:rPr>
                <w:spacing w:val="5"/>
              </w:rPr>
              <w:t xml:space="preserve">  </w:t>
            </w:r>
            <w:r>
              <w:rPr>
                <w:spacing w:val="-6"/>
              </w:rPr>
              <w:t>展改革委、省能源局，按照应统尽统的原则汇总形成全省光伏资源分</w:t>
            </w:r>
            <w:r>
              <w:t xml:space="preserve">   </w:t>
            </w:r>
            <w:r>
              <w:rPr>
                <w:spacing w:val="-8"/>
              </w:rPr>
              <w:t>布“一张图”,省发展改革委、省能源局会同省自然资源厅、省</w:t>
            </w:r>
            <w:r>
              <w:rPr>
                <w:spacing w:val="-9"/>
              </w:rPr>
              <w:t>生态环</w:t>
            </w:r>
            <w:r>
              <w:t xml:space="preserve">  </w:t>
            </w:r>
            <w:r>
              <w:rPr>
                <w:spacing w:val="-6"/>
              </w:rPr>
              <w:t>境厅、省林草局等，从要素保障、落实并网</w:t>
            </w:r>
            <w:r>
              <w:rPr>
                <w:spacing w:val="-7"/>
              </w:rPr>
              <w:t>条件等方面对光伏资源分</w:t>
            </w:r>
            <w:r>
              <w:t xml:space="preserve">   </w:t>
            </w:r>
            <w:r>
              <w:rPr>
                <w:spacing w:val="-6"/>
              </w:rPr>
              <w:t>布"一张图“进行会审，按照“集中连片、整体推进、经</w:t>
            </w:r>
            <w:r>
              <w:rPr>
                <w:spacing w:val="-7"/>
              </w:rPr>
              <w:t>济可行"的原</w:t>
            </w:r>
            <w:r>
              <w:t xml:space="preserve">   </w:t>
            </w:r>
            <w:r>
              <w:rPr>
                <w:spacing w:val="-5"/>
              </w:rPr>
              <w:t>则提出项目，纳入省级项目库统一管理，电网企业对“十四五“拟建、</w:t>
            </w:r>
            <w:r>
              <w:rPr>
                <w:spacing w:val="1"/>
              </w:rPr>
              <w:t xml:space="preserve"> </w:t>
            </w:r>
            <w:r>
              <w:rPr>
                <w:spacing w:val="-6"/>
              </w:rPr>
              <w:t>在建项目于1个月内完成入库项目接入系统方案规划，省级项目库实</w:t>
            </w:r>
          </w:p>
          <w:p w14:paraId="15F60198">
            <w:pPr>
              <w:pStyle w:val="6"/>
              <w:spacing w:line="350" w:lineRule="auto"/>
              <w:ind w:left="12"/>
            </w:pPr>
            <w:r>
              <w:rPr>
                <w:spacing w:val="-5"/>
              </w:rPr>
              <w:t>行动态管理，省发展改革委。省能源局每半年组织州(市</w:t>
            </w:r>
            <w:r>
              <w:rPr>
                <w:spacing w:val="-6"/>
              </w:rPr>
              <w:t>)调整一次，电</w:t>
            </w:r>
            <w:r>
              <w:t xml:space="preserve"> 网企业同步完成接入系统规划调整。不在省级项目库的项目不得纳入 </w:t>
            </w:r>
            <w:r>
              <w:rPr>
                <w:spacing w:val="-1"/>
              </w:rPr>
              <w:t>年度建设规模。</w:t>
            </w:r>
          </w:p>
        </w:tc>
      </w:tr>
    </w:tbl>
    <w:p w14:paraId="5331FECC">
      <w:pPr>
        <w:pStyle w:val="2"/>
      </w:pPr>
    </w:p>
    <w:p w14:paraId="576B8D0A">
      <w:pPr>
        <w:sectPr>
          <w:footerReference r:id="rId33" w:type="default"/>
          <w:pgSz w:w="11910" w:h="16840"/>
          <w:pgMar w:top="1431" w:right="1554" w:bottom="1255" w:left="1494" w:header="0" w:footer="1093" w:gutter="0"/>
          <w:cols w:space="720" w:num="1"/>
        </w:sectPr>
      </w:pPr>
    </w:p>
    <w:p w14:paraId="2145BB4C">
      <w:pPr>
        <w:spacing w:line="93" w:lineRule="exact"/>
      </w:pPr>
    </w:p>
    <w:tbl>
      <w:tblPr>
        <w:tblStyle w:val="5"/>
        <w:tblW w:w="88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7301"/>
      </w:tblGrid>
      <w:tr w14:paraId="629C8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9" w:hRule="atLeast"/>
        </w:trPr>
        <w:tc>
          <w:tcPr>
            <w:tcW w:w="1553" w:type="dxa"/>
            <w:vAlign w:val="top"/>
          </w:tcPr>
          <w:p w14:paraId="5ED8E042">
            <w:pPr>
              <w:rPr>
                <w:rFonts w:ascii="Arial"/>
                <w:sz w:val="21"/>
              </w:rPr>
            </w:pPr>
          </w:p>
        </w:tc>
        <w:tc>
          <w:tcPr>
            <w:tcW w:w="7301" w:type="dxa"/>
            <w:vAlign w:val="top"/>
          </w:tcPr>
          <w:p w14:paraId="1ED35BAF">
            <w:pPr>
              <w:pStyle w:val="6"/>
              <w:spacing w:before="23" w:line="219" w:lineRule="auto"/>
              <w:ind w:left="542"/>
            </w:pPr>
            <w:r>
              <w:t>2023年6月13日，云南省发展和改革委员会、云南省能源</w:t>
            </w:r>
          </w:p>
          <w:p w14:paraId="1CC4D747">
            <w:pPr>
              <w:pStyle w:val="6"/>
              <w:spacing w:before="185" w:line="360" w:lineRule="auto"/>
              <w:ind w:firstLine="127"/>
              <w:jc w:val="both"/>
            </w:pPr>
            <w:r>
              <w:rPr>
                <w:spacing w:val="-4"/>
              </w:rPr>
              <w:t>局联合发布了《云南省发展和改革委员会云南省能源局关于进一步规</w:t>
            </w:r>
            <w:r>
              <w:rPr>
                <w:spacing w:val="14"/>
              </w:rPr>
              <w:t xml:space="preserve"> </w:t>
            </w:r>
            <w:r>
              <w:rPr>
                <w:spacing w:val="2"/>
              </w:rPr>
              <w:t>范开发行为加快光伏发电发展的通知》(云发改能源〔2023〕264号),</w:t>
            </w:r>
            <w:r>
              <w:rPr>
                <w:spacing w:val="4"/>
              </w:rPr>
              <w:t xml:space="preserve"> </w:t>
            </w:r>
            <w:r>
              <w:rPr>
                <w:spacing w:val="1"/>
              </w:rPr>
              <w:t xml:space="preserve">本项目为云南省2023年第一批新能源项目建设清单中的项目，序号为 </w:t>
            </w:r>
            <w:r>
              <w:rPr>
                <w:spacing w:val="-5"/>
              </w:rPr>
              <w:t>“34几沃梁子农光互补光伏发电项目”。项目开发符合《云南省发展和</w:t>
            </w:r>
            <w:r>
              <w:rPr>
                <w:spacing w:val="9"/>
              </w:rPr>
              <w:t xml:space="preserve"> </w:t>
            </w:r>
            <w:r>
              <w:t>改革委员会云南省能源局关于进一步规范开发行为加快光伏发电发展</w:t>
            </w:r>
            <w:r>
              <w:rPr>
                <w:spacing w:val="14"/>
              </w:rPr>
              <w:t xml:space="preserve"> </w:t>
            </w:r>
            <w:r>
              <w:rPr>
                <w:spacing w:val="2"/>
              </w:rPr>
              <w:t>的通知》(云发改能源〔2023〕264号</w:t>
            </w:r>
            <w:r>
              <w:rPr>
                <w:spacing w:val="1"/>
              </w:rPr>
              <w:t>)要求。</w:t>
            </w:r>
          </w:p>
          <w:p w14:paraId="15514FE1">
            <w:pPr>
              <w:pStyle w:val="6"/>
              <w:spacing w:before="2" w:line="362" w:lineRule="auto"/>
              <w:ind w:left="15" w:right="217" w:firstLine="469"/>
            </w:pPr>
            <w:r>
              <w:rPr>
                <w:b/>
                <w:bCs/>
                <w:spacing w:val="-3"/>
              </w:rPr>
              <w:t>20、与《云南省在适宜地区适度开发利用新能源规划》(云能源</w:t>
            </w:r>
            <w:r>
              <w:t xml:space="preserve"> </w:t>
            </w:r>
            <w:r>
              <w:rPr>
                <w:b/>
                <w:bCs/>
                <w:spacing w:val="-4"/>
              </w:rPr>
              <w:t>水电〔2020〕153号)的符合性分析</w:t>
            </w:r>
          </w:p>
          <w:p w14:paraId="1E2D9A70">
            <w:pPr>
              <w:pStyle w:val="6"/>
              <w:spacing w:line="219" w:lineRule="auto"/>
              <w:ind w:left="481"/>
            </w:pPr>
            <w:r>
              <w:t>《云南省在适宜地区适度开发利用新能源规划》(云能源</w:t>
            </w:r>
            <w:r>
              <w:rPr>
                <w:spacing w:val="-1"/>
              </w:rPr>
              <w:t>水电</w:t>
            </w:r>
          </w:p>
          <w:p w14:paraId="16A302D7">
            <w:pPr>
              <w:pStyle w:val="6"/>
              <w:spacing w:before="182" w:line="357" w:lineRule="auto"/>
              <w:ind w:left="12" w:right="79" w:firstLine="9"/>
            </w:pPr>
            <w:r>
              <w:rPr>
                <w:spacing w:val="4"/>
              </w:rPr>
              <w:t>〔2020〕153号)中第三章规划布局依</w:t>
            </w:r>
            <w:r>
              <w:rPr>
                <w:spacing w:val="3"/>
              </w:rPr>
              <w:t>据风能及太阳能资源条件，遵</w:t>
            </w:r>
            <w:r>
              <w:t xml:space="preserve">  守项目建设选址相关政策要求，优化项目布局，巩固脱贫攻坚成</w:t>
            </w:r>
            <w:r>
              <w:rPr>
                <w:spacing w:val="-1"/>
              </w:rPr>
              <w:t>果，</w:t>
            </w:r>
            <w:r>
              <w:t xml:space="preserve"> </w:t>
            </w:r>
            <w:r>
              <w:rPr>
                <w:spacing w:val="-1"/>
              </w:rPr>
              <w:t>实现平价、低价上网目标。</w:t>
            </w:r>
          </w:p>
          <w:p w14:paraId="4DFD185D">
            <w:pPr>
              <w:pStyle w:val="6"/>
              <w:spacing w:line="219" w:lineRule="auto"/>
              <w:ind w:left="492"/>
            </w:pPr>
            <w:r>
              <w:rPr>
                <w:spacing w:val="3"/>
              </w:rPr>
              <w:t>第一节选址原则</w:t>
            </w:r>
          </w:p>
          <w:p w14:paraId="39FE74DA">
            <w:pPr>
              <w:pStyle w:val="6"/>
              <w:spacing w:before="184" w:line="360" w:lineRule="auto"/>
              <w:ind w:left="12" w:right="22" w:firstLine="469"/>
              <w:jc w:val="both"/>
            </w:pPr>
            <w:r>
              <w:t>项目选址应符合生态环境保护政策。应避让自然保护区、国家公</w:t>
            </w:r>
            <w:r>
              <w:rPr>
                <w:spacing w:val="13"/>
              </w:rPr>
              <w:t xml:space="preserve"> </w:t>
            </w:r>
            <w:r>
              <w:rPr>
                <w:spacing w:val="2"/>
              </w:rPr>
              <w:t>园、风景名胜区、文物古迹、湿地保护区、饮用水水源保</w:t>
            </w:r>
            <w:r>
              <w:rPr>
                <w:spacing w:val="1"/>
              </w:rPr>
              <w:t>护区、集中</w:t>
            </w:r>
            <w:r>
              <w:t xml:space="preserve"> 式饮用水水源地、生物多样性保护区域、特殊生态环境及特有物种保</w:t>
            </w:r>
            <w:r>
              <w:rPr>
                <w:spacing w:val="17"/>
              </w:rPr>
              <w:t xml:space="preserve"> </w:t>
            </w:r>
            <w:r>
              <w:rPr>
                <w:spacing w:val="1"/>
              </w:rPr>
              <w:t>护区域、鸟类迁徙重要通道及其栖息地、民俗保护区等生</w:t>
            </w:r>
            <w:r>
              <w:t xml:space="preserve">态保护红线 </w:t>
            </w:r>
            <w:r>
              <w:rPr>
                <w:spacing w:val="-1"/>
              </w:rPr>
              <w:t>和生态敏感区域。</w:t>
            </w:r>
          </w:p>
          <w:p w14:paraId="30601314">
            <w:pPr>
              <w:pStyle w:val="6"/>
              <w:spacing w:before="3" w:line="358" w:lineRule="auto"/>
              <w:ind w:left="12" w:firstLine="462"/>
            </w:pPr>
            <w:r>
              <w:rPr>
                <w:spacing w:val="-5"/>
              </w:rPr>
              <w:t>项目选址应符合国土用地政策。禁止占用基本农田，应避让坝区，</w:t>
            </w:r>
            <w:r>
              <w:t xml:space="preserve"> </w:t>
            </w:r>
            <w:r>
              <w:rPr>
                <w:spacing w:val="-3"/>
              </w:rPr>
              <w:t>应优先使用石漠化、荒漠化土地和未利用土地</w:t>
            </w:r>
            <w:r>
              <w:rPr>
                <w:spacing w:val="-4"/>
              </w:rPr>
              <w:t>。占用一般耕地的农光</w:t>
            </w:r>
            <w:r>
              <w:t xml:space="preserve">  </w:t>
            </w:r>
            <w:r>
              <w:rPr>
                <w:spacing w:val="-5"/>
              </w:rPr>
              <w:t>互补光伏发电项目，应抬高光伏组件安装高度，不改</w:t>
            </w:r>
            <w:r>
              <w:rPr>
                <w:spacing w:val="-6"/>
              </w:rPr>
              <w:t>变土地使用性质。</w:t>
            </w:r>
          </w:p>
          <w:p w14:paraId="26F61075">
            <w:pPr>
              <w:pStyle w:val="6"/>
              <w:spacing w:before="13" w:line="358" w:lineRule="auto"/>
              <w:ind w:left="12" w:firstLine="482"/>
            </w:pPr>
            <w:r>
              <w:t>项目选址应符合林业用地政策。风电项目应避让天然乔木林地、</w:t>
            </w:r>
            <w:r>
              <w:rPr>
                <w:spacing w:val="14"/>
              </w:rPr>
              <w:t xml:space="preserve"> </w:t>
            </w:r>
            <w:r>
              <w:rPr>
                <w:spacing w:val="-3"/>
              </w:rPr>
              <w:t>年降雨量400毫米以下区域的有林地、国家一级公益林地和国家二级</w:t>
            </w:r>
            <w:r>
              <w:rPr>
                <w:spacing w:val="5"/>
              </w:rPr>
              <w:t xml:space="preserve">   </w:t>
            </w:r>
            <w:r>
              <w:t xml:space="preserve">公益林中的有林地。光伏项目应避让天然林保护工程区和天然林地， </w:t>
            </w:r>
            <w:r>
              <w:rPr>
                <w:spacing w:val="-5"/>
              </w:rPr>
              <w:t>光伏电池组件阵列应避让有林地、疏林地、未成林造</w:t>
            </w:r>
            <w:r>
              <w:rPr>
                <w:spacing w:val="-6"/>
              </w:rPr>
              <w:t>林地、采伐迹地、</w:t>
            </w:r>
            <w:r>
              <w:t xml:space="preserve"> </w:t>
            </w:r>
            <w:r>
              <w:rPr>
                <w:spacing w:val="-2"/>
              </w:rPr>
              <w:t>火烧迹地，以及年降雨量400毫米以下区域覆盖度高于30</w:t>
            </w:r>
            <w:r>
              <w:rPr>
                <w:spacing w:val="-3"/>
              </w:rPr>
              <w:t>%和年降雨</w:t>
            </w:r>
          </w:p>
          <w:p w14:paraId="22A02B8E">
            <w:pPr>
              <w:pStyle w:val="6"/>
              <w:spacing w:before="22" w:line="219" w:lineRule="auto"/>
              <w:ind w:left="12"/>
            </w:pPr>
            <w:r>
              <w:t>量400毫米以上区域覆盖度高于50%的灌木林</w:t>
            </w:r>
            <w:r>
              <w:rPr>
                <w:spacing w:val="-1"/>
              </w:rPr>
              <w:t>地。</w:t>
            </w:r>
          </w:p>
          <w:p w14:paraId="5C170664">
            <w:pPr>
              <w:pStyle w:val="6"/>
              <w:spacing w:before="155" w:line="219" w:lineRule="auto"/>
              <w:ind w:left="482"/>
            </w:pPr>
            <w:r>
              <w:t>项目选址应符合国土空间规划、实现景观保护。应远离滇中城市</w:t>
            </w:r>
          </w:p>
        </w:tc>
      </w:tr>
    </w:tbl>
    <w:p w14:paraId="091E3D16">
      <w:pPr>
        <w:pStyle w:val="2"/>
      </w:pPr>
    </w:p>
    <w:p w14:paraId="0BBB8890">
      <w:pPr>
        <w:sectPr>
          <w:footerReference r:id="rId34" w:type="default"/>
          <w:pgSz w:w="11910" w:h="16840"/>
          <w:pgMar w:top="1431" w:right="1550" w:bottom="1255" w:left="1494" w:header="0" w:footer="1093" w:gutter="0"/>
          <w:cols w:space="720" w:num="1"/>
        </w:sectPr>
      </w:pPr>
    </w:p>
    <w:p w14:paraId="5F4EDA82">
      <w:pPr>
        <w:spacing w:line="83" w:lineRule="exact"/>
      </w:pPr>
    </w:p>
    <w:tbl>
      <w:tblPr>
        <w:tblStyle w:val="5"/>
        <w:tblW w:w="88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3"/>
        <w:gridCol w:w="7268"/>
      </w:tblGrid>
      <w:tr w14:paraId="19A38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0" w:hRule="atLeast"/>
        </w:trPr>
        <w:tc>
          <w:tcPr>
            <w:tcW w:w="1583" w:type="dxa"/>
            <w:vAlign w:val="top"/>
          </w:tcPr>
          <w:p w14:paraId="67F67FCB">
            <w:pPr>
              <w:rPr>
                <w:rFonts w:ascii="Arial"/>
                <w:sz w:val="21"/>
              </w:rPr>
            </w:pPr>
          </w:p>
        </w:tc>
        <w:tc>
          <w:tcPr>
            <w:tcW w:w="7268" w:type="dxa"/>
            <w:vAlign w:val="top"/>
          </w:tcPr>
          <w:p w14:paraId="33D358ED">
            <w:pPr>
              <w:pStyle w:val="6"/>
              <w:spacing w:before="43" w:line="359" w:lineRule="auto"/>
              <w:ind w:left="12" w:right="25"/>
              <w:jc w:val="both"/>
            </w:pPr>
            <w:r>
              <w:rPr>
                <w:spacing w:val="1"/>
              </w:rPr>
              <w:t>群规划的主体城市、一般城市和新兴城镇，</w:t>
            </w:r>
            <w:r>
              <w:t xml:space="preserve">远离城市及城镇的面山区 </w:t>
            </w:r>
            <w:r>
              <w:rPr>
                <w:spacing w:val="-1"/>
              </w:rPr>
              <w:t>域。应远离金沙江及长江一级支流岸线保护范围。风电项目风机布置</w:t>
            </w:r>
            <w:r>
              <w:rPr>
                <w:spacing w:val="18"/>
              </w:rPr>
              <w:t xml:space="preserve"> </w:t>
            </w:r>
            <w:r>
              <w:rPr>
                <w:spacing w:val="-1"/>
              </w:rPr>
              <w:t>位置应避让高速公路、高速铁路的可视区域。</w:t>
            </w:r>
          </w:p>
          <w:p w14:paraId="3F37C25F">
            <w:pPr>
              <w:pStyle w:val="6"/>
              <w:spacing w:before="1" w:line="361" w:lineRule="auto"/>
              <w:ind w:left="12" w:right="24" w:firstLine="469"/>
            </w:pPr>
            <w:r>
              <w:rPr>
                <w:spacing w:val="1"/>
              </w:rPr>
              <w:t>项目选址应优先布局在贫困县、贫困乡镇、贫困村所处的贫困山</w:t>
            </w:r>
            <w:r>
              <w:rPr>
                <w:spacing w:val="2"/>
              </w:rPr>
              <w:t xml:space="preserve"> </w:t>
            </w:r>
            <w:r>
              <w:rPr>
                <w:spacing w:val="-14"/>
              </w:rPr>
              <w:t>区</w:t>
            </w:r>
            <w:r>
              <w:rPr>
                <w:spacing w:val="-59"/>
              </w:rPr>
              <w:t xml:space="preserve"> </w:t>
            </w:r>
            <w:r>
              <w:rPr>
                <w:spacing w:val="-14"/>
              </w:rPr>
              <w:t>。</w:t>
            </w:r>
          </w:p>
          <w:p w14:paraId="7041F84B">
            <w:pPr>
              <w:pStyle w:val="6"/>
              <w:spacing w:before="13" w:line="359" w:lineRule="auto"/>
              <w:ind w:left="12" w:firstLine="451"/>
            </w:pPr>
            <w:r>
              <w:rPr>
                <w:spacing w:val="-4"/>
              </w:rPr>
              <w:t>根据项目用地预审批复，项目用地为供电用地，用地范围不涉及</w:t>
            </w:r>
            <w:r>
              <w:rPr>
                <w:spacing w:val="3"/>
              </w:rPr>
              <w:t xml:space="preserve">  </w:t>
            </w:r>
            <w:r>
              <w:rPr>
                <w:spacing w:val="-4"/>
              </w:rPr>
              <w:t>基本农田，应避让坝区，应优先使用石漠化、荒漠化土地和未利用土</w:t>
            </w:r>
            <w:r>
              <w:rPr>
                <w:spacing w:val="2"/>
              </w:rPr>
              <w:t xml:space="preserve">  </w:t>
            </w:r>
            <w:r>
              <w:rPr>
                <w:spacing w:val="-6"/>
              </w:rPr>
              <w:t>地，项目选址不涉及自然保护区、国家公园、风</w:t>
            </w:r>
            <w:r>
              <w:rPr>
                <w:spacing w:val="-7"/>
              </w:rPr>
              <w:t>景名胜区、文物古迹、</w:t>
            </w:r>
            <w:r>
              <w:t xml:space="preserve"> </w:t>
            </w:r>
            <w:r>
              <w:rPr>
                <w:spacing w:val="-6"/>
              </w:rPr>
              <w:t>生态保护红线和生态敏感区域。根据曲靖市生态</w:t>
            </w:r>
            <w:r>
              <w:rPr>
                <w:spacing w:val="-7"/>
              </w:rPr>
              <w:t>环境局马龙分局意见，</w:t>
            </w:r>
            <w:r>
              <w:t xml:space="preserve"> </w:t>
            </w:r>
            <w:r>
              <w:rPr>
                <w:spacing w:val="-4"/>
              </w:rPr>
              <w:t>项目用地不占用、饮用水水源保护区、集中式饮用水水源地。项目区</w:t>
            </w:r>
            <w:r>
              <w:rPr>
                <w:spacing w:val="6"/>
              </w:rPr>
              <w:t xml:space="preserve">  </w:t>
            </w:r>
            <w:r>
              <w:rPr>
                <w:spacing w:val="-10"/>
              </w:rPr>
              <w:t>评价范围不涉及《陆生野生动物重要栖息地名录(第一批)》中的野生动</w:t>
            </w:r>
            <w:r>
              <w:rPr>
                <w:spacing w:val="4"/>
              </w:rPr>
              <w:t xml:space="preserve">  </w:t>
            </w:r>
            <w:r>
              <w:rPr>
                <w:spacing w:val="-10"/>
              </w:rPr>
              <w:t>物重要生境。根据马龙区林草局出具意见和《几沃</w:t>
            </w:r>
            <w:r>
              <w:rPr>
                <w:spacing w:val="-11"/>
              </w:rPr>
              <w:t>梁子农光互补光伏发</w:t>
            </w:r>
            <w:r>
              <w:t xml:space="preserve">  </w:t>
            </w:r>
            <w:r>
              <w:rPr>
                <w:spacing w:val="38"/>
              </w:rPr>
              <w:t>电项目使用林地可行性报告》,光伏板区内临时用地面积为</w:t>
            </w:r>
            <w:r>
              <w:rPr>
                <w:spacing w:val="7"/>
              </w:rPr>
              <w:t xml:space="preserve">  </w:t>
            </w:r>
            <w:r>
              <w:rPr>
                <w:spacing w:val="-5"/>
              </w:rPr>
              <w:t>207.2271hm²,占用林地地类性质为一般灌木林及其</w:t>
            </w:r>
            <w:r>
              <w:rPr>
                <w:spacing w:val="-6"/>
              </w:rPr>
              <w:t>他林地，塔基共114</w:t>
            </w:r>
            <w:r>
              <w:t xml:space="preserve">  </w:t>
            </w:r>
            <w:r>
              <w:rPr>
                <w:spacing w:val="1"/>
              </w:rPr>
              <w:t>个，占用面积0.543</w:t>
            </w:r>
            <w:r>
              <w:t>hm</w:t>
            </w:r>
            <w:r>
              <w:rPr>
                <w:spacing w:val="1"/>
              </w:rPr>
              <w:t>²,升压站占地面积1.1014</w:t>
            </w:r>
            <w:r>
              <w:t>hm</w:t>
            </w:r>
            <w:r>
              <w:rPr>
                <w:spacing w:val="1"/>
              </w:rPr>
              <w:t>²,塔基及升压站永</w:t>
            </w:r>
            <w:r>
              <w:rPr>
                <w:spacing w:val="4"/>
              </w:rPr>
              <w:t xml:space="preserve">  </w:t>
            </w:r>
            <w:r>
              <w:t xml:space="preserve">久占地为其他用地。项目用地不涉及天然林保护工程区和天然林地， </w:t>
            </w:r>
            <w:r>
              <w:rPr>
                <w:spacing w:val="-6"/>
              </w:rPr>
              <w:t>光伏电池组件阵列不涉及有林地、疏林地、未成</w:t>
            </w:r>
            <w:r>
              <w:rPr>
                <w:spacing w:val="-7"/>
              </w:rPr>
              <w:t>林造林地、火烧迹地，</w:t>
            </w:r>
            <w:r>
              <w:t xml:space="preserve"> </w:t>
            </w:r>
            <w:r>
              <w:rPr>
                <w:spacing w:val="-3"/>
              </w:rPr>
              <w:t>以及年降雨量400毫米以下区域覆盖度高于30%和</w:t>
            </w:r>
            <w:r>
              <w:rPr>
                <w:spacing w:val="-4"/>
              </w:rPr>
              <w:t>年降雨量400毫米</w:t>
            </w:r>
          </w:p>
          <w:p w14:paraId="29707F14">
            <w:pPr>
              <w:pStyle w:val="6"/>
              <w:spacing w:line="219" w:lineRule="auto"/>
              <w:ind w:left="12"/>
            </w:pPr>
            <w:r>
              <w:rPr>
                <w:spacing w:val="-1"/>
              </w:rPr>
              <w:t>以上区域覆盖度高于50%的灌木林地。</w:t>
            </w:r>
          </w:p>
          <w:p w14:paraId="49B7F63F">
            <w:pPr>
              <w:pStyle w:val="6"/>
              <w:spacing w:before="180" w:line="348" w:lineRule="auto"/>
              <w:ind w:left="15" w:firstLine="456"/>
              <w:jc w:val="both"/>
            </w:pPr>
            <w:r>
              <w:rPr>
                <w:b/>
                <w:bCs/>
                <w:spacing w:val="-1"/>
              </w:rPr>
              <w:t>根据在马龙区林草局查询，项目区地块四内升压站和24#、25#、</w:t>
            </w:r>
            <w:r>
              <w:rPr>
                <w:spacing w:val="17"/>
              </w:rPr>
              <w:t xml:space="preserve"> </w:t>
            </w:r>
            <w:r>
              <w:rPr>
                <w:b/>
                <w:bCs/>
                <w:spacing w:val="-4"/>
              </w:rPr>
              <w:t>26#、27#、28#、29#光伏阵列共364.35亩用地目前林地</w:t>
            </w:r>
            <w:r>
              <w:rPr>
                <w:b/>
                <w:bCs/>
                <w:spacing w:val="-5"/>
              </w:rPr>
              <w:t>性质为采伐迹</w:t>
            </w:r>
            <w:r>
              <w:t xml:space="preserve">  </w:t>
            </w:r>
            <w:r>
              <w:rPr>
                <w:b/>
                <w:bCs/>
                <w:spacing w:val="-3"/>
              </w:rPr>
              <w:t>地。该地块正在办理林地变更园地手续。该地块在变更完成前，项目</w:t>
            </w:r>
            <w:r>
              <w:rPr>
                <w:spacing w:val="1"/>
              </w:rPr>
              <w:t xml:space="preserve">  </w:t>
            </w:r>
            <w:r>
              <w:rPr>
                <w:b/>
                <w:bCs/>
                <w:spacing w:val="-5"/>
              </w:rPr>
              <w:t>禁止开工建设。</w:t>
            </w:r>
          </w:p>
        </w:tc>
      </w:tr>
    </w:tbl>
    <w:p w14:paraId="106646F3">
      <w:pPr>
        <w:pStyle w:val="2"/>
      </w:pPr>
    </w:p>
    <w:p w14:paraId="680195F8">
      <w:pPr>
        <w:sectPr>
          <w:footerReference r:id="rId35" w:type="default"/>
          <w:pgSz w:w="11910" w:h="16840"/>
          <w:pgMar w:top="1431" w:right="1563" w:bottom="1269" w:left="1484" w:header="0" w:footer="1089" w:gutter="0"/>
          <w:cols w:space="720" w:num="1"/>
        </w:sectPr>
      </w:pPr>
    </w:p>
    <w:p w14:paraId="09A63245">
      <w:pPr>
        <w:pStyle w:val="2"/>
        <w:spacing w:line="359" w:lineRule="auto"/>
      </w:pPr>
    </w:p>
    <w:p w14:paraId="0896769B">
      <w:pPr>
        <w:spacing w:before="95" w:line="219" w:lineRule="auto"/>
        <w:ind w:left="3665"/>
        <w:outlineLvl w:val="0"/>
        <w:rPr>
          <w:rFonts w:ascii="宋体" w:hAnsi="宋体" w:eastAsia="宋体" w:cs="宋体"/>
          <w:sz w:val="29"/>
          <w:szCs w:val="29"/>
        </w:rPr>
      </w:pPr>
      <w:bookmarkStart w:id="2" w:name="bookmark2"/>
      <w:bookmarkEnd w:id="2"/>
      <w:r>
        <w:rPr>
          <w:rFonts w:ascii="宋体" w:hAnsi="宋体" w:eastAsia="宋体" w:cs="宋体"/>
          <w:spacing w:val="-3"/>
          <w:sz w:val="29"/>
          <w:szCs w:val="29"/>
        </w:rPr>
        <w:t>二</w:t>
      </w:r>
      <w:r>
        <w:rPr>
          <w:rFonts w:ascii="宋体" w:hAnsi="宋体" w:eastAsia="宋体" w:cs="宋体"/>
          <w:spacing w:val="-60"/>
          <w:sz w:val="29"/>
          <w:szCs w:val="29"/>
        </w:rPr>
        <w:t xml:space="preserve"> </w:t>
      </w:r>
      <w:r>
        <w:rPr>
          <w:rFonts w:ascii="宋体" w:hAnsi="宋体" w:eastAsia="宋体" w:cs="宋体"/>
          <w:spacing w:val="-3"/>
          <w:sz w:val="29"/>
          <w:szCs w:val="29"/>
        </w:rPr>
        <w:t>、</w:t>
      </w:r>
      <w:r>
        <w:rPr>
          <w:rFonts w:ascii="宋体" w:hAnsi="宋体" w:eastAsia="宋体" w:cs="宋体"/>
          <w:b/>
          <w:bCs/>
          <w:spacing w:val="-3"/>
          <w:sz w:val="29"/>
          <w:szCs w:val="29"/>
        </w:rPr>
        <w:t>建设内容</w:t>
      </w:r>
    </w:p>
    <w:p w14:paraId="1F22055C">
      <w:pPr>
        <w:spacing w:before="51"/>
      </w:pPr>
    </w:p>
    <w:tbl>
      <w:tblPr>
        <w:tblStyle w:val="5"/>
        <w:tblW w:w="9070" w:type="dxa"/>
        <w:tblInd w:w="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25"/>
        <w:gridCol w:w="1317"/>
        <w:gridCol w:w="717"/>
        <w:gridCol w:w="2541"/>
        <w:gridCol w:w="655"/>
        <w:gridCol w:w="995"/>
        <w:gridCol w:w="1207"/>
        <w:gridCol w:w="1213"/>
      </w:tblGrid>
      <w:tr w14:paraId="2DA0EA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0" w:hRule="atLeast"/>
        </w:trPr>
        <w:tc>
          <w:tcPr>
            <w:tcW w:w="425" w:type="dxa"/>
            <w:vMerge w:val="restart"/>
            <w:tcBorders>
              <w:top w:val="single" w:color="000000" w:sz="4" w:space="0"/>
              <w:left w:val="single" w:color="000000" w:sz="4" w:space="0"/>
              <w:bottom w:val="nil"/>
              <w:right w:val="single" w:color="000000" w:sz="4" w:space="0"/>
            </w:tcBorders>
            <w:textDirection w:val="tbRlV"/>
            <w:vAlign w:val="top"/>
          </w:tcPr>
          <w:p w14:paraId="69B28FF3">
            <w:pPr>
              <w:pStyle w:val="6"/>
              <w:spacing w:before="89" w:line="204" w:lineRule="auto"/>
              <w:ind w:left="4870"/>
              <w:rPr>
                <w:sz w:val="26"/>
                <w:szCs w:val="26"/>
              </w:rPr>
            </w:pPr>
            <w:r>
              <w:rPr>
                <w:spacing w:val="6"/>
                <w:sz w:val="26"/>
                <w:szCs w:val="26"/>
              </w:rPr>
              <w:t>地理位置</w:t>
            </w:r>
          </w:p>
        </w:tc>
        <w:tc>
          <w:tcPr>
            <w:tcW w:w="8645" w:type="dxa"/>
            <w:gridSpan w:val="7"/>
            <w:tcBorders>
              <w:top w:val="single" w:color="000000" w:sz="4" w:space="0"/>
              <w:left w:val="single" w:color="000000" w:sz="4" w:space="0"/>
              <w:right w:val="single" w:color="000000" w:sz="4" w:space="0"/>
            </w:tcBorders>
            <w:shd w:val="clear" w:color="auto" w:fill="6D6859"/>
            <w:vAlign w:val="top"/>
          </w:tcPr>
          <w:p w14:paraId="1901B311">
            <w:pPr>
              <w:pStyle w:val="6"/>
              <w:spacing w:before="33" w:line="362" w:lineRule="auto"/>
              <w:ind w:left="110" w:right="4" w:firstLine="490"/>
              <w:jc w:val="both"/>
              <w:rPr>
                <w:sz w:val="26"/>
                <w:szCs w:val="26"/>
              </w:rPr>
            </w:pPr>
            <w:r>
              <w:rPr>
                <w:spacing w:val="-11"/>
                <w:sz w:val="26"/>
                <w:szCs w:val="26"/>
              </w:rPr>
              <w:t>几沃梁子农光互补光伏发电项目项目场址范围介于东经103°22'37.8105"~</w:t>
            </w:r>
            <w:r>
              <w:rPr>
                <w:spacing w:val="18"/>
                <w:sz w:val="26"/>
                <w:szCs w:val="26"/>
              </w:rPr>
              <w:t xml:space="preserve"> </w:t>
            </w:r>
            <w:r>
              <w:rPr>
                <w:spacing w:val="21"/>
                <w:sz w:val="19"/>
                <w:szCs w:val="19"/>
              </w:rPr>
              <w:t>103°23'28.0823",北纬25°21'48.4440"～2</w:t>
            </w:r>
            <w:r>
              <w:rPr>
                <w:spacing w:val="20"/>
                <w:sz w:val="19"/>
                <w:szCs w:val="19"/>
              </w:rPr>
              <w:t>5°19'55.9628"之间，海拔1900～2200m。</w:t>
            </w:r>
            <w:r>
              <w:rPr>
                <w:sz w:val="19"/>
                <w:szCs w:val="19"/>
              </w:rPr>
              <w:t xml:space="preserve"> </w:t>
            </w:r>
            <w:r>
              <w:rPr>
                <w:sz w:val="26"/>
                <w:szCs w:val="26"/>
              </w:rPr>
              <w:t>距曲靖市直线距离约45km,距离G56和G60高速公路直线距离7km。</w:t>
            </w:r>
          </w:p>
          <w:p w14:paraId="386C1F03">
            <w:pPr>
              <w:pStyle w:val="6"/>
              <w:spacing w:line="219" w:lineRule="auto"/>
              <w:ind w:left="590"/>
              <w:rPr>
                <w:sz w:val="26"/>
                <w:szCs w:val="26"/>
              </w:rPr>
            </w:pPr>
            <w:r>
              <w:rPr>
                <w:sz w:val="26"/>
                <w:szCs w:val="26"/>
              </w:rPr>
              <w:t>项目地理位置示意图详见图2-1所示。</w:t>
            </w:r>
          </w:p>
          <w:p w14:paraId="26B26755">
            <w:pPr>
              <w:pStyle w:val="6"/>
              <w:spacing w:before="139" w:line="224" w:lineRule="auto"/>
              <w:ind w:left="2010"/>
              <w:rPr>
                <w:sz w:val="19"/>
                <w:szCs w:val="19"/>
              </w:rPr>
            </w:pPr>
            <w:r>
              <w:rPr>
                <w:color w:val="202050"/>
                <w:spacing w:val="3"/>
                <w:position w:val="5"/>
                <w:sz w:val="19"/>
                <w:szCs w:val="19"/>
              </w:rPr>
              <w:t>后山</w:t>
            </w:r>
            <w:r>
              <w:rPr>
                <w:color w:val="202050"/>
                <w:spacing w:val="2"/>
                <w:position w:val="5"/>
                <w:sz w:val="19"/>
                <w:szCs w:val="19"/>
              </w:rPr>
              <w:t xml:space="preserve">                </w:t>
            </w:r>
            <w:r>
              <w:rPr>
                <w:color w:val="50A0E0"/>
                <w:spacing w:val="3"/>
                <w:position w:val="-1"/>
                <w:sz w:val="19"/>
                <w:szCs w:val="19"/>
              </w:rPr>
              <w:t>①</w:t>
            </w:r>
            <w:r>
              <w:rPr>
                <w:color w:val="5060C0"/>
                <w:spacing w:val="3"/>
                <w:position w:val="-1"/>
                <w:sz w:val="19"/>
                <w:szCs w:val="19"/>
              </w:rPr>
              <w:t>照福排火车站</w:t>
            </w:r>
          </w:p>
          <w:p w14:paraId="2D8B94C0">
            <w:pPr>
              <w:pStyle w:val="6"/>
              <w:spacing w:before="38" w:line="219" w:lineRule="auto"/>
              <w:ind w:left="2970"/>
              <w:rPr>
                <w:sz w:val="19"/>
                <w:szCs w:val="19"/>
              </w:rPr>
            </w:pPr>
            <w:r>
              <w:rPr>
                <w:color w:val="C08090"/>
                <w:spacing w:val="-3"/>
                <w:sz w:val="19"/>
                <w:szCs w:val="19"/>
              </w:rPr>
              <w:t>上土</w:t>
            </w:r>
            <w:r>
              <w:rPr>
                <w:color w:val="8080B0"/>
                <w:spacing w:val="-3"/>
                <w:sz w:val="19"/>
                <w:szCs w:val="19"/>
              </w:rPr>
              <w:t>杨</w:t>
            </w:r>
          </w:p>
          <w:p w14:paraId="3F1DCA49">
            <w:pPr>
              <w:pStyle w:val="6"/>
              <w:spacing w:before="144" w:line="219" w:lineRule="auto"/>
              <w:ind w:left="6499"/>
              <w:rPr>
                <w:sz w:val="19"/>
                <w:szCs w:val="19"/>
              </w:rPr>
            </w:pPr>
            <w:r>
              <w:rPr>
                <w:color w:val="A0A0B0"/>
                <w:spacing w:val="6"/>
                <w:sz w:val="19"/>
                <w:szCs w:val="19"/>
              </w:rPr>
              <w:t>石</w:t>
            </w:r>
            <w:r>
              <w:rPr>
                <w:spacing w:val="6"/>
                <w:sz w:val="19"/>
                <w:szCs w:val="19"/>
              </w:rPr>
              <w:t>头中</w:t>
            </w:r>
          </w:p>
        </w:tc>
      </w:tr>
      <w:tr w14:paraId="4B5B15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35" w:hRule="atLeast"/>
        </w:trPr>
        <w:tc>
          <w:tcPr>
            <w:tcW w:w="425" w:type="dxa"/>
            <w:vMerge w:val="continue"/>
            <w:tcBorders>
              <w:top w:val="nil"/>
              <w:left w:val="single" w:color="000000" w:sz="4" w:space="0"/>
              <w:bottom w:val="nil"/>
              <w:right w:val="single" w:color="000000" w:sz="4" w:space="0"/>
            </w:tcBorders>
            <w:textDirection w:val="tbRlV"/>
            <w:vAlign w:val="top"/>
          </w:tcPr>
          <w:p w14:paraId="2F002A57">
            <w:pPr>
              <w:rPr>
                <w:rFonts w:ascii="Arial"/>
                <w:sz w:val="21"/>
              </w:rPr>
            </w:pPr>
          </w:p>
        </w:tc>
        <w:tc>
          <w:tcPr>
            <w:tcW w:w="1317" w:type="dxa"/>
            <w:tcBorders>
              <w:left w:val="single" w:color="000000" w:sz="4" w:space="0"/>
            </w:tcBorders>
            <w:shd w:val="clear" w:color="auto" w:fill="6D6859"/>
            <w:vAlign w:val="top"/>
          </w:tcPr>
          <w:p w14:paraId="43D77D06">
            <w:pPr>
              <w:pStyle w:val="6"/>
              <w:spacing w:before="243" w:line="220" w:lineRule="auto"/>
              <w:ind w:left="610"/>
              <w:rPr>
                <w:sz w:val="19"/>
                <w:szCs w:val="19"/>
              </w:rPr>
            </w:pPr>
            <w:r>
              <w:rPr>
                <w:spacing w:val="5"/>
                <w:sz w:val="19"/>
                <w:szCs w:val="19"/>
              </w:rPr>
              <w:t>八哥同</w:t>
            </w:r>
          </w:p>
        </w:tc>
        <w:tc>
          <w:tcPr>
            <w:tcW w:w="3258" w:type="dxa"/>
            <w:gridSpan w:val="2"/>
            <w:shd w:val="clear" w:color="auto" w:fill="6D6859"/>
            <w:vAlign w:val="top"/>
          </w:tcPr>
          <w:p w14:paraId="791C2C97">
            <w:pPr>
              <w:pStyle w:val="6"/>
              <w:spacing w:before="131" w:line="219" w:lineRule="auto"/>
              <w:ind w:left="108"/>
              <w:rPr>
                <w:sz w:val="19"/>
                <w:szCs w:val="19"/>
              </w:rPr>
            </w:pPr>
            <w:r>
              <w:rPr>
                <w:color w:val="908090"/>
                <w:spacing w:val="-3"/>
                <w:sz w:val="19"/>
                <w:szCs w:val="19"/>
              </w:rPr>
              <w:t>龙</w:t>
            </w:r>
            <w:r>
              <w:rPr>
                <w:color w:val="808090"/>
                <w:spacing w:val="-3"/>
                <w:sz w:val="19"/>
                <w:szCs w:val="19"/>
              </w:rPr>
              <w:t>潭</w:t>
            </w:r>
            <w:r>
              <w:rPr>
                <w:color w:val="FFFFFF"/>
                <w:spacing w:val="-3"/>
                <w:sz w:val="19"/>
                <w:szCs w:val="19"/>
              </w:rPr>
              <w:t>村</w:t>
            </w:r>
          </w:p>
          <w:p w14:paraId="7A2CF789">
            <w:pPr>
              <w:pStyle w:val="6"/>
              <w:spacing w:before="274" w:line="183" w:lineRule="auto"/>
              <w:ind w:left="2608"/>
              <w:rPr>
                <w:sz w:val="19"/>
                <w:szCs w:val="19"/>
              </w:rPr>
            </w:pPr>
            <w:r>
              <w:rPr>
                <w:color w:val="D08040"/>
                <w:spacing w:val="-2"/>
                <w:sz w:val="19"/>
                <w:szCs w:val="19"/>
              </w:rPr>
              <w:t>G56</w:t>
            </w:r>
          </w:p>
        </w:tc>
        <w:tc>
          <w:tcPr>
            <w:tcW w:w="2857" w:type="dxa"/>
            <w:gridSpan w:val="3"/>
            <w:shd w:val="clear" w:color="auto" w:fill="6D6859"/>
            <w:vAlign w:val="top"/>
          </w:tcPr>
          <w:p w14:paraId="6A0F4085">
            <w:pPr>
              <w:spacing w:line="388" w:lineRule="auto"/>
              <w:rPr>
                <w:rFonts w:ascii="Arial"/>
                <w:sz w:val="21"/>
              </w:rPr>
            </w:pPr>
          </w:p>
          <w:p w14:paraId="00CAA2C9">
            <w:pPr>
              <w:pStyle w:val="6"/>
              <w:spacing w:before="62" w:line="221" w:lineRule="auto"/>
              <w:ind w:left="370"/>
              <w:rPr>
                <w:sz w:val="19"/>
                <w:szCs w:val="19"/>
              </w:rPr>
            </w:pPr>
            <w:r>
              <w:rPr>
                <w:color w:val="E0C070"/>
                <w:spacing w:val="-2"/>
                <w:position w:val="1"/>
                <w:sz w:val="19"/>
                <w:szCs w:val="19"/>
              </w:rPr>
              <w:t>杭瑞高</w:t>
            </w:r>
            <w:r>
              <w:rPr>
                <w:color w:val="E0C080"/>
                <w:spacing w:val="-2"/>
                <w:position w:val="1"/>
                <w:sz w:val="19"/>
                <w:szCs w:val="19"/>
              </w:rPr>
              <w:t>速</w:t>
            </w:r>
            <w:r>
              <w:rPr>
                <w:color w:val="E0C080"/>
                <w:spacing w:val="3"/>
                <w:position w:val="1"/>
                <w:sz w:val="19"/>
                <w:szCs w:val="19"/>
              </w:rPr>
              <w:t xml:space="preserve">          </w:t>
            </w:r>
            <w:r>
              <w:rPr>
                <w:color w:val="E09050"/>
                <w:spacing w:val="-2"/>
                <w:position w:val="-2"/>
                <w:sz w:val="19"/>
                <w:szCs w:val="19"/>
              </w:rPr>
              <w:t>G56</w:t>
            </w:r>
          </w:p>
        </w:tc>
        <w:tc>
          <w:tcPr>
            <w:tcW w:w="1213" w:type="dxa"/>
            <w:tcBorders>
              <w:right w:val="single" w:color="000000" w:sz="4" w:space="0"/>
            </w:tcBorders>
            <w:shd w:val="clear" w:color="auto" w:fill="6D6859"/>
            <w:vAlign w:val="top"/>
          </w:tcPr>
          <w:p w14:paraId="7B47A543">
            <w:pPr>
              <w:spacing w:line="249" w:lineRule="auto"/>
              <w:rPr>
                <w:rFonts w:ascii="Arial"/>
                <w:sz w:val="21"/>
              </w:rPr>
            </w:pPr>
          </w:p>
          <w:p w14:paraId="00830F63">
            <w:pPr>
              <w:pStyle w:val="6"/>
              <w:spacing w:before="62" w:line="219" w:lineRule="auto"/>
              <w:ind w:left="203"/>
              <w:rPr>
                <w:sz w:val="19"/>
                <w:szCs w:val="19"/>
              </w:rPr>
            </w:pPr>
            <w:r>
              <w:rPr>
                <w:color w:val="D0A070"/>
                <w:spacing w:val="-2"/>
                <w:sz w:val="19"/>
                <w:szCs w:val="19"/>
              </w:rPr>
              <w:t>杭瑞高速</w:t>
            </w:r>
          </w:p>
        </w:tc>
      </w:tr>
      <w:tr w14:paraId="403CB5B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494" w:hRule="atLeast"/>
        </w:trPr>
        <w:tc>
          <w:tcPr>
            <w:tcW w:w="425" w:type="dxa"/>
            <w:vMerge w:val="continue"/>
            <w:tcBorders>
              <w:top w:val="nil"/>
              <w:left w:val="single" w:color="000000" w:sz="4" w:space="0"/>
              <w:bottom w:val="nil"/>
              <w:right w:val="single" w:color="000000" w:sz="4" w:space="0"/>
            </w:tcBorders>
            <w:textDirection w:val="tbRlV"/>
            <w:vAlign w:val="top"/>
          </w:tcPr>
          <w:p w14:paraId="3B3AB924">
            <w:pPr>
              <w:rPr>
                <w:rFonts w:ascii="Arial"/>
                <w:sz w:val="21"/>
              </w:rPr>
            </w:pPr>
          </w:p>
        </w:tc>
        <w:tc>
          <w:tcPr>
            <w:tcW w:w="2034" w:type="dxa"/>
            <w:gridSpan w:val="2"/>
            <w:tcBorders>
              <w:left w:val="single" w:color="000000" w:sz="4" w:space="0"/>
            </w:tcBorders>
            <w:shd w:val="clear" w:color="auto" w:fill="6D6859"/>
            <w:vAlign w:val="top"/>
          </w:tcPr>
          <w:p w14:paraId="239671A8">
            <w:pPr>
              <w:spacing w:line="390" w:lineRule="auto"/>
              <w:rPr>
                <w:rFonts w:ascii="Arial"/>
                <w:sz w:val="21"/>
              </w:rPr>
            </w:pPr>
          </w:p>
          <w:p w14:paraId="7C60E3E0">
            <w:pPr>
              <w:pStyle w:val="6"/>
              <w:spacing w:before="43" w:line="219" w:lineRule="auto"/>
              <w:ind w:left="1530"/>
              <w:rPr>
                <w:sz w:val="13"/>
                <w:szCs w:val="13"/>
              </w:rPr>
            </w:pPr>
            <w:r>
              <w:rPr>
                <w:color w:val="D0A060"/>
                <w:spacing w:val="-2"/>
                <w:sz w:val="13"/>
                <w:szCs w:val="13"/>
              </w:rPr>
              <w:t>杭瑞</w:t>
            </w:r>
            <w:r>
              <w:rPr>
                <w:color w:val="E0B040"/>
                <w:spacing w:val="-2"/>
                <w:sz w:val="13"/>
                <w:szCs w:val="13"/>
              </w:rPr>
              <w:t>高</w:t>
            </w:r>
          </w:p>
        </w:tc>
        <w:tc>
          <w:tcPr>
            <w:tcW w:w="6611" w:type="dxa"/>
            <w:gridSpan w:val="5"/>
            <w:tcBorders>
              <w:right w:val="single" w:color="000000" w:sz="4" w:space="0"/>
            </w:tcBorders>
            <w:shd w:val="clear" w:color="auto" w:fill="6D6859"/>
            <w:vAlign w:val="top"/>
          </w:tcPr>
          <w:p w14:paraId="08260C4B">
            <w:pPr>
              <w:pStyle w:val="6"/>
              <w:spacing w:before="278" w:line="219" w:lineRule="auto"/>
              <w:ind w:left="111"/>
              <w:rPr>
                <w:sz w:val="19"/>
                <w:szCs w:val="19"/>
              </w:rPr>
            </w:pPr>
            <w:r>
              <w:rPr>
                <w:color w:val="907040"/>
                <w:spacing w:val="-5"/>
                <w:sz w:val="19"/>
                <w:szCs w:val="19"/>
              </w:rPr>
              <w:t>高</w:t>
            </w:r>
            <w:r>
              <w:rPr>
                <w:color w:val="A08060"/>
                <w:spacing w:val="-5"/>
                <w:sz w:val="19"/>
                <w:szCs w:val="19"/>
              </w:rPr>
              <w:t>大</w:t>
            </w:r>
          </w:p>
          <w:p w14:paraId="49A7E977">
            <w:pPr>
              <w:spacing w:line="289" w:lineRule="auto"/>
              <w:rPr>
                <w:rFonts w:ascii="Arial"/>
                <w:sz w:val="21"/>
              </w:rPr>
            </w:pPr>
          </w:p>
          <w:p w14:paraId="4334A216">
            <w:pPr>
              <w:pStyle w:val="6"/>
              <w:spacing w:before="62" w:line="176" w:lineRule="auto"/>
              <w:ind w:left="2590"/>
              <w:rPr>
                <w:sz w:val="19"/>
                <w:szCs w:val="19"/>
              </w:rPr>
            </w:pPr>
            <w:r>
              <w:pict>
                <v:shape id="_x0000_s1044" o:spid="_x0000_s1044" o:spt="202" type="#_x0000_t202" style="position:absolute;left:0pt;margin-left:82.05pt;margin-top:-3.35pt;height:11.5pt;width:21.45pt;z-index:251671552;mso-width-relative:page;mso-height-relative:page;" filled="f" stroked="f" coordsize="21600,21600">
                  <v:path/>
                  <v:fill on="f" focussize="0,0"/>
                  <v:stroke on="f"/>
                  <v:imagedata o:title=""/>
                  <o:lock v:ext="edit" aspectratio="f"/>
                  <v:textbox inset="0mm,0mm,0mm,0mm">
                    <w:txbxContent>
                      <w:p w14:paraId="7822FDC0">
                        <w:pPr>
                          <w:pStyle w:val="6"/>
                          <w:spacing w:before="20" w:line="184" w:lineRule="auto"/>
                          <w:ind w:left="20"/>
                          <w:rPr>
                            <w:sz w:val="19"/>
                            <w:szCs w:val="19"/>
                          </w:rPr>
                        </w:pPr>
                        <w:r>
                          <w:rPr>
                            <w:color w:val="503040"/>
                            <w:spacing w:val="4"/>
                            <w:sz w:val="19"/>
                            <w:szCs w:val="19"/>
                          </w:rPr>
                          <w:t>小村</w:t>
                        </w:r>
                      </w:p>
                    </w:txbxContent>
                  </v:textbox>
                </v:shape>
              </w:pict>
            </w:r>
            <w:r>
              <w:rPr>
                <w:color w:val="FFFFFF"/>
                <w:spacing w:val="-3"/>
                <w:sz w:val="19"/>
                <w:szCs w:val="19"/>
              </w:rPr>
              <w:t>黄</w:t>
            </w:r>
            <w:r>
              <w:rPr>
                <w:color w:val="A0B080"/>
                <w:spacing w:val="-3"/>
                <w:sz w:val="19"/>
                <w:szCs w:val="19"/>
              </w:rPr>
              <w:t>龙</w:t>
            </w:r>
            <w:r>
              <w:rPr>
                <w:color w:val="80A0B0"/>
                <w:spacing w:val="-3"/>
                <w:sz w:val="19"/>
                <w:szCs w:val="19"/>
              </w:rPr>
              <w:t>章</w:t>
            </w:r>
          </w:p>
          <w:p w14:paraId="412DE028">
            <w:pPr>
              <w:pStyle w:val="6"/>
              <w:spacing w:line="212" w:lineRule="auto"/>
              <w:ind w:left="3511"/>
              <w:rPr>
                <w:sz w:val="19"/>
                <w:szCs w:val="19"/>
              </w:rPr>
            </w:pPr>
            <w:r>
              <w:rPr>
                <w:color w:val="905090"/>
                <w:spacing w:val="-6"/>
                <w:sz w:val="19"/>
                <w:szCs w:val="19"/>
              </w:rPr>
              <w:t>团</w:t>
            </w:r>
            <w:r>
              <w:rPr>
                <w:color w:val="403040"/>
                <w:spacing w:val="-6"/>
                <w:sz w:val="19"/>
                <w:szCs w:val="19"/>
              </w:rPr>
              <w:t>结</w:t>
            </w:r>
          </w:p>
        </w:tc>
      </w:tr>
      <w:tr w14:paraId="427785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21" w:hRule="atLeast"/>
        </w:trPr>
        <w:tc>
          <w:tcPr>
            <w:tcW w:w="425" w:type="dxa"/>
            <w:vMerge w:val="continue"/>
            <w:tcBorders>
              <w:top w:val="nil"/>
              <w:left w:val="single" w:color="000000" w:sz="4" w:space="0"/>
              <w:bottom w:val="nil"/>
              <w:right w:val="single" w:color="000000" w:sz="4" w:space="0"/>
            </w:tcBorders>
            <w:textDirection w:val="tbRlV"/>
            <w:vAlign w:val="top"/>
          </w:tcPr>
          <w:p w14:paraId="4C1F23BD">
            <w:pPr>
              <w:rPr>
                <w:rFonts w:ascii="Arial"/>
                <w:sz w:val="21"/>
              </w:rPr>
            </w:pPr>
          </w:p>
        </w:tc>
        <w:tc>
          <w:tcPr>
            <w:tcW w:w="5230" w:type="dxa"/>
            <w:gridSpan w:val="4"/>
            <w:tcBorders>
              <w:left w:val="single" w:color="000000" w:sz="4" w:space="0"/>
            </w:tcBorders>
            <w:shd w:val="clear" w:color="auto" w:fill="6D6859"/>
            <w:vAlign w:val="top"/>
          </w:tcPr>
          <w:p w14:paraId="00D9569B">
            <w:pPr>
              <w:spacing w:line="360" w:lineRule="auto"/>
              <w:rPr>
                <w:rFonts w:ascii="Arial"/>
                <w:sz w:val="21"/>
              </w:rPr>
            </w:pPr>
          </w:p>
          <w:p w14:paraId="0527EC44">
            <w:pPr>
              <w:pStyle w:val="6"/>
              <w:spacing w:before="62" w:line="220" w:lineRule="auto"/>
              <w:ind w:left="3030"/>
              <w:rPr>
                <w:sz w:val="19"/>
                <w:szCs w:val="19"/>
              </w:rPr>
            </w:pPr>
            <w:r>
              <w:rPr>
                <w:color w:val="A0C0C0"/>
                <w:spacing w:val="3"/>
                <w:sz w:val="19"/>
                <w:szCs w:val="19"/>
              </w:rPr>
              <w:t>螺</w:t>
            </w:r>
            <w:r>
              <w:rPr>
                <w:spacing w:val="3"/>
                <w:sz w:val="19"/>
                <w:szCs w:val="19"/>
              </w:rPr>
              <w:t>顿度</w:t>
            </w:r>
          </w:p>
          <w:p w14:paraId="356AF185">
            <w:pPr>
              <w:spacing w:line="265" w:lineRule="auto"/>
              <w:rPr>
                <w:rFonts w:ascii="Arial"/>
                <w:sz w:val="21"/>
              </w:rPr>
            </w:pPr>
          </w:p>
          <w:p w14:paraId="3E6550FE">
            <w:pPr>
              <w:spacing w:line="265" w:lineRule="auto"/>
              <w:rPr>
                <w:rFonts w:ascii="Arial"/>
                <w:sz w:val="21"/>
              </w:rPr>
            </w:pPr>
          </w:p>
          <w:p w14:paraId="3F4A5139">
            <w:pPr>
              <w:spacing w:line="266" w:lineRule="auto"/>
              <w:rPr>
                <w:rFonts w:ascii="Arial"/>
                <w:sz w:val="21"/>
              </w:rPr>
            </w:pPr>
          </w:p>
          <w:p w14:paraId="00EDBC9B">
            <w:pPr>
              <w:pStyle w:val="6"/>
              <w:spacing w:before="62" w:line="220" w:lineRule="auto"/>
              <w:ind w:left="2920"/>
              <w:rPr>
                <w:sz w:val="19"/>
                <w:szCs w:val="19"/>
              </w:rPr>
            </w:pPr>
            <w:r>
              <w:rPr>
                <w:color w:val="FFFFFF"/>
                <w:spacing w:val="-3"/>
                <w:sz w:val="19"/>
                <w:szCs w:val="19"/>
              </w:rPr>
              <w:t>大</w:t>
            </w:r>
            <w:r>
              <w:rPr>
                <w:color w:val="607070"/>
                <w:spacing w:val="-3"/>
                <w:sz w:val="19"/>
                <w:szCs w:val="19"/>
              </w:rPr>
              <w:t>平地</w:t>
            </w:r>
          </w:p>
          <w:p w14:paraId="32DBBCD3">
            <w:pPr>
              <w:pStyle w:val="6"/>
              <w:spacing w:before="82" w:line="193" w:lineRule="auto"/>
              <w:ind w:left="560"/>
              <w:rPr>
                <w:sz w:val="19"/>
                <w:szCs w:val="19"/>
              </w:rPr>
            </w:pPr>
            <w:r>
              <w:rPr>
                <w:color w:val="A07080"/>
                <w:spacing w:val="-3"/>
                <w:position w:val="4"/>
                <w:sz w:val="19"/>
                <w:szCs w:val="19"/>
              </w:rPr>
              <w:t>茅</w:t>
            </w:r>
            <w:r>
              <w:rPr>
                <w:color w:val="A0A0C0"/>
                <w:spacing w:val="-3"/>
                <w:position w:val="4"/>
                <w:sz w:val="19"/>
                <w:szCs w:val="19"/>
              </w:rPr>
              <w:t>草</w:t>
            </w:r>
            <w:r>
              <w:rPr>
                <w:color w:val="FFFFFF"/>
                <w:spacing w:val="-3"/>
                <w:position w:val="4"/>
                <w:sz w:val="19"/>
                <w:szCs w:val="19"/>
              </w:rPr>
              <w:t xml:space="preserve">曲                                    </w:t>
            </w:r>
            <w:r>
              <w:rPr>
                <w:color w:val="404030"/>
                <w:spacing w:val="-3"/>
                <w:position w:val="-4"/>
                <w:sz w:val="19"/>
                <w:szCs w:val="19"/>
              </w:rPr>
              <w:t>①</w:t>
            </w:r>
            <w:r>
              <w:rPr>
                <w:spacing w:val="-3"/>
                <w:position w:val="-4"/>
                <w:sz w:val="19"/>
                <w:szCs w:val="19"/>
              </w:rPr>
              <w:t>房子</w:t>
            </w:r>
          </w:p>
          <w:p w14:paraId="04C6E664">
            <w:pPr>
              <w:pStyle w:val="6"/>
              <w:spacing w:line="209" w:lineRule="auto"/>
              <w:ind w:left="1260"/>
              <w:rPr>
                <w:sz w:val="19"/>
                <w:szCs w:val="19"/>
              </w:rPr>
            </w:pPr>
            <w:r>
              <w:rPr>
                <w:color w:val="FF0000"/>
                <w:spacing w:val="-3"/>
                <w:sz w:val="19"/>
                <w:szCs w:val="19"/>
              </w:rPr>
              <w:t>永</w:t>
            </w:r>
            <w:r>
              <w:rPr>
                <w:color w:val="8080A0"/>
                <w:spacing w:val="-3"/>
                <w:sz w:val="19"/>
                <w:szCs w:val="19"/>
              </w:rPr>
              <w:t>胜</w:t>
            </w:r>
            <w:r>
              <w:rPr>
                <w:spacing w:val="-3"/>
                <w:sz w:val="19"/>
                <w:szCs w:val="19"/>
              </w:rPr>
              <w:t>村</w:t>
            </w:r>
          </w:p>
        </w:tc>
        <w:tc>
          <w:tcPr>
            <w:tcW w:w="995" w:type="dxa"/>
            <w:shd w:val="clear" w:color="auto" w:fill="6D6859"/>
            <w:vAlign w:val="top"/>
          </w:tcPr>
          <w:p w14:paraId="0CBEB772">
            <w:pPr>
              <w:spacing w:line="251" w:lineRule="auto"/>
              <w:rPr>
                <w:rFonts w:ascii="Arial"/>
                <w:sz w:val="21"/>
              </w:rPr>
            </w:pPr>
          </w:p>
          <w:p w14:paraId="01212CDD">
            <w:pPr>
              <w:spacing w:line="251" w:lineRule="auto"/>
              <w:rPr>
                <w:rFonts w:ascii="Arial"/>
                <w:sz w:val="21"/>
              </w:rPr>
            </w:pPr>
          </w:p>
          <w:p w14:paraId="057A3CB6">
            <w:pPr>
              <w:spacing w:line="252" w:lineRule="auto"/>
              <w:rPr>
                <w:rFonts w:ascii="Arial"/>
                <w:sz w:val="21"/>
              </w:rPr>
            </w:pPr>
          </w:p>
          <w:p w14:paraId="556C0EF9">
            <w:pPr>
              <w:pStyle w:val="6"/>
              <w:spacing w:before="42" w:line="219" w:lineRule="auto"/>
              <w:ind w:left="404"/>
              <w:rPr>
                <w:sz w:val="13"/>
                <w:szCs w:val="13"/>
              </w:rPr>
            </w:pPr>
            <w:r>
              <w:rPr>
                <w:color w:val="FFFFFF"/>
                <w:spacing w:val="-2"/>
                <w:sz w:val="13"/>
                <w:szCs w:val="13"/>
              </w:rPr>
              <w:t>大草</w:t>
            </w:r>
            <w:r>
              <w:rPr>
                <w:color w:val="9090A0"/>
                <w:spacing w:val="-2"/>
                <w:sz w:val="13"/>
                <w:szCs w:val="13"/>
              </w:rPr>
              <w:t>房</w:t>
            </w:r>
          </w:p>
          <w:p w14:paraId="50082E94">
            <w:pPr>
              <w:spacing w:line="400" w:lineRule="auto"/>
              <w:rPr>
                <w:rFonts w:ascii="Arial"/>
                <w:sz w:val="21"/>
              </w:rPr>
            </w:pPr>
          </w:p>
          <w:p w14:paraId="62ACD114">
            <w:pPr>
              <w:pStyle w:val="6"/>
              <w:spacing w:before="62" w:line="227" w:lineRule="auto"/>
              <w:ind w:left="355"/>
              <w:rPr>
                <w:sz w:val="19"/>
                <w:szCs w:val="19"/>
              </w:rPr>
            </w:pPr>
            <w:r>
              <w:rPr>
                <w:color w:val="80C0E0"/>
                <w:sz w:val="19"/>
                <w:szCs w:val="19"/>
              </w:rPr>
              <w:t>缸</w:t>
            </w:r>
          </w:p>
          <w:p w14:paraId="558C3E8E">
            <w:pPr>
              <w:spacing w:line="316" w:lineRule="auto"/>
              <w:rPr>
                <w:rFonts w:ascii="Arial"/>
                <w:sz w:val="21"/>
              </w:rPr>
            </w:pPr>
          </w:p>
          <w:p w14:paraId="7BCCF820">
            <w:pPr>
              <w:pStyle w:val="6"/>
              <w:spacing w:before="61" w:line="219" w:lineRule="auto"/>
              <w:ind w:left="215"/>
              <w:rPr>
                <w:sz w:val="19"/>
                <w:szCs w:val="19"/>
              </w:rPr>
            </w:pPr>
            <w:r>
              <w:rPr>
                <w:color w:val="A0D0E0"/>
                <w:sz w:val="19"/>
                <w:szCs w:val="19"/>
              </w:rPr>
              <w:t>悔</w:t>
            </w:r>
          </w:p>
        </w:tc>
        <w:tc>
          <w:tcPr>
            <w:tcW w:w="1207" w:type="dxa"/>
            <w:shd w:val="clear" w:color="auto" w:fill="6D6859"/>
            <w:vAlign w:val="top"/>
          </w:tcPr>
          <w:p w14:paraId="17C26EB2">
            <w:pPr>
              <w:pStyle w:val="6"/>
              <w:spacing w:before="283" w:line="219" w:lineRule="auto"/>
              <w:ind w:left="520"/>
              <w:rPr>
                <w:sz w:val="19"/>
                <w:szCs w:val="19"/>
              </w:rPr>
            </w:pPr>
            <w:r>
              <w:rPr>
                <w:color w:val="80A0B0"/>
                <w:spacing w:val="-5"/>
                <w:sz w:val="19"/>
                <w:szCs w:val="19"/>
              </w:rPr>
              <w:t>下</w:t>
            </w:r>
            <w:r>
              <w:rPr>
                <w:color w:val="A080B0"/>
                <w:spacing w:val="-5"/>
                <w:sz w:val="19"/>
                <w:szCs w:val="19"/>
              </w:rPr>
              <w:t>路</w:t>
            </w:r>
          </w:p>
          <w:p w14:paraId="23AF910D">
            <w:pPr>
              <w:spacing w:line="339" w:lineRule="auto"/>
              <w:rPr>
                <w:rFonts w:ascii="Arial"/>
                <w:sz w:val="21"/>
              </w:rPr>
            </w:pPr>
          </w:p>
          <w:p w14:paraId="1E73CD12">
            <w:pPr>
              <w:pStyle w:val="6"/>
              <w:spacing w:before="62" w:line="219" w:lineRule="auto"/>
              <w:ind w:left="209"/>
              <w:rPr>
                <w:sz w:val="19"/>
                <w:szCs w:val="19"/>
              </w:rPr>
            </w:pPr>
            <w:r>
              <w:rPr>
                <w:color w:val="607060"/>
                <w:spacing w:val="2"/>
                <w:sz w:val="19"/>
                <w:szCs w:val="19"/>
              </w:rPr>
              <w:t>铁</w:t>
            </w:r>
            <w:r>
              <w:rPr>
                <w:spacing w:val="2"/>
                <w:sz w:val="19"/>
                <w:szCs w:val="19"/>
              </w:rPr>
              <w:t>山村</w:t>
            </w:r>
          </w:p>
        </w:tc>
        <w:tc>
          <w:tcPr>
            <w:tcW w:w="1213" w:type="dxa"/>
            <w:tcBorders>
              <w:right w:val="single" w:color="000000" w:sz="4" w:space="0"/>
            </w:tcBorders>
            <w:shd w:val="clear" w:color="auto" w:fill="6D6859"/>
            <w:vAlign w:val="top"/>
          </w:tcPr>
          <w:p w14:paraId="51A2063A">
            <w:pPr>
              <w:spacing w:line="398" w:lineRule="auto"/>
              <w:rPr>
                <w:rFonts w:ascii="Arial"/>
                <w:sz w:val="21"/>
              </w:rPr>
            </w:pPr>
          </w:p>
          <w:p w14:paraId="3EC928C5">
            <w:pPr>
              <w:pStyle w:val="6"/>
              <w:spacing w:before="52" w:line="220" w:lineRule="auto"/>
              <w:jc w:val="right"/>
              <w:rPr>
                <w:sz w:val="16"/>
                <w:szCs w:val="16"/>
              </w:rPr>
            </w:pPr>
            <w:r>
              <w:rPr>
                <w:color w:val="C080A0"/>
                <w:spacing w:val="-16"/>
                <w:w w:val="92"/>
                <w:sz w:val="16"/>
                <w:szCs w:val="16"/>
              </w:rPr>
              <w:t>如</w:t>
            </w:r>
            <w:r>
              <w:rPr>
                <w:color w:val="D0A0A0"/>
                <w:spacing w:val="-16"/>
                <w:w w:val="92"/>
                <w:sz w:val="16"/>
                <w:szCs w:val="16"/>
              </w:rPr>
              <w:t>赵</w:t>
            </w:r>
            <w:r>
              <w:rPr>
                <w:color w:val="FFFFFF"/>
                <w:spacing w:val="-15"/>
                <w:w w:val="92"/>
                <w:sz w:val="16"/>
                <w:szCs w:val="16"/>
              </w:rPr>
              <w:t>家</w:t>
            </w:r>
            <w:r>
              <w:rPr>
                <w:color w:val="A08090"/>
                <w:spacing w:val="-13"/>
                <w:w w:val="92"/>
                <w:sz w:val="16"/>
                <w:szCs w:val="16"/>
              </w:rPr>
              <w:t>的</w:t>
            </w:r>
          </w:p>
          <w:p w14:paraId="7446F94F">
            <w:pPr>
              <w:spacing w:line="342" w:lineRule="auto"/>
              <w:rPr>
                <w:rFonts w:ascii="Arial"/>
                <w:sz w:val="21"/>
              </w:rPr>
            </w:pPr>
          </w:p>
          <w:p w14:paraId="263480A8">
            <w:pPr>
              <w:spacing w:line="342" w:lineRule="auto"/>
              <w:rPr>
                <w:rFonts w:ascii="Arial"/>
                <w:sz w:val="21"/>
              </w:rPr>
            </w:pPr>
          </w:p>
          <w:p w14:paraId="224C6600">
            <w:pPr>
              <w:pStyle w:val="6"/>
              <w:spacing w:before="62" w:line="220" w:lineRule="auto"/>
              <w:ind w:left="323"/>
              <w:rPr>
                <w:sz w:val="19"/>
                <w:szCs w:val="19"/>
              </w:rPr>
            </w:pPr>
            <w:r>
              <w:rPr>
                <w:color w:val="E0C0B0"/>
                <w:spacing w:val="11"/>
                <w:sz w:val="19"/>
                <w:szCs w:val="19"/>
              </w:rPr>
              <w:t>马旧</w:t>
            </w:r>
          </w:p>
        </w:tc>
      </w:tr>
      <w:tr w14:paraId="1E61A14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80" w:hRule="atLeast"/>
        </w:trPr>
        <w:tc>
          <w:tcPr>
            <w:tcW w:w="425" w:type="dxa"/>
            <w:vMerge w:val="continue"/>
            <w:tcBorders>
              <w:top w:val="nil"/>
              <w:left w:val="single" w:color="000000" w:sz="4" w:space="0"/>
              <w:bottom w:val="single" w:color="000000" w:sz="4" w:space="0"/>
              <w:right w:val="single" w:color="000000" w:sz="4" w:space="0"/>
            </w:tcBorders>
            <w:textDirection w:val="tbRlV"/>
            <w:vAlign w:val="top"/>
          </w:tcPr>
          <w:p w14:paraId="723A7041">
            <w:pPr>
              <w:rPr>
                <w:rFonts w:ascii="Arial"/>
                <w:sz w:val="21"/>
              </w:rPr>
            </w:pPr>
          </w:p>
        </w:tc>
        <w:tc>
          <w:tcPr>
            <w:tcW w:w="8645" w:type="dxa"/>
            <w:gridSpan w:val="7"/>
            <w:tcBorders>
              <w:left w:val="single" w:color="000000" w:sz="4" w:space="0"/>
              <w:bottom w:val="single" w:color="000000" w:sz="4" w:space="0"/>
              <w:right w:val="single" w:color="000000" w:sz="4" w:space="0"/>
            </w:tcBorders>
            <w:shd w:val="clear" w:color="auto" w:fill="6D6859"/>
            <w:vAlign w:val="top"/>
          </w:tcPr>
          <w:p w14:paraId="57E4B600">
            <w:pPr>
              <w:spacing w:line="388" w:lineRule="auto"/>
              <w:rPr>
                <w:rFonts w:ascii="Arial"/>
                <w:sz w:val="21"/>
              </w:rPr>
            </w:pPr>
          </w:p>
          <w:p w14:paraId="61D1B0FB">
            <w:pPr>
              <w:pStyle w:val="6"/>
              <w:spacing w:before="62" w:line="184" w:lineRule="auto"/>
              <w:ind w:left="2870"/>
              <w:rPr>
                <w:sz w:val="19"/>
                <w:szCs w:val="19"/>
              </w:rPr>
            </w:pPr>
            <w:r>
              <w:pict>
                <v:shape id="_x0000_s1045" o:spid="_x0000_s1045" o:spt="202" type="#_x0000_t202" style="position:absolute;left:0pt;margin-left:278pt;margin-top:8.75pt;height:13.4pt;width:30.1pt;z-index:251672576;mso-width-relative:page;mso-height-relative:page;" filled="f" stroked="f" coordsize="21600,21600">
                  <v:path/>
                  <v:fill on="f" focussize="0,0"/>
                  <v:stroke on="f"/>
                  <v:imagedata o:title=""/>
                  <o:lock v:ext="edit" aspectratio="f"/>
                  <v:textbox inset="0mm,0mm,0mm,0mm">
                    <w:txbxContent>
                      <w:p w14:paraId="426EC0FC">
                        <w:pPr>
                          <w:pStyle w:val="6"/>
                          <w:spacing w:before="20" w:line="221" w:lineRule="auto"/>
                          <w:jc w:val="right"/>
                          <w:rPr>
                            <w:sz w:val="19"/>
                            <w:szCs w:val="19"/>
                          </w:rPr>
                        </w:pPr>
                        <w:r>
                          <w:rPr>
                            <w:color w:val="603050"/>
                            <w:spacing w:val="-3"/>
                            <w:sz w:val="19"/>
                            <w:szCs w:val="19"/>
                          </w:rPr>
                          <w:t>小已</w:t>
                        </w:r>
                        <w:r>
                          <w:rPr>
                            <w:color w:val="C0D0B0"/>
                            <w:spacing w:val="-3"/>
                            <w:sz w:val="19"/>
                            <w:szCs w:val="19"/>
                          </w:rPr>
                          <w:t>沃</w:t>
                        </w:r>
                      </w:p>
                    </w:txbxContent>
                  </v:textbox>
                </v:shape>
              </w:pict>
            </w:r>
            <w:r>
              <w:rPr>
                <w:color w:val="805060"/>
                <w:spacing w:val="5"/>
                <w:sz w:val="19"/>
                <w:szCs w:val="19"/>
              </w:rPr>
              <w:t>水润同</w:t>
            </w:r>
          </w:p>
          <w:p w14:paraId="337169F5">
            <w:pPr>
              <w:spacing w:line="317" w:lineRule="auto"/>
              <w:rPr>
                <w:rFonts w:ascii="Arial"/>
                <w:sz w:val="21"/>
              </w:rPr>
            </w:pPr>
          </w:p>
          <w:p w14:paraId="4178877A">
            <w:pPr>
              <w:pStyle w:val="6"/>
              <w:spacing w:before="62" w:line="221" w:lineRule="auto"/>
              <w:ind w:left="260"/>
              <w:rPr>
                <w:sz w:val="19"/>
                <w:szCs w:val="19"/>
              </w:rPr>
            </w:pPr>
            <w:r>
              <w:rPr>
                <w:spacing w:val="7"/>
                <w:sz w:val="19"/>
                <w:szCs w:val="19"/>
              </w:rPr>
              <w:t>图例</w:t>
            </w:r>
          </w:p>
          <w:p w14:paraId="57ECAE90">
            <w:pPr>
              <w:pStyle w:val="6"/>
              <w:spacing w:before="52" w:line="220" w:lineRule="auto"/>
              <w:ind w:left="790"/>
              <w:rPr>
                <w:sz w:val="19"/>
                <w:szCs w:val="19"/>
              </w:rPr>
            </w:pPr>
            <w:r>
              <w:rPr>
                <w:spacing w:val="5"/>
                <w:sz w:val="19"/>
                <w:szCs w:val="19"/>
              </w:rPr>
              <w:t>项目区</w:t>
            </w:r>
          </w:p>
          <w:p w14:paraId="637037CD">
            <w:pPr>
              <w:pStyle w:val="6"/>
              <w:spacing w:before="293" w:line="220" w:lineRule="auto"/>
              <w:ind w:left="2803"/>
              <w:rPr>
                <w:sz w:val="26"/>
                <w:szCs w:val="26"/>
              </w:rPr>
            </w:pPr>
            <w:r>
              <w:rPr>
                <w:b/>
                <w:bCs/>
                <w:spacing w:val="-2"/>
                <w:sz w:val="26"/>
                <w:szCs w:val="26"/>
              </w:rPr>
              <w:t>图2-1项目地理位置示意图</w:t>
            </w:r>
          </w:p>
        </w:tc>
      </w:tr>
    </w:tbl>
    <w:p w14:paraId="63CAAFA2">
      <w:pPr>
        <w:pStyle w:val="2"/>
      </w:pPr>
    </w:p>
    <w:p w14:paraId="7F298F1D">
      <w:pPr>
        <w:sectPr>
          <w:footerReference r:id="rId36" w:type="default"/>
          <w:pgSz w:w="12090" w:h="16960"/>
          <w:pgMar w:top="1441" w:right="1495" w:bottom="1305" w:left="1514" w:header="0" w:footer="1143" w:gutter="0"/>
          <w:cols w:space="720" w:num="1"/>
        </w:sectPr>
      </w:pPr>
    </w:p>
    <w:p w14:paraId="15E850FA">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5031A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textDirection w:val="tbRlV"/>
            <w:vAlign w:val="top"/>
          </w:tcPr>
          <w:p w14:paraId="0D4D6349">
            <w:pPr>
              <w:pStyle w:val="6"/>
              <w:spacing w:before="87" w:line="202" w:lineRule="auto"/>
              <w:ind w:left="5671"/>
            </w:pPr>
            <w:r>
              <w:t>项</w:t>
            </w:r>
            <w:r>
              <w:rPr>
                <w:spacing w:val="-38"/>
              </w:rPr>
              <w:t xml:space="preserve"> </w:t>
            </w:r>
            <w:r>
              <w:t>目</w:t>
            </w:r>
            <w:r>
              <w:rPr>
                <w:spacing w:val="-38"/>
              </w:rPr>
              <w:t xml:space="preserve"> </w:t>
            </w:r>
            <w:r>
              <w:t>组</w:t>
            </w:r>
            <w:r>
              <w:rPr>
                <w:spacing w:val="-37"/>
              </w:rPr>
              <w:t xml:space="preserve"> </w:t>
            </w:r>
            <w:r>
              <w:t>成</w:t>
            </w:r>
            <w:r>
              <w:rPr>
                <w:spacing w:val="-37"/>
              </w:rPr>
              <w:t xml:space="preserve"> </w:t>
            </w:r>
            <w:r>
              <w:t>及</w:t>
            </w:r>
            <w:r>
              <w:rPr>
                <w:spacing w:val="-37"/>
              </w:rPr>
              <w:t xml:space="preserve"> </w:t>
            </w:r>
            <w:r>
              <w:t>规</w:t>
            </w:r>
            <w:r>
              <w:rPr>
                <w:spacing w:val="-37"/>
              </w:rPr>
              <w:t xml:space="preserve"> </w:t>
            </w:r>
            <w:r>
              <w:t>模</w:t>
            </w:r>
          </w:p>
        </w:tc>
        <w:tc>
          <w:tcPr>
            <w:tcW w:w="8655" w:type="dxa"/>
            <w:vAlign w:val="top"/>
          </w:tcPr>
          <w:p w14:paraId="137C0379">
            <w:pPr>
              <w:pStyle w:val="6"/>
              <w:spacing w:before="19" w:line="219" w:lineRule="auto"/>
              <w:ind w:left="94"/>
            </w:pPr>
            <w:r>
              <w:rPr>
                <w:b/>
                <w:bCs/>
                <w:spacing w:val="-6"/>
              </w:rPr>
              <w:t>一、项目基本概况</w:t>
            </w:r>
          </w:p>
          <w:p w14:paraId="7A0E3BC5">
            <w:pPr>
              <w:pStyle w:val="6"/>
              <w:spacing w:before="178" w:line="219" w:lineRule="auto"/>
              <w:ind w:left="600"/>
            </w:pPr>
            <w:r>
              <w:rPr>
                <w:spacing w:val="2"/>
              </w:rPr>
              <w:t>项目名称：几沃梁子农光互补光伏发电项目</w:t>
            </w:r>
          </w:p>
          <w:p w14:paraId="4A2B1739">
            <w:pPr>
              <w:pStyle w:val="6"/>
              <w:spacing w:before="185" w:line="219" w:lineRule="auto"/>
              <w:ind w:left="600"/>
            </w:pPr>
            <w:r>
              <w:rPr>
                <w:spacing w:val="2"/>
              </w:rPr>
              <w:t>建设单位：曲靖晶瑞新能源有限公司</w:t>
            </w:r>
          </w:p>
          <w:p w14:paraId="3E839FC3">
            <w:pPr>
              <w:pStyle w:val="6"/>
              <w:spacing w:before="185" w:line="219" w:lineRule="auto"/>
              <w:ind w:left="610"/>
            </w:pPr>
            <w:r>
              <w:rPr>
                <w:spacing w:val="1"/>
              </w:rPr>
              <w:t>建设地点：云南省曲靖市马龙区</w:t>
            </w:r>
          </w:p>
          <w:p w14:paraId="33A01B29">
            <w:pPr>
              <w:pStyle w:val="6"/>
              <w:spacing w:before="187" w:line="220" w:lineRule="auto"/>
              <w:ind w:left="600"/>
            </w:pPr>
            <w:r>
              <w:rPr>
                <w:spacing w:val="1"/>
              </w:rPr>
              <w:t>建设性质：新建</w:t>
            </w:r>
          </w:p>
          <w:p w14:paraId="6D879567">
            <w:pPr>
              <w:pStyle w:val="6"/>
              <w:spacing w:before="179" w:line="363" w:lineRule="auto"/>
              <w:ind w:left="131" w:right="74" w:firstLine="469"/>
            </w:pPr>
            <w:r>
              <w:rPr>
                <w:spacing w:val="43"/>
              </w:rPr>
              <w:t>工程规模：本光伏电站总装机规模为交流侧135</w:t>
            </w:r>
            <w:r>
              <w:t>MW</w:t>
            </w:r>
            <w:r>
              <w:rPr>
                <w:spacing w:val="43"/>
              </w:rPr>
              <w:t>(</w:t>
            </w:r>
            <w:r>
              <w:t>AC</w:t>
            </w:r>
            <w:r>
              <w:rPr>
                <w:spacing w:val="43"/>
              </w:rPr>
              <w:t>),安装容量</w:t>
            </w:r>
            <w:r>
              <w:rPr>
                <w:spacing w:val="1"/>
              </w:rPr>
              <w:t xml:space="preserve"> </w:t>
            </w:r>
            <w:r>
              <w:rPr>
                <w:spacing w:val="-4"/>
              </w:rPr>
              <w:t>165.1759MWp(DC)。</w:t>
            </w:r>
          </w:p>
          <w:p w14:paraId="51600600">
            <w:pPr>
              <w:pStyle w:val="6"/>
              <w:spacing w:before="1" w:line="218" w:lineRule="auto"/>
              <w:ind w:left="610"/>
            </w:pPr>
            <w:r>
              <w:t>建设内容：新建1座装机容量为135MW的光伏发电站，配套220KV升压</w:t>
            </w:r>
            <w:r>
              <w:rPr>
                <w:spacing w:val="-1"/>
              </w:rPr>
              <w:t>站。</w:t>
            </w:r>
          </w:p>
          <w:p w14:paraId="2A25FBAD">
            <w:pPr>
              <w:pStyle w:val="6"/>
              <w:spacing w:before="186" w:line="358" w:lineRule="auto"/>
              <w:ind w:left="110" w:firstLine="30"/>
              <w:jc w:val="both"/>
            </w:pPr>
            <w:r>
              <w:rPr>
                <w:spacing w:val="1"/>
              </w:rPr>
              <w:t>由于送出线路及接入方案目前尚未确定，故本次评价内容不包括送出线路；项目</w:t>
            </w:r>
            <w:r>
              <w:rPr>
                <w:spacing w:val="9"/>
              </w:rPr>
              <w:t xml:space="preserve"> </w:t>
            </w:r>
            <w:r>
              <w:t>开发方式为光伏+农业，利用光伏板下空地和板间空地开展金银花种植。项目施工</w:t>
            </w:r>
            <w:r>
              <w:rPr>
                <w:spacing w:val="12"/>
              </w:rPr>
              <w:t xml:space="preserve"> </w:t>
            </w:r>
            <w:r>
              <w:rPr>
                <w:spacing w:val="1"/>
              </w:rPr>
              <w:t>过程中不设置施工营地，施工人员就近租用光伏阵列</w:t>
            </w:r>
            <w:r>
              <w:t xml:space="preserve">附近村民房屋居住。项目场  </w:t>
            </w:r>
            <w:r>
              <w:rPr>
                <w:spacing w:val="1"/>
              </w:rPr>
              <w:t>区周边有多条乡村道路通往场区，交通便利</w:t>
            </w:r>
            <w:r>
              <w:t>，不进行新建道路。因此，本次评价  仅对光伏发电场区、集电线路及升压站开展评价。</w:t>
            </w:r>
          </w:p>
          <w:p w14:paraId="18F25C90">
            <w:pPr>
              <w:pStyle w:val="6"/>
              <w:spacing w:before="4" w:line="220" w:lineRule="auto"/>
              <w:ind w:left="600"/>
            </w:pPr>
            <w:r>
              <w:t>项目总投资：70000万元，其中环保投资669.95万元。</w:t>
            </w:r>
          </w:p>
          <w:p w14:paraId="394EE3FC">
            <w:pPr>
              <w:pStyle w:val="6"/>
              <w:spacing w:before="183" w:line="219" w:lineRule="auto"/>
              <w:ind w:left="600"/>
            </w:pPr>
            <w:r>
              <w:rPr>
                <w:spacing w:val="1"/>
              </w:rPr>
              <w:t>项目服务周期：25年</w:t>
            </w:r>
          </w:p>
          <w:p w14:paraId="2F8BA7D5">
            <w:pPr>
              <w:pStyle w:val="6"/>
              <w:spacing w:before="173" w:line="365" w:lineRule="auto"/>
              <w:ind w:left="121" w:right="473" w:firstLine="479"/>
            </w:pPr>
            <w:r>
              <w:t>工程任务：本项目25年运行期内上网电量总计为646605.69万kWh,平均年</w:t>
            </w:r>
            <w:r>
              <w:rPr>
                <w:spacing w:val="9"/>
              </w:rPr>
              <w:t xml:space="preserve"> </w:t>
            </w:r>
            <w:r>
              <w:t>上网发电量为25864.23万kWh,25年平均系统等效利用小时数为1351.89h。</w:t>
            </w:r>
          </w:p>
          <w:p w14:paraId="7E6F9CA9">
            <w:pPr>
              <w:pStyle w:val="6"/>
              <w:spacing w:line="219" w:lineRule="auto"/>
              <w:ind w:left="114"/>
            </w:pPr>
            <w:r>
              <w:rPr>
                <w:b/>
                <w:bCs/>
                <w:spacing w:val="-4"/>
              </w:rPr>
              <w:t>二、项目区太阳能资源概述</w:t>
            </w:r>
          </w:p>
          <w:p w14:paraId="4E683EF3">
            <w:pPr>
              <w:pStyle w:val="6"/>
              <w:spacing w:before="186" w:line="216" w:lineRule="auto"/>
              <w:ind w:left="610"/>
            </w:pPr>
            <w:r>
              <w:t>根据《几沃梁子农光互补光伏发电项目可行性研究</w:t>
            </w:r>
            <w:r>
              <w:rPr>
                <w:spacing w:val="-1"/>
              </w:rPr>
              <w:t>报告》,场址多年平均太</w:t>
            </w:r>
          </w:p>
          <w:p w14:paraId="2B6FB9C7">
            <w:pPr>
              <w:pStyle w:val="6"/>
              <w:spacing w:before="179" w:line="216" w:lineRule="auto"/>
              <w:ind w:left="110"/>
            </w:pPr>
            <w:r>
              <w:rPr>
                <w:spacing w:val="3"/>
              </w:rPr>
              <w:t>阳总辐射量5647.06</w:t>
            </w:r>
            <w:r>
              <w:t>MJ</w:t>
            </w:r>
            <w:r>
              <w:rPr>
                <w:spacing w:val="3"/>
              </w:rPr>
              <w:t>/m²,根据《太阳能资源评估方法》(</w:t>
            </w:r>
            <w:r>
              <w:t>GB</w:t>
            </w:r>
            <w:r>
              <w:rPr>
                <w:spacing w:val="3"/>
              </w:rPr>
              <w:t>/T37526-2019)判</w:t>
            </w:r>
          </w:p>
          <w:p w14:paraId="16AE0777">
            <w:pPr>
              <w:pStyle w:val="6"/>
              <w:spacing w:before="190" w:line="358" w:lineRule="auto"/>
              <w:ind w:left="110" w:right="4" w:firstLine="10"/>
            </w:pPr>
            <w:r>
              <w:rPr>
                <w:spacing w:val="1"/>
              </w:rPr>
              <w:t>定其太阳能资源丰富程度为很丰富，资源具备开发条件。</w:t>
            </w:r>
            <w:r>
              <w:t xml:space="preserve">场址空气质量好，透明 </w:t>
            </w:r>
            <w:r>
              <w:rPr>
                <w:spacing w:val="1"/>
              </w:rPr>
              <w:t>度高，太阳辐射在大气中的损耗较少，场址区太</w:t>
            </w:r>
            <w:r>
              <w:t>阳总辐射最小月与最大月之比为  0.57,其太阳能资源稳定度属于很稳定级别，在22°倾斜面上年均总辐射月最小值</w:t>
            </w:r>
            <w:r>
              <w:rPr>
                <w:spacing w:val="8"/>
              </w:rPr>
              <w:t xml:space="preserve"> </w:t>
            </w:r>
            <w:r>
              <w:rPr>
                <w:spacing w:val="1"/>
              </w:rPr>
              <w:t>与月最大值的比值为0.65,与水平面总辐射</w:t>
            </w:r>
            <w:r>
              <w:t>年内变化相比更稳定，有利于太阳能</w:t>
            </w:r>
          </w:p>
          <w:p w14:paraId="4FCD0FBF">
            <w:pPr>
              <w:pStyle w:val="6"/>
              <w:spacing w:before="1" w:line="364" w:lineRule="auto"/>
              <w:ind w:left="110" w:right="121"/>
            </w:pPr>
            <w:r>
              <w:t>能源的稳定输出。场址区无沙尘天气，区域内风速不大，气候条件有利于太阳能</w:t>
            </w:r>
            <w:r>
              <w:rPr>
                <w:spacing w:val="11"/>
              </w:rPr>
              <w:t xml:space="preserve"> </w:t>
            </w:r>
            <w:r>
              <w:t>资源开发。</w:t>
            </w:r>
          </w:p>
          <w:p w14:paraId="16D2A676">
            <w:pPr>
              <w:pStyle w:val="6"/>
              <w:spacing w:line="219" w:lineRule="auto"/>
              <w:ind w:left="104"/>
            </w:pPr>
            <w:r>
              <w:rPr>
                <w:b/>
                <w:bCs/>
                <w:spacing w:val="-4"/>
              </w:rPr>
              <w:t>三、项目工程内容</w:t>
            </w:r>
          </w:p>
          <w:p w14:paraId="3DD72540">
            <w:pPr>
              <w:pStyle w:val="6"/>
              <w:spacing w:before="185" w:line="219" w:lineRule="auto"/>
              <w:ind w:left="614"/>
            </w:pPr>
            <w:r>
              <w:rPr>
                <w:b/>
                <w:bCs/>
                <w:spacing w:val="-2"/>
              </w:rPr>
              <w:t>1、工程建设内容</w:t>
            </w:r>
          </w:p>
          <w:p w14:paraId="71D95917">
            <w:pPr>
              <w:pStyle w:val="6"/>
              <w:spacing w:before="172" w:line="214" w:lineRule="auto"/>
              <w:ind w:left="610"/>
            </w:pPr>
            <w:r>
              <w:rPr>
                <w:spacing w:val="36"/>
              </w:rPr>
              <w:t>本光伏电站额定容量135</w:t>
            </w:r>
            <w:r>
              <w:t>MW</w:t>
            </w:r>
            <w:r>
              <w:rPr>
                <w:spacing w:val="36"/>
              </w:rPr>
              <w:t>(</w:t>
            </w:r>
            <w:r>
              <w:t>AC</w:t>
            </w:r>
            <w:r>
              <w:rPr>
                <w:spacing w:val="36"/>
              </w:rPr>
              <w:t>),安装容量165.</w:t>
            </w:r>
            <w:r>
              <w:rPr>
                <w:spacing w:val="-61"/>
              </w:rPr>
              <w:t xml:space="preserve"> </w:t>
            </w:r>
            <w:r>
              <w:rPr>
                <w:spacing w:val="36"/>
              </w:rPr>
              <w:t>1759</w:t>
            </w:r>
            <w:r>
              <w:t>MWp</w:t>
            </w:r>
            <w:r>
              <w:rPr>
                <w:spacing w:val="36"/>
              </w:rPr>
              <w:t>(</w:t>
            </w:r>
            <w:r>
              <w:t>DC</w:t>
            </w:r>
            <w:r>
              <w:rPr>
                <w:spacing w:val="36"/>
              </w:rPr>
              <w:t>),共布</w:t>
            </w:r>
          </w:p>
        </w:tc>
      </w:tr>
    </w:tbl>
    <w:p w14:paraId="706CCBA9">
      <w:pPr>
        <w:pStyle w:val="2"/>
      </w:pPr>
    </w:p>
    <w:p w14:paraId="7B70A16D">
      <w:pPr>
        <w:sectPr>
          <w:footerReference r:id="rId37" w:type="default"/>
          <w:pgSz w:w="11910" w:h="16840"/>
          <w:pgMar w:top="1431" w:right="1425" w:bottom="1269" w:left="1405" w:header="0" w:footer="1089" w:gutter="0"/>
          <w:cols w:space="720" w:num="1"/>
        </w:sectPr>
      </w:pPr>
    </w:p>
    <w:p w14:paraId="3B3FBD91">
      <w:pPr>
        <w:spacing w:line="93"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120"/>
        <w:gridCol w:w="429"/>
        <w:gridCol w:w="769"/>
        <w:gridCol w:w="1398"/>
        <w:gridCol w:w="5544"/>
        <w:gridCol w:w="385"/>
      </w:tblGrid>
      <w:tr w14:paraId="70338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2" w:hRule="atLeast"/>
        </w:trPr>
        <w:tc>
          <w:tcPr>
            <w:tcW w:w="414" w:type="dxa"/>
            <w:vMerge w:val="restart"/>
            <w:tcBorders>
              <w:bottom w:val="nil"/>
            </w:tcBorders>
            <w:vAlign w:val="top"/>
          </w:tcPr>
          <w:p w14:paraId="11F27EBA">
            <w:pPr>
              <w:rPr>
                <w:rFonts w:ascii="Arial"/>
                <w:sz w:val="21"/>
              </w:rPr>
            </w:pPr>
          </w:p>
        </w:tc>
        <w:tc>
          <w:tcPr>
            <w:tcW w:w="8645" w:type="dxa"/>
            <w:gridSpan w:val="6"/>
            <w:vAlign w:val="top"/>
          </w:tcPr>
          <w:p w14:paraId="3C5B1471">
            <w:pPr>
              <w:pStyle w:val="6"/>
              <w:spacing w:before="28" w:line="214" w:lineRule="auto"/>
              <w:ind w:left="90"/>
              <w:rPr>
                <w:sz w:val="22"/>
                <w:szCs w:val="22"/>
              </w:rPr>
            </w:pPr>
            <w:r>
              <w:rPr>
                <w:spacing w:val="36"/>
                <w:sz w:val="22"/>
                <w:szCs w:val="22"/>
              </w:rPr>
              <w:t>置630</w:t>
            </w:r>
            <w:r>
              <w:rPr>
                <w:sz w:val="22"/>
                <w:szCs w:val="22"/>
              </w:rPr>
              <w:t>Wp</w:t>
            </w:r>
            <w:r>
              <w:rPr>
                <w:spacing w:val="36"/>
                <w:sz w:val="22"/>
                <w:szCs w:val="22"/>
              </w:rPr>
              <w:t>双面单晶硅N型电池组件262184块，共10084串组串，共有5个地块</w:t>
            </w:r>
          </w:p>
          <w:p w14:paraId="431FC62E">
            <w:pPr>
              <w:pStyle w:val="6"/>
              <w:spacing w:before="199" w:line="219" w:lineRule="auto"/>
              <w:ind w:left="100"/>
              <w:rPr>
                <w:sz w:val="22"/>
                <w:szCs w:val="22"/>
              </w:rPr>
            </w:pPr>
            <w:r>
              <w:rPr>
                <w:sz w:val="22"/>
                <w:szCs w:val="22"/>
              </w:rPr>
              <w:t>51个光伏方阵，通过5回集电35KV集电线路汇集到220kV升压站，管理区设在</w:t>
            </w:r>
          </w:p>
          <w:p w14:paraId="66C84382">
            <w:pPr>
              <w:pStyle w:val="6"/>
              <w:spacing w:before="205" w:line="392" w:lineRule="auto"/>
              <w:ind w:left="110" w:right="814"/>
              <w:rPr>
                <w:sz w:val="22"/>
                <w:szCs w:val="22"/>
              </w:rPr>
            </w:pPr>
            <w:r>
              <w:rPr>
                <w:spacing w:val="6"/>
                <w:sz w:val="22"/>
                <w:szCs w:val="22"/>
              </w:rPr>
              <w:t>升压站内。项目总用地总面积208.8715</w:t>
            </w:r>
            <w:r>
              <w:rPr>
                <w:sz w:val="22"/>
                <w:szCs w:val="22"/>
              </w:rPr>
              <w:t>hm</w:t>
            </w:r>
            <w:r>
              <w:rPr>
                <w:spacing w:val="6"/>
                <w:sz w:val="22"/>
                <w:szCs w:val="22"/>
              </w:rPr>
              <w:t>²,</w:t>
            </w:r>
            <w:r>
              <w:rPr>
                <w:spacing w:val="5"/>
                <w:sz w:val="22"/>
                <w:szCs w:val="22"/>
              </w:rPr>
              <w:t>其中升压站占地1.1014</w:t>
            </w:r>
            <w:r>
              <w:rPr>
                <w:sz w:val="22"/>
                <w:szCs w:val="22"/>
              </w:rPr>
              <w:t>hm</w:t>
            </w:r>
            <w:r>
              <w:rPr>
                <w:spacing w:val="5"/>
                <w:sz w:val="22"/>
                <w:szCs w:val="22"/>
              </w:rPr>
              <w:t>²,光伏阵</w:t>
            </w:r>
            <w:r>
              <w:rPr>
                <w:sz w:val="22"/>
                <w:szCs w:val="22"/>
              </w:rPr>
              <w:t xml:space="preserve"> </w:t>
            </w:r>
            <w:r>
              <w:rPr>
                <w:spacing w:val="8"/>
                <w:sz w:val="22"/>
                <w:szCs w:val="22"/>
              </w:rPr>
              <w:t>列占地207.2271</w:t>
            </w:r>
            <w:r>
              <w:rPr>
                <w:sz w:val="22"/>
                <w:szCs w:val="22"/>
              </w:rPr>
              <w:t>hm</w:t>
            </w:r>
            <w:r>
              <w:rPr>
                <w:spacing w:val="8"/>
                <w:sz w:val="22"/>
                <w:szCs w:val="22"/>
              </w:rPr>
              <w:t>²,集电线路塔基占地0</w:t>
            </w:r>
            <w:r>
              <w:rPr>
                <w:spacing w:val="7"/>
                <w:sz w:val="22"/>
                <w:szCs w:val="22"/>
              </w:rPr>
              <w:t>.543</w:t>
            </w:r>
            <w:r>
              <w:rPr>
                <w:sz w:val="22"/>
                <w:szCs w:val="22"/>
              </w:rPr>
              <w:t>hm</w:t>
            </w:r>
            <w:r>
              <w:rPr>
                <w:spacing w:val="7"/>
                <w:sz w:val="22"/>
                <w:szCs w:val="22"/>
              </w:rPr>
              <w:t>²。</w:t>
            </w:r>
          </w:p>
          <w:p w14:paraId="38AF8709">
            <w:pPr>
              <w:pStyle w:val="6"/>
              <w:spacing w:line="393" w:lineRule="auto"/>
              <w:ind w:left="100" w:right="706" w:firstLine="580"/>
              <w:rPr>
                <w:sz w:val="22"/>
                <w:szCs w:val="22"/>
              </w:rPr>
            </w:pPr>
            <w:r>
              <w:rPr>
                <w:sz w:val="22"/>
                <w:szCs w:val="22"/>
              </w:rPr>
              <w:t>项目由主体工程、辅助工程、公用工程、环</w:t>
            </w:r>
            <w:r>
              <w:rPr>
                <w:spacing w:val="-1"/>
                <w:sz w:val="22"/>
                <w:szCs w:val="22"/>
              </w:rPr>
              <w:t>保工程及及临时工程组成，工程</w:t>
            </w:r>
            <w:r>
              <w:rPr>
                <w:sz w:val="22"/>
                <w:szCs w:val="22"/>
              </w:rPr>
              <w:t xml:space="preserve"> </w:t>
            </w:r>
            <w:r>
              <w:rPr>
                <w:spacing w:val="1"/>
                <w:sz w:val="22"/>
                <w:szCs w:val="22"/>
              </w:rPr>
              <w:t>主要建设内容详见下表2-1。</w:t>
            </w:r>
          </w:p>
          <w:p w14:paraId="0A269F81">
            <w:pPr>
              <w:pStyle w:val="6"/>
              <w:spacing w:line="219" w:lineRule="auto"/>
              <w:ind w:left="2774"/>
              <w:rPr>
                <w:sz w:val="22"/>
                <w:szCs w:val="22"/>
              </w:rPr>
            </w:pPr>
            <w:r>
              <w:rPr>
                <w:b/>
                <w:bCs/>
                <w:spacing w:val="30"/>
                <w:sz w:val="22"/>
                <w:szCs w:val="22"/>
              </w:rPr>
              <w:t>表2</w:t>
            </w:r>
            <w:r>
              <w:rPr>
                <w:spacing w:val="-49"/>
                <w:sz w:val="22"/>
                <w:szCs w:val="22"/>
              </w:rPr>
              <w:t xml:space="preserve"> </w:t>
            </w:r>
            <w:r>
              <w:rPr>
                <w:b/>
                <w:bCs/>
                <w:spacing w:val="30"/>
                <w:sz w:val="22"/>
                <w:szCs w:val="22"/>
              </w:rPr>
              <w:t>-</w:t>
            </w:r>
            <w:r>
              <w:rPr>
                <w:spacing w:val="-38"/>
                <w:sz w:val="22"/>
                <w:szCs w:val="22"/>
              </w:rPr>
              <w:t xml:space="preserve"> </w:t>
            </w:r>
            <w:r>
              <w:rPr>
                <w:b/>
                <w:bCs/>
                <w:spacing w:val="30"/>
                <w:sz w:val="22"/>
                <w:szCs w:val="22"/>
              </w:rPr>
              <w:t>1项目工程内容组成表</w:t>
            </w:r>
          </w:p>
        </w:tc>
      </w:tr>
      <w:tr w14:paraId="05972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14" w:type="dxa"/>
            <w:vMerge w:val="continue"/>
            <w:tcBorders>
              <w:top w:val="nil"/>
              <w:bottom w:val="nil"/>
            </w:tcBorders>
            <w:vAlign w:val="top"/>
          </w:tcPr>
          <w:p w14:paraId="072A01EF">
            <w:pPr>
              <w:rPr>
                <w:rFonts w:ascii="Arial"/>
                <w:sz w:val="21"/>
              </w:rPr>
            </w:pPr>
          </w:p>
        </w:tc>
        <w:tc>
          <w:tcPr>
            <w:tcW w:w="120" w:type="dxa"/>
            <w:tcBorders>
              <w:bottom w:val="nil"/>
            </w:tcBorders>
            <w:vAlign w:val="top"/>
          </w:tcPr>
          <w:p w14:paraId="4B3F9DFF">
            <w:pPr>
              <w:rPr>
                <w:rFonts w:ascii="Arial"/>
                <w:sz w:val="21"/>
              </w:rPr>
            </w:pPr>
          </w:p>
        </w:tc>
        <w:tc>
          <w:tcPr>
            <w:tcW w:w="2596" w:type="dxa"/>
            <w:gridSpan w:val="3"/>
            <w:vAlign w:val="top"/>
          </w:tcPr>
          <w:p w14:paraId="3BAB14C0">
            <w:pPr>
              <w:pStyle w:val="6"/>
              <w:spacing w:before="42" w:line="199" w:lineRule="auto"/>
              <w:ind w:left="881"/>
              <w:rPr>
                <w:sz w:val="22"/>
                <w:szCs w:val="22"/>
              </w:rPr>
            </w:pPr>
            <w:r>
              <w:rPr>
                <w:spacing w:val="2"/>
                <w:sz w:val="22"/>
                <w:szCs w:val="22"/>
              </w:rPr>
              <w:t>工程组成</w:t>
            </w:r>
          </w:p>
        </w:tc>
        <w:tc>
          <w:tcPr>
            <w:tcW w:w="5544" w:type="dxa"/>
            <w:vAlign w:val="top"/>
          </w:tcPr>
          <w:p w14:paraId="0F7BE2AA">
            <w:pPr>
              <w:pStyle w:val="6"/>
              <w:spacing w:before="41" w:line="200" w:lineRule="auto"/>
              <w:ind w:left="2325"/>
              <w:rPr>
                <w:sz w:val="22"/>
                <w:szCs w:val="22"/>
              </w:rPr>
            </w:pPr>
            <w:r>
              <w:rPr>
                <w:spacing w:val="2"/>
                <w:sz w:val="22"/>
                <w:szCs w:val="22"/>
              </w:rPr>
              <w:t>主要内容</w:t>
            </w:r>
          </w:p>
        </w:tc>
        <w:tc>
          <w:tcPr>
            <w:tcW w:w="385" w:type="dxa"/>
            <w:vMerge w:val="restart"/>
            <w:tcBorders>
              <w:bottom w:val="nil"/>
            </w:tcBorders>
            <w:vAlign w:val="top"/>
          </w:tcPr>
          <w:p w14:paraId="0854CF98">
            <w:pPr>
              <w:rPr>
                <w:rFonts w:ascii="Arial"/>
                <w:sz w:val="21"/>
              </w:rPr>
            </w:pPr>
          </w:p>
        </w:tc>
      </w:tr>
      <w:tr w14:paraId="20330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8" w:hRule="atLeast"/>
        </w:trPr>
        <w:tc>
          <w:tcPr>
            <w:tcW w:w="414" w:type="dxa"/>
            <w:vMerge w:val="continue"/>
            <w:tcBorders>
              <w:top w:val="nil"/>
              <w:bottom w:val="nil"/>
            </w:tcBorders>
            <w:vAlign w:val="top"/>
          </w:tcPr>
          <w:p w14:paraId="70501182">
            <w:pPr>
              <w:rPr>
                <w:rFonts w:ascii="Arial"/>
                <w:sz w:val="21"/>
              </w:rPr>
            </w:pPr>
          </w:p>
        </w:tc>
        <w:tc>
          <w:tcPr>
            <w:tcW w:w="120" w:type="dxa"/>
            <w:tcBorders>
              <w:top w:val="nil"/>
              <w:bottom w:val="nil"/>
            </w:tcBorders>
            <w:vAlign w:val="top"/>
          </w:tcPr>
          <w:p w14:paraId="0B7DE2D1">
            <w:pPr>
              <w:rPr>
                <w:rFonts w:ascii="Arial"/>
                <w:sz w:val="21"/>
              </w:rPr>
            </w:pPr>
          </w:p>
        </w:tc>
        <w:tc>
          <w:tcPr>
            <w:tcW w:w="429" w:type="dxa"/>
            <w:vMerge w:val="restart"/>
            <w:tcBorders>
              <w:bottom w:val="nil"/>
            </w:tcBorders>
            <w:textDirection w:val="tbRlV"/>
            <w:vAlign w:val="top"/>
          </w:tcPr>
          <w:p w14:paraId="440463E1">
            <w:pPr>
              <w:pStyle w:val="6"/>
              <w:spacing w:before="95" w:line="203" w:lineRule="auto"/>
              <w:ind w:left="4587"/>
              <w:rPr>
                <w:sz w:val="22"/>
                <w:szCs w:val="22"/>
              </w:rPr>
            </w:pPr>
            <w:r>
              <w:rPr>
                <w:spacing w:val="5"/>
                <w:sz w:val="22"/>
                <w:szCs w:val="22"/>
              </w:rPr>
              <w:t>主体工程</w:t>
            </w:r>
          </w:p>
        </w:tc>
        <w:tc>
          <w:tcPr>
            <w:tcW w:w="769" w:type="dxa"/>
            <w:vMerge w:val="restart"/>
            <w:tcBorders>
              <w:bottom w:val="nil"/>
            </w:tcBorders>
            <w:vAlign w:val="top"/>
          </w:tcPr>
          <w:p w14:paraId="22C5F277">
            <w:pPr>
              <w:rPr>
                <w:rFonts w:ascii="Arial"/>
                <w:sz w:val="21"/>
              </w:rPr>
            </w:pPr>
          </w:p>
          <w:p w14:paraId="32583ACA">
            <w:pPr>
              <w:rPr>
                <w:rFonts w:ascii="Arial"/>
                <w:sz w:val="21"/>
              </w:rPr>
            </w:pPr>
          </w:p>
          <w:p w14:paraId="2DF5178C">
            <w:pPr>
              <w:rPr>
                <w:rFonts w:ascii="Arial"/>
                <w:sz w:val="21"/>
              </w:rPr>
            </w:pPr>
          </w:p>
          <w:p w14:paraId="375CE859">
            <w:pPr>
              <w:rPr>
                <w:rFonts w:ascii="Arial"/>
                <w:sz w:val="21"/>
              </w:rPr>
            </w:pPr>
          </w:p>
          <w:p w14:paraId="1D871606">
            <w:pPr>
              <w:rPr>
                <w:rFonts w:ascii="Arial"/>
                <w:sz w:val="21"/>
              </w:rPr>
            </w:pPr>
          </w:p>
          <w:p w14:paraId="2910EC21">
            <w:pPr>
              <w:rPr>
                <w:rFonts w:ascii="Arial"/>
                <w:sz w:val="21"/>
              </w:rPr>
            </w:pPr>
          </w:p>
          <w:p w14:paraId="0912E0FA">
            <w:pPr>
              <w:rPr>
                <w:rFonts w:ascii="Arial"/>
                <w:sz w:val="21"/>
              </w:rPr>
            </w:pPr>
          </w:p>
          <w:p w14:paraId="4C3DB9F1">
            <w:pPr>
              <w:rPr>
                <w:rFonts w:ascii="Arial"/>
                <w:sz w:val="21"/>
              </w:rPr>
            </w:pPr>
          </w:p>
          <w:p w14:paraId="0F7A4067">
            <w:pPr>
              <w:rPr>
                <w:rFonts w:ascii="Arial"/>
                <w:sz w:val="21"/>
              </w:rPr>
            </w:pPr>
          </w:p>
          <w:p w14:paraId="225819C1">
            <w:pPr>
              <w:rPr>
                <w:rFonts w:ascii="Arial"/>
                <w:sz w:val="21"/>
              </w:rPr>
            </w:pPr>
          </w:p>
          <w:p w14:paraId="7BC55DE1">
            <w:pPr>
              <w:rPr>
                <w:rFonts w:ascii="Arial"/>
                <w:sz w:val="21"/>
              </w:rPr>
            </w:pPr>
          </w:p>
          <w:p w14:paraId="4749B563">
            <w:pPr>
              <w:rPr>
                <w:rFonts w:ascii="Arial"/>
                <w:sz w:val="21"/>
              </w:rPr>
            </w:pPr>
          </w:p>
          <w:p w14:paraId="1062964A">
            <w:pPr>
              <w:rPr>
                <w:rFonts w:ascii="Arial"/>
                <w:sz w:val="21"/>
              </w:rPr>
            </w:pPr>
          </w:p>
          <w:p w14:paraId="326A01B4">
            <w:pPr>
              <w:rPr>
                <w:rFonts w:ascii="Arial"/>
                <w:sz w:val="21"/>
              </w:rPr>
            </w:pPr>
          </w:p>
          <w:p w14:paraId="324312CC">
            <w:pPr>
              <w:rPr>
                <w:rFonts w:ascii="Arial"/>
                <w:sz w:val="21"/>
              </w:rPr>
            </w:pPr>
          </w:p>
          <w:p w14:paraId="1B9F06A0">
            <w:pPr>
              <w:rPr>
                <w:rFonts w:ascii="Arial"/>
                <w:sz w:val="21"/>
              </w:rPr>
            </w:pPr>
          </w:p>
          <w:p w14:paraId="452BB126">
            <w:pPr>
              <w:rPr>
                <w:rFonts w:ascii="Arial"/>
                <w:sz w:val="21"/>
              </w:rPr>
            </w:pPr>
          </w:p>
          <w:p w14:paraId="35039A11">
            <w:pPr>
              <w:rPr>
                <w:rFonts w:ascii="Arial"/>
                <w:sz w:val="21"/>
              </w:rPr>
            </w:pPr>
          </w:p>
          <w:p w14:paraId="19443EA8">
            <w:pPr>
              <w:spacing w:line="241" w:lineRule="auto"/>
              <w:rPr>
                <w:rFonts w:ascii="Arial"/>
                <w:sz w:val="21"/>
              </w:rPr>
            </w:pPr>
          </w:p>
          <w:p w14:paraId="0CF42EB3">
            <w:pPr>
              <w:pStyle w:val="6"/>
              <w:spacing w:before="71" w:line="219" w:lineRule="auto"/>
              <w:ind w:left="152"/>
              <w:rPr>
                <w:sz w:val="22"/>
                <w:szCs w:val="22"/>
              </w:rPr>
            </w:pPr>
            <w:r>
              <w:rPr>
                <w:spacing w:val="5"/>
                <w:sz w:val="22"/>
                <w:szCs w:val="22"/>
              </w:rPr>
              <w:t>光伏</w:t>
            </w:r>
          </w:p>
          <w:p w14:paraId="16E0507F">
            <w:pPr>
              <w:pStyle w:val="6"/>
              <w:spacing w:before="30" w:line="219" w:lineRule="auto"/>
              <w:ind w:left="152"/>
              <w:rPr>
                <w:sz w:val="22"/>
                <w:szCs w:val="22"/>
              </w:rPr>
            </w:pPr>
            <w:r>
              <w:rPr>
                <w:spacing w:val="6"/>
                <w:sz w:val="22"/>
                <w:szCs w:val="22"/>
              </w:rPr>
              <w:t>发电</w:t>
            </w:r>
          </w:p>
          <w:p w14:paraId="2B87293D">
            <w:pPr>
              <w:pStyle w:val="6"/>
              <w:spacing w:line="220" w:lineRule="auto"/>
              <w:ind w:left="152"/>
              <w:rPr>
                <w:sz w:val="22"/>
                <w:szCs w:val="22"/>
              </w:rPr>
            </w:pPr>
            <w:r>
              <w:rPr>
                <w:spacing w:val="5"/>
                <w:sz w:val="22"/>
                <w:szCs w:val="22"/>
              </w:rPr>
              <w:t>系统</w:t>
            </w:r>
          </w:p>
        </w:tc>
        <w:tc>
          <w:tcPr>
            <w:tcW w:w="1398" w:type="dxa"/>
            <w:vAlign w:val="top"/>
          </w:tcPr>
          <w:p w14:paraId="69AC63C6">
            <w:pPr>
              <w:spacing w:line="252" w:lineRule="auto"/>
              <w:rPr>
                <w:rFonts w:ascii="Arial"/>
                <w:sz w:val="21"/>
              </w:rPr>
            </w:pPr>
          </w:p>
          <w:p w14:paraId="3C1438E5">
            <w:pPr>
              <w:spacing w:line="252" w:lineRule="auto"/>
              <w:rPr>
                <w:rFonts w:ascii="Arial"/>
                <w:sz w:val="21"/>
              </w:rPr>
            </w:pPr>
          </w:p>
          <w:p w14:paraId="284923B5">
            <w:pPr>
              <w:spacing w:line="252" w:lineRule="auto"/>
              <w:rPr>
                <w:rFonts w:ascii="Arial"/>
                <w:sz w:val="21"/>
              </w:rPr>
            </w:pPr>
          </w:p>
          <w:p w14:paraId="0CC2A2CC">
            <w:pPr>
              <w:spacing w:line="252" w:lineRule="auto"/>
              <w:rPr>
                <w:rFonts w:ascii="Arial"/>
                <w:sz w:val="21"/>
              </w:rPr>
            </w:pPr>
          </w:p>
          <w:p w14:paraId="54E7F79C">
            <w:pPr>
              <w:spacing w:line="252" w:lineRule="auto"/>
              <w:rPr>
                <w:rFonts w:ascii="Arial"/>
                <w:sz w:val="21"/>
              </w:rPr>
            </w:pPr>
          </w:p>
          <w:p w14:paraId="4D9EACF9">
            <w:pPr>
              <w:spacing w:line="252" w:lineRule="auto"/>
              <w:rPr>
                <w:rFonts w:ascii="Arial"/>
                <w:sz w:val="21"/>
              </w:rPr>
            </w:pPr>
          </w:p>
          <w:p w14:paraId="151EE20B">
            <w:pPr>
              <w:spacing w:line="252" w:lineRule="auto"/>
              <w:rPr>
                <w:rFonts w:ascii="Arial"/>
                <w:sz w:val="21"/>
              </w:rPr>
            </w:pPr>
          </w:p>
          <w:p w14:paraId="570FA71E">
            <w:pPr>
              <w:spacing w:line="253" w:lineRule="auto"/>
              <w:rPr>
                <w:rFonts w:ascii="Arial"/>
                <w:sz w:val="21"/>
              </w:rPr>
            </w:pPr>
          </w:p>
          <w:p w14:paraId="64D63AA7">
            <w:pPr>
              <w:spacing w:line="253" w:lineRule="auto"/>
              <w:rPr>
                <w:rFonts w:ascii="Arial"/>
                <w:sz w:val="21"/>
              </w:rPr>
            </w:pPr>
          </w:p>
          <w:p w14:paraId="4E8A0A7D">
            <w:pPr>
              <w:spacing w:line="253" w:lineRule="auto"/>
              <w:rPr>
                <w:rFonts w:ascii="Arial"/>
                <w:sz w:val="21"/>
              </w:rPr>
            </w:pPr>
          </w:p>
          <w:p w14:paraId="0FA15844">
            <w:pPr>
              <w:pStyle w:val="6"/>
              <w:spacing w:before="71" w:line="219" w:lineRule="auto"/>
              <w:ind w:left="252"/>
              <w:rPr>
                <w:sz w:val="22"/>
                <w:szCs w:val="22"/>
              </w:rPr>
            </w:pPr>
            <w:r>
              <w:rPr>
                <w:spacing w:val="4"/>
                <w:sz w:val="22"/>
                <w:szCs w:val="22"/>
              </w:rPr>
              <w:t>光伏阵列</w:t>
            </w:r>
          </w:p>
        </w:tc>
        <w:tc>
          <w:tcPr>
            <w:tcW w:w="5544" w:type="dxa"/>
            <w:vAlign w:val="top"/>
          </w:tcPr>
          <w:p w14:paraId="745B17E3">
            <w:pPr>
              <w:pStyle w:val="6"/>
              <w:spacing w:before="41" w:line="218" w:lineRule="auto"/>
              <w:ind w:left="74"/>
              <w:rPr>
                <w:sz w:val="22"/>
                <w:szCs w:val="22"/>
              </w:rPr>
            </w:pPr>
            <w:r>
              <w:rPr>
                <w:sz w:val="22"/>
                <w:szCs w:val="22"/>
              </w:rPr>
              <w:t>光伏电站光伏阵列分布在5个地块，其中地块一布置1#~6</w:t>
            </w:r>
          </w:p>
          <w:p w14:paraId="6417D639">
            <w:pPr>
              <w:pStyle w:val="6"/>
              <w:spacing w:line="218" w:lineRule="auto"/>
              <w:jc w:val="right"/>
              <w:rPr>
                <w:sz w:val="22"/>
                <w:szCs w:val="22"/>
              </w:rPr>
            </w:pPr>
            <w:r>
              <w:rPr>
                <w:spacing w:val="-9"/>
                <w:sz w:val="22"/>
                <w:szCs w:val="22"/>
              </w:rPr>
              <w:t>#方阵，地块二布置7#~17#方阵，地块三布置18#~</w:t>
            </w:r>
            <w:r>
              <w:rPr>
                <w:spacing w:val="-10"/>
                <w:sz w:val="22"/>
                <w:szCs w:val="22"/>
              </w:rPr>
              <w:t>23#方阵，</w:t>
            </w:r>
          </w:p>
          <w:p w14:paraId="18233581">
            <w:pPr>
              <w:pStyle w:val="6"/>
              <w:spacing w:before="29" w:line="219" w:lineRule="auto"/>
              <w:ind w:left="74"/>
              <w:rPr>
                <w:sz w:val="22"/>
                <w:szCs w:val="22"/>
              </w:rPr>
            </w:pPr>
            <w:r>
              <w:rPr>
                <w:sz w:val="22"/>
                <w:szCs w:val="22"/>
              </w:rPr>
              <w:t>地块四布置24#~29#方阵，地块五布置30#~51#方阵，共5</w:t>
            </w:r>
          </w:p>
          <w:p w14:paraId="244D369C">
            <w:pPr>
              <w:pStyle w:val="6"/>
              <w:spacing w:before="7" w:line="216" w:lineRule="auto"/>
              <w:ind w:left="115"/>
              <w:rPr>
                <w:sz w:val="22"/>
                <w:szCs w:val="22"/>
              </w:rPr>
            </w:pPr>
            <w:r>
              <w:rPr>
                <w:sz w:val="22"/>
                <w:szCs w:val="22"/>
              </w:rPr>
              <w:t>1个光伏方阵。其中2个方阵(2/7)为1MW,每个子方阵</w:t>
            </w:r>
          </w:p>
          <w:p w14:paraId="6F01370E">
            <w:pPr>
              <w:pStyle w:val="6"/>
              <w:spacing w:before="4" w:line="216" w:lineRule="auto"/>
              <w:ind w:left="185"/>
              <w:rPr>
                <w:sz w:val="22"/>
                <w:szCs w:val="22"/>
              </w:rPr>
            </w:pPr>
            <w:r>
              <w:rPr>
                <w:sz w:val="22"/>
                <w:szCs w:val="22"/>
              </w:rPr>
              <w:t>由69/72路光伏组串并联而成，)2个方阵(19/30为1.25</w:t>
            </w:r>
          </w:p>
          <w:p w14:paraId="148002AD">
            <w:pPr>
              <w:pStyle w:val="6"/>
              <w:spacing w:line="216" w:lineRule="auto"/>
              <w:ind w:left="185"/>
              <w:rPr>
                <w:sz w:val="22"/>
                <w:szCs w:val="22"/>
              </w:rPr>
            </w:pPr>
            <w:r>
              <w:rPr>
                <w:sz w:val="22"/>
                <w:szCs w:val="22"/>
              </w:rPr>
              <w:t>MW,每个子方阵由92/96路光伏组串并联而成；2</w:t>
            </w:r>
            <w:r>
              <w:rPr>
                <w:spacing w:val="-1"/>
                <w:sz w:val="22"/>
                <w:szCs w:val="22"/>
              </w:rPr>
              <w:t>个方阵</w:t>
            </w:r>
          </w:p>
          <w:p w14:paraId="6755D5B9">
            <w:pPr>
              <w:pStyle w:val="6"/>
              <w:spacing w:before="42" w:line="212" w:lineRule="auto"/>
              <w:ind w:left="294"/>
              <w:rPr>
                <w:sz w:val="22"/>
                <w:szCs w:val="22"/>
              </w:rPr>
            </w:pPr>
            <w:r>
              <w:rPr>
                <w:sz w:val="22"/>
                <w:szCs w:val="22"/>
              </w:rPr>
              <w:t>(5/12)为1.6MW,每个子方阵由120路光伏组串并联而</w:t>
            </w:r>
          </w:p>
          <w:p w14:paraId="7CA1D654">
            <w:pPr>
              <w:pStyle w:val="6"/>
              <w:spacing w:before="1" w:line="218" w:lineRule="auto"/>
              <w:ind w:left="14"/>
              <w:rPr>
                <w:sz w:val="22"/>
                <w:szCs w:val="22"/>
              </w:rPr>
            </w:pPr>
            <w:r>
              <w:rPr>
                <w:spacing w:val="-1"/>
                <w:sz w:val="22"/>
                <w:szCs w:val="22"/>
              </w:rPr>
              <w:t>成，光伏组串由26个光伏组件串联而成；5个方阵(1/3/4/</w:t>
            </w:r>
          </w:p>
          <w:p w14:paraId="3865ACF6">
            <w:pPr>
              <w:pStyle w:val="6"/>
              <w:spacing w:before="7" w:line="216" w:lineRule="auto"/>
              <w:ind w:left="185"/>
              <w:rPr>
                <w:sz w:val="22"/>
                <w:szCs w:val="22"/>
              </w:rPr>
            </w:pPr>
            <w:r>
              <w:rPr>
                <w:sz w:val="22"/>
                <w:szCs w:val="22"/>
              </w:rPr>
              <w:t>15/33)为2MW,每个子方阵由138/144路光伏组串并联而</w:t>
            </w:r>
          </w:p>
          <w:p w14:paraId="5268157D">
            <w:pPr>
              <w:pStyle w:val="6"/>
              <w:spacing w:before="35" w:line="216" w:lineRule="auto"/>
              <w:ind w:left="74"/>
              <w:rPr>
                <w:sz w:val="22"/>
                <w:szCs w:val="22"/>
              </w:rPr>
            </w:pPr>
            <w:r>
              <w:rPr>
                <w:spacing w:val="-1"/>
                <w:sz w:val="22"/>
                <w:szCs w:val="22"/>
              </w:rPr>
              <w:t>成，光伏组串由26个光伏组件串联而成，7个方阵(8/10/</w:t>
            </w:r>
          </w:p>
          <w:p w14:paraId="1B5D8037">
            <w:pPr>
              <w:pStyle w:val="6"/>
              <w:spacing w:before="1" w:line="216" w:lineRule="auto"/>
              <w:ind w:left="125"/>
              <w:rPr>
                <w:sz w:val="22"/>
                <w:szCs w:val="22"/>
              </w:rPr>
            </w:pPr>
            <w:r>
              <w:rPr>
                <w:sz w:val="22"/>
                <w:szCs w:val="22"/>
              </w:rPr>
              <w:t>13/16/18/20/22)为2.3MW,每个子方阵由161/168路光伏</w:t>
            </w:r>
          </w:p>
          <w:p w14:paraId="5A48F441">
            <w:pPr>
              <w:pStyle w:val="6"/>
              <w:spacing w:before="2" w:line="216" w:lineRule="auto"/>
              <w:ind w:left="185"/>
              <w:rPr>
                <w:sz w:val="22"/>
                <w:szCs w:val="22"/>
              </w:rPr>
            </w:pPr>
            <w:r>
              <w:rPr>
                <w:spacing w:val="1"/>
                <w:sz w:val="22"/>
                <w:szCs w:val="22"/>
              </w:rPr>
              <w:t>组串并联而成；)3个方阵(14/23/34</w:t>
            </w:r>
            <w:r>
              <w:rPr>
                <w:sz w:val="22"/>
                <w:szCs w:val="22"/>
              </w:rPr>
              <w:t>/为2.5MW,方阵由1</w:t>
            </w:r>
          </w:p>
          <w:p w14:paraId="360108BA">
            <w:pPr>
              <w:pStyle w:val="6"/>
              <w:spacing w:before="34" w:line="219" w:lineRule="auto"/>
              <w:jc w:val="right"/>
              <w:rPr>
                <w:sz w:val="22"/>
                <w:szCs w:val="22"/>
              </w:rPr>
            </w:pPr>
            <w:r>
              <w:rPr>
                <w:spacing w:val="-8"/>
                <w:sz w:val="22"/>
                <w:szCs w:val="22"/>
              </w:rPr>
              <w:t>92路光伏组串并联而成；24个方阵(6/7/9/21/24/25/26/27/</w:t>
            </w:r>
          </w:p>
          <w:p w14:paraId="6EDFD68A">
            <w:pPr>
              <w:pStyle w:val="6"/>
              <w:spacing w:before="8" w:line="216" w:lineRule="auto"/>
              <w:jc w:val="right"/>
              <w:rPr>
                <w:sz w:val="22"/>
                <w:szCs w:val="22"/>
              </w:rPr>
            </w:pPr>
            <w:r>
              <w:rPr>
                <w:spacing w:val="-8"/>
                <w:sz w:val="22"/>
                <w:szCs w:val="22"/>
              </w:rPr>
              <w:t>28/31/32/32/36/37/39/40/42/44/45/46/48/49/51)为3.2MW,</w:t>
            </w:r>
          </w:p>
          <w:p w14:paraId="62829DFB">
            <w:pPr>
              <w:pStyle w:val="6"/>
              <w:spacing w:before="4" w:line="219" w:lineRule="auto"/>
              <w:ind w:left="74"/>
              <w:rPr>
                <w:sz w:val="22"/>
                <w:szCs w:val="22"/>
              </w:rPr>
            </w:pPr>
            <w:r>
              <w:rPr>
                <w:spacing w:val="-1"/>
                <w:sz w:val="22"/>
                <w:szCs w:val="22"/>
              </w:rPr>
              <w:t>光伏组串由26个光伏组件串联而成，方阵由240路光伏组</w:t>
            </w:r>
          </w:p>
          <w:p w14:paraId="11F065E7">
            <w:pPr>
              <w:pStyle w:val="6"/>
              <w:spacing w:before="27" w:line="216" w:lineRule="auto"/>
              <w:ind w:left="125"/>
              <w:rPr>
                <w:sz w:val="22"/>
                <w:szCs w:val="22"/>
              </w:rPr>
            </w:pPr>
            <w:r>
              <w:rPr>
                <w:sz w:val="22"/>
                <w:szCs w:val="22"/>
              </w:rPr>
              <w:t>串并联而成；6个方阵(29/39/41/43/47/50)为4MW,光伏</w:t>
            </w:r>
          </w:p>
          <w:p w14:paraId="6C7D0D6D">
            <w:pPr>
              <w:pStyle w:val="6"/>
              <w:spacing w:before="15" w:line="218" w:lineRule="auto"/>
              <w:ind w:left="74"/>
              <w:rPr>
                <w:sz w:val="22"/>
                <w:szCs w:val="22"/>
              </w:rPr>
            </w:pPr>
            <w:r>
              <w:rPr>
                <w:sz w:val="22"/>
                <w:szCs w:val="22"/>
              </w:rPr>
              <w:t>组串由26个光伏组件串联而成，方阵由288路光伏组串并</w:t>
            </w:r>
          </w:p>
          <w:p w14:paraId="7361CB21">
            <w:pPr>
              <w:pStyle w:val="6"/>
              <w:spacing w:before="1" w:line="206" w:lineRule="auto"/>
              <w:ind w:left="104" w:firstLine="19"/>
              <w:jc w:val="both"/>
              <w:rPr>
                <w:sz w:val="22"/>
                <w:szCs w:val="22"/>
              </w:rPr>
            </w:pPr>
            <w:r>
              <w:rPr>
                <w:spacing w:val="-12"/>
                <w:sz w:val="22"/>
                <w:szCs w:val="22"/>
              </w:rPr>
              <w:t>联而成，光伏方阵由光伏组串、逆变设备及升压设备构成。</w:t>
            </w:r>
            <w:r>
              <w:rPr>
                <w:sz w:val="22"/>
                <w:szCs w:val="22"/>
              </w:rPr>
              <w:t xml:space="preserve"> </w:t>
            </w:r>
            <w:r>
              <w:rPr>
                <w:spacing w:val="-11"/>
                <w:sz w:val="22"/>
                <w:szCs w:val="22"/>
              </w:rPr>
              <w:t>光伏组件采用固定支架安装，支架倾角为22°,光伏组件最</w:t>
            </w:r>
            <w:r>
              <w:rPr>
                <w:spacing w:val="8"/>
                <w:sz w:val="22"/>
                <w:szCs w:val="22"/>
              </w:rPr>
              <w:t xml:space="preserve">  </w:t>
            </w:r>
            <w:r>
              <w:rPr>
                <w:spacing w:val="-2"/>
                <w:sz w:val="22"/>
                <w:szCs w:val="22"/>
              </w:rPr>
              <w:t>低端离地距离2.5m。</w:t>
            </w:r>
          </w:p>
        </w:tc>
        <w:tc>
          <w:tcPr>
            <w:tcW w:w="385" w:type="dxa"/>
            <w:vMerge w:val="continue"/>
            <w:tcBorders>
              <w:top w:val="nil"/>
              <w:bottom w:val="nil"/>
            </w:tcBorders>
            <w:vAlign w:val="top"/>
          </w:tcPr>
          <w:p w14:paraId="6021093C">
            <w:pPr>
              <w:rPr>
                <w:rFonts w:ascii="Arial"/>
                <w:sz w:val="21"/>
              </w:rPr>
            </w:pPr>
          </w:p>
        </w:tc>
      </w:tr>
      <w:tr w14:paraId="3E7B1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5" w:hRule="atLeast"/>
        </w:trPr>
        <w:tc>
          <w:tcPr>
            <w:tcW w:w="414" w:type="dxa"/>
            <w:vMerge w:val="continue"/>
            <w:tcBorders>
              <w:top w:val="nil"/>
              <w:bottom w:val="nil"/>
            </w:tcBorders>
            <w:vAlign w:val="top"/>
          </w:tcPr>
          <w:p w14:paraId="472DD773">
            <w:pPr>
              <w:rPr>
                <w:rFonts w:ascii="Arial"/>
                <w:sz w:val="21"/>
              </w:rPr>
            </w:pPr>
          </w:p>
        </w:tc>
        <w:tc>
          <w:tcPr>
            <w:tcW w:w="120" w:type="dxa"/>
            <w:tcBorders>
              <w:top w:val="nil"/>
              <w:bottom w:val="nil"/>
            </w:tcBorders>
            <w:vAlign w:val="top"/>
          </w:tcPr>
          <w:p w14:paraId="6D543A12">
            <w:pPr>
              <w:rPr>
                <w:rFonts w:ascii="Arial"/>
                <w:sz w:val="21"/>
              </w:rPr>
            </w:pPr>
          </w:p>
        </w:tc>
        <w:tc>
          <w:tcPr>
            <w:tcW w:w="429" w:type="dxa"/>
            <w:vMerge w:val="continue"/>
            <w:tcBorders>
              <w:top w:val="nil"/>
              <w:bottom w:val="nil"/>
            </w:tcBorders>
            <w:textDirection w:val="tbRlV"/>
            <w:vAlign w:val="top"/>
          </w:tcPr>
          <w:p w14:paraId="4CA082A7">
            <w:pPr>
              <w:rPr>
                <w:rFonts w:ascii="Arial"/>
                <w:sz w:val="21"/>
              </w:rPr>
            </w:pPr>
          </w:p>
        </w:tc>
        <w:tc>
          <w:tcPr>
            <w:tcW w:w="769" w:type="dxa"/>
            <w:vMerge w:val="continue"/>
            <w:tcBorders>
              <w:top w:val="nil"/>
              <w:bottom w:val="nil"/>
            </w:tcBorders>
            <w:vAlign w:val="top"/>
          </w:tcPr>
          <w:p w14:paraId="4AE02F47">
            <w:pPr>
              <w:rPr>
                <w:rFonts w:ascii="Arial"/>
                <w:sz w:val="21"/>
              </w:rPr>
            </w:pPr>
          </w:p>
        </w:tc>
        <w:tc>
          <w:tcPr>
            <w:tcW w:w="1398" w:type="dxa"/>
            <w:vAlign w:val="top"/>
          </w:tcPr>
          <w:p w14:paraId="4ACDEDAD">
            <w:pPr>
              <w:spacing w:line="269" w:lineRule="auto"/>
              <w:rPr>
                <w:rFonts w:ascii="Arial"/>
                <w:sz w:val="21"/>
              </w:rPr>
            </w:pPr>
          </w:p>
          <w:p w14:paraId="669F1800">
            <w:pPr>
              <w:spacing w:line="269" w:lineRule="auto"/>
              <w:rPr>
                <w:rFonts w:ascii="Arial"/>
                <w:sz w:val="21"/>
              </w:rPr>
            </w:pPr>
          </w:p>
          <w:p w14:paraId="6D941564">
            <w:pPr>
              <w:spacing w:line="270" w:lineRule="auto"/>
              <w:rPr>
                <w:rFonts w:ascii="Arial"/>
                <w:sz w:val="21"/>
              </w:rPr>
            </w:pPr>
          </w:p>
          <w:p w14:paraId="4C463491">
            <w:pPr>
              <w:pStyle w:val="6"/>
              <w:spacing w:before="72" w:line="221" w:lineRule="auto"/>
              <w:ind w:left="362"/>
              <w:rPr>
                <w:sz w:val="22"/>
                <w:szCs w:val="22"/>
              </w:rPr>
            </w:pPr>
            <w:r>
              <w:rPr>
                <w:spacing w:val="-2"/>
                <w:sz w:val="22"/>
                <w:szCs w:val="22"/>
              </w:rPr>
              <w:t>逆变器</w:t>
            </w:r>
          </w:p>
        </w:tc>
        <w:tc>
          <w:tcPr>
            <w:tcW w:w="5544" w:type="dxa"/>
            <w:vAlign w:val="top"/>
          </w:tcPr>
          <w:p w14:paraId="3621E5D4">
            <w:pPr>
              <w:pStyle w:val="6"/>
              <w:spacing w:before="72" w:line="219" w:lineRule="auto"/>
              <w:ind w:left="14"/>
              <w:rPr>
                <w:sz w:val="22"/>
                <w:szCs w:val="22"/>
              </w:rPr>
            </w:pPr>
            <w:r>
              <w:rPr>
                <w:sz w:val="22"/>
                <w:szCs w:val="22"/>
              </w:rPr>
              <w:t>光伏组件经日照射后，产生低压直流电，光伏组串并联后</w:t>
            </w:r>
          </w:p>
          <w:p w14:paraId="04B0326D">
            <w:pPr>
              <w:pStyle w:val="6"/>
              <w:spacing w:line="219" w:lineRule="auto"/>
              <w:ind w:left="14"/>
              <w:rPr>
                <w:sz w:val="22"/>
                <w:szCs w:val="22"/>
              </w:rPr>
            </w:pPr>
            <w:r>
              <w:rPr>
                <w:sz w:val="22"/>
                <w:szCs w:val="22"/>
              </w:rPr>
              <w:t>的直流电通过电缆接至逆变器，逆变后的三相交流电经交</w:t>
            </w:r>
          </w:p>
          <w:p w14:paraId="56F1FB08">
            <w:pPr>
              <w:pStyle w:val="6"/>
              <w:spacing w:before="25" w:line="216" w:lineRule="auto"/>
              <w:ind w:left="185"/>
              <w:rPr>
                <w:sz w:val="22"/>
                <w:szCs w:val="22"/>
              </w:rPr>
            </w:pPr>
            <w:r>
              <w:rPr>
                <w:spacing w:val="-1"/>
                <w:sz w:val="22"/>
                <w:szCs w:val="22"/>
              </w:rPr>
              <w:t>流电缆接至35KV升压变压器(集装箱式变电站),升压变</w:t>
            </w:r>
          </w:p>
          <w:p w14:paraId="4DB99500">
            <w:pPr>
              <w:pStyle w:val="6"/>
              <w:spacing w:before="24" w:line="219" w:lineRule="auto"/>
              <w:ind w:left="74"/>
              <w:rPr>
                <w:sz w:val="22"/>
                <w:szCs w:val="22"/>
              </w:rPr>
            </w:pPr>
            <w:r>
              <w:rPr>
                <w:spacing w:val="-1"/>
                <w:sz w:val="22"/>
                <w:szCs w:val="22"/>
              </w:rPr>
              <w:t>压器将交流电由0.8kV升压至35kV。箱式变电站布置在其</w:t>
            </w:r>
          </w:p>
          <w:p w14:paraId="4A5642E4">
            <w:pPr>
              <w:pStyle w:val="6"/>
              <w:spacing w:before="10" w:line="219" w:lineRule="auto"/>
              <w:ind w:left="74"/>
              <w:rPr>
                <w:sz w:val="22"/>
                <w:szCs w:val="22"/>
              </w:rPr>
            </w:pPr>
            <w:r>
              <w:rPr>
                <w:spacing w:val="-1"/>
                <w:sz w:val="22"/>
                <w:szCs w:val="22"/>
              </w:rPr>
              <w:t>子方阵的检修道路旁。共设305台组串式逆变器。组串式</w:t>
            </w:r>
          </w:p>
          <w:p w14:paraId="38791E55">
            <w:pPr>
              <w:pStyle w:val="6"/>
              <w:spacing w:before="8" w:line="194" w:lineRule="auto"/>
              <w:ind w:left="104" w:right="4" w:hanging="90"/>
              <w:rPr>
                <w:sz w:val="22"/>
                <w:szCs w:val="22"/>
              </w:rPr>
            </w:pPr>
            <w:r>
              <w:rPr>
                <w:sz w:val="22"/>
                <w:szCs w:val="22"/>
              </w:rPr>
              <w:t>逆变器不单独做基础，逆变器托架采用连接件及抱箍固定</w:t>
            </w:r>
            <w:r>
              <w:rPr>
                <w:spacing w:val="13"/>
                <w:sz w:val="22"/>
                <w:szCs w:val="22"/>
              </w:rPr>
              <w:t xml:space="preserve"> </w:t>
            </w:r>
            <w:r>
              <w:rPr>
                <w:sz w:val="22"/>
                <w:szCs w:val="22"/>
              </w:rPr>
              <w:t>于光伏支架立柱上。</w:t>
            </w:r>
          </w:p>
        </w:tc>
        <w:tc>
          <w:tcPr>
            <w:tcW w:w="385" w:type="dxa"/>
            <w:vMerge w:val="continue"/>
            <w:tcBorders>
              <w:top w:val="nil"/>
              <w:bottom w:val="nil"/>
            </w:tcBorders>
            <w:vAlign w:val="top"/>
          </w:tcPr>
          <w:p w14:paraId="6799D4D5">
            <w:pPr>
              <w:rPr>
                <w:rFonts w:ascii="Arial"/>
                <w:sz w:val="21"/>
              </w:rPr>
            </w:pPr>
          </w:p>
        </w:tc>
      </w:tr>
      <w:tr w14:paraId="6AB04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5" w:hRule="atLeast"/>
        </w:trPr>
        <w:tc>
          <w:tcPr>
            <w:tcW w:w="414" w:type="dxa"/>
            <w:vMerge w:val="continue"/>
            <w:tcBorders>
              <w:top w:val="nil"/>
              <w:bottom w:val="nil"/>
            </w:tcBorders>
            <w:vAlign w:val="top"/>
          </w:tcPr>
          <w:p w14:paraId="49D61650">
            <w:pPr>
              <w:rPr>
                <w:rFonts w:ascii="Arial"/>
                <w:sz w:val="21"/>
              </w:rPr>
            </w:pPr>
          </w:p>
        </w:tc>
        <w:tc>
          <w:tcPr>
            <w:tcW w:w="120" w:type="dxa"/>
            <w:tcBorders>
              <w:top w:val="nil"/>
              <w:bottom w:val="nil"/>
            </w:tcBorders>
            <w:vAlign w:val="top"/>
          </w:tcPr>
          <w:p w14:paraId="5B57EDF4">
            <w:pPr>
              <w:rPr>
                <w:rFonts w:ascii="Arial"/>
                <w:sz w:val="21"/>
              </w:rPr>
            </w:pPr>
          </w:p>
        </w:tc>
        <w:tc>
          <w:tcPr>
            <w:tcW w:w="429" w:type="dxa"/>
            <w:vMerge w:val="continue"/>
            <w:tcBorders>
              <w:top w:val="nil"/>
              <w:bottom w:val="nil"/>
            </w:tcBorders>
            <w:textDirection w:val="tbRlV"/>
            <w:vAlign w:val="top"/>
          </w:tcPr>
          <w:p w14:paraId="1E0701DA">
            <w:pPr>
              <w:rPr>
                <w:rFonts w:ascii="Arial"/>
                <w:sz w:val="21"/>
              </w:rPr>
            </w:pPr>
          </w:p>
        </w:tc>
        <w:tc>
          <w:tcPr>
            <w:tcW w:w="769" w:type="dxa"/>
            <w:vMerge w:val="continue"/>
            <w:tcBorders>
              <w:top w:val="nil"/>
              <w:bottom w:val="nil"/>
            </w:tcBorders>
            <w:vAlign w:val="top"/>
          </w:tcPr>
          <w:p w14:paraId="324A996F">
            <w:pPr>
              <w:rPr>
                <w:rFonts w:ascii="Arial"/>
                <w:sz w:val="21"/>
              </w:rPr>
            </w:pPr>
          </w:p>
        </w:tc>
        <w:tc>
          <w:tcPr>
            <w:tcW w:w="1398" w:type="dxa"/>
            <w:vAlign w:val="top"/>
          </w:tcPr>
          <w:p w14:paraId="25714D9E">
            <w:pPr>
              <w:spacing w:line="262" w:lineRule="auto"/>
              <w:rPr>
                <w:rFonts w:ascii="Arial"/>
                <w:sz w:val="21"/>
              </w:rPr>
            </w:pPr>
          </w:p>
          <w:p w14:paraId="7DBE27A1">
            <w:pPr>
              <w:spacing w:line="262" w:lineRule="auto"/>
              <w:rPr>
                <w:rFonts w:ascii="Arial"/>
                <w:sz w:val="21"/>
              </w:rPr>
            </w:pPr>
          </w:p>
          <w:p w14:paraId="45ED85F5">
            <w:pPr>
              <w:pStyle w:val="6"/>
              <w:spacing w:before="72" w:line="220" w:lineRule="auto"/>
              <w:ind w:left="142"/>
              <w:rPr>
                <w:sz w:val="22"/>
                <w:szCs w:val="22"/>
              </w:rPr>
            </w:pPr>
            <w:r>
              <w:rPr>
                <w:spacing w:val="-2"/>
                <w:sz w:val="22"/>
                <w:szCs w:val="22"/>
              </w:rPr>
              <w:t>箱式变压器</w:t>
            </w:r>
          </w:p>
        </w:tc>
        <w:tc>
          <w:tcPr>
            <w:tcW w:w="5544" w:type="dxa"/>
            <w:vAlign w:val="top"/>
          </w:tcPr>
          <w:p w14:paraId="1D7AE166">
            <w:pPr>
              <w:pStyle w:val="6"/>
              <w:spacing w:before="59" w:line="230" w:lineRule="auto"/>
              <w:ind w:left="184" w:right="76" w:hanging="110"/>
              <w:rPr>
                <w:sz w:val="22"/>
                <w:szCs w:val="22"/>
              </w:rPr>
            </w:pPr>
            <w:r>
              <w:rPr>
                <w:sz w:val="22"/>
                <w:szCs w:val="22"/>
              </w:rPr>
              <w:t>共设置51台箱式变压器，容量≥3.2M</w:t>
            </w:r>
            <w:r>
              <w:rPr>
                <w:spacing w:val="-1"/>
                <w:sz w:val="22"/>
                <w:szCs w:val="22"/>
              </w:rPr>
              <w:t>W选择华氏箱变，容</w:t>
            </w:r>
            <w:r>
              <w:rPr>
                <w:sz w:val="22"/>
                <w:szCs w:val="22"/>
              </w:rPr>
              <w:t xml:space="preserve"> </w:t>
            </w:r>
            <w:r>
              <w:rPr>
                <w:spacing w:val="1"/>
                <w:sz w:val="22"/>
                <w:szCs w:val="22"/>
              </w:rPr>
              <w:t>量&lt;3.2</w:t>
            </w:r>
            <w:r>
              <w:rPr>
                <w:sz w:val="22"/>
                <w:szCs w:val="22"/>
              </w:rPr>
              <w:t>MW</w:t>
            </w:r>
            <w:r>
              <w:rPr>
                <w:spacing w:val="1"/>
                <w:sz w:val="22"/>
                <w:szCs w:val="22"/>
              </w:rPr>
              <w:t>,选择美式箱变。共设置22台美式箱</w:t>
            </w:r>
            <w:r>
              <w:rPr>
                <w:sz w:val="22"/>
                <w:szCs w:val="22"/>
              </w:rPr>
              <w:t>变，29台</w:t>
            </w:r>
          </w:p>
          <w:p w14:paraId="4739E58D">
            <w:pPr>
              <w:pStyle w:val="6"/>
              <w:spacing w:line="218" w:lineRule="auto"/>
              <w:ind w:left="115"/>
              <w:rPr>
                <w:sz w:val="22"/>
                <w:szCs w:val="22"/>
              </w:rPr>
            </w:pPr>
            <w:r>
              <w:rPr>
                <w:sz w:val="22"/>
                <w:szCs w:val="22"/>
              </w:rPr>
              <w:t>华氏箱变。箱式变压器布置在场内道路附近。</w:t>
            </w:r>
          </w:p>
          <w:p w14:paraId="3BCA003A">
            <w:pPr>
              <w:pStyle w:val="6"/>
              <w:spacing w:before="9" w:line="196" w:lineRule="auto"/>
              <w:ind w:left="114" w:hanging="100"/>
              <w:rPr>
                <w:sz w:val="22"/>
                <w:szCs w:val="22"/>
              </w:rPr>
            </w:pPr>
            <w:r>
              <w:rPr>
                <w:sz w:val="22"/>
                <w:szCs w:val="22"/>
              </w:rPr>
              <w:t>在箱变基础靠油箱一侧设集油坑，每个集油坑容积应不小</w:t>
            </w:r>
            <w:r>
              <w:rPr>
                <w:spacing w:val="17"/>
                <w:sz w:val="22"/>
                <w:szCs w:val="22"/>
              </w:rPr>
              <w:t xml:space="preserve"> </w:t>
            </w:r>
            <w:r>
              <w:rPr>
                <w:spacing w:val="4"/>
                <w:sz w:val="22"/>
                <w:szCs w:val="22"/>
              </w:rPr>
              <w:t>于1m³,应满足事故状态下箱变100%排油量。</w:t>
            </w:r>
          </w:p>
        </w:tc>
        <w:tc>
          <w:tcPr>
            <w:tcW w:w="385" w:type="dxa"/>
            <w:vMerge w:val="continue"/>
            <w:tcBorders>
              <w:top w:val="nil"/>
              <w:bottom w:val="nil"/>
            </w:tcBorders>
            <w:vAlign w:val="top"/>
          </w:tcPr>
          <w:p w14:paraId="58E46E81">
            <w:pPr>
              <w:rPr>
                <w:rFonts w:ascii="Arial"/>
                <w:sz w:val="21"/>
              </w:rPr>
            </w:pPr>
          </w:p>
        </w:tc>
      </w:tr>
      <w:tr w14:paraId="47E3E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trPr>
        <w:tc>
          <w:tcPr>
            <w:tcW w:w="414" w:type="dxa"/>
            <w:vMerge w:val="continue"/>
            <w:tcBorders>
              <w:top w:val="nil"/>
            </w:tcBorders>
            <w:vAlign w:val="top"/>
          </w:tcPr>
          <w:p w14:paraId="0C867568">
            <w:pPr>
              <w:rPr>
                <w:rFonts w:ascii="Arial"/>
                <w:sz w:val="21"/>
              </w:rPr>
            </w:pPr>
          </w:p>
        </w:tc>
        <w:tc>
          <w:tcPr>
            <w:tcW w:w="120" w:type="dxa"/>
            <w:tcBorders>
              <w:top w:val="nil"/>
            </w:tcBorders>
            <w:vAlign w:val="top"/>
          </w:tcPr>
          <w:p w14:paraId="7D195953">
            <w:pPr>
              <w:rPr>
                <w:rFonts w:ascii="Arial"/>
                <w:sz w:val="21"/>
              </w:rPr>
            </w:pPr>
          </w:p>
        </w:tc>
        <w:tc>
          <w:tcPr>
            <w:tcW w:w="429" w:type="dxa"/>
            <w:vMerge w:val="continue"/>
            <w:tcBorders>
              <w:top w:val="nil"/>
            </w:tcBorders>
            <w:textDirection w:val="tbRlV"/>
            <w:vAlign w:val="top"/>
          </w:tcPr>
          <w:p w14:paraId="7F5D8FD3">
            <w:pPr>
              <w:rPr>
                <w:rFonts w:ascii="Arial"/>
                <w:sz w:val="21"/>
              </w:rPr>
            </w:pPr>
          </w:p>
        </w:tc>
        <w:tc>
          <w:tcPr>
            <w:tcW w:w="769" w:type="dxa"/>
            <w:vMerge w:val="continue"/>
            <w:tcBorders>
              <w:top w:val="nil"/>
            </w:tcBorders>
            <w:vAlign w:val="top"/>
          </w:tcPr>
          <w:p w14:paraId="71998614">
            <w:pPr>
              <w:rPr>
                <w:rFonts w:ascii="Arial"/>
                <w:sz w:val="21"/>
              </w:rPr>
            </w:pPr>
          </w:p>
        </w:tc>
        <w:tc>
          <w:tcPr>
            <w:tcW w:w="1398" w:type="dxa"/>
            <w:vAlign w:val="top"/>
          </w:tcPr>
          <w:p w14:paraId="46BF3EBC">
            <w:pPr>
              <w:spacing w:line="269" w:lineRule="auto"/>
              <w:rPr>
                <w:rFonts w:ascii="Arial"/>
                <w:sz w:val="21"/>
              </w:rPr>
            </w:pPr>
          </w:p>
          <w:p w14:paraId="61DCF3BA">
            <w:pPr>
              <w:spacing w:line="270" w:lineRule="auto"/>
              <w:rPr>
                <w:rFonts w:ascii="Arial"/>
                <w:sz w:val="21"/>
              </w:rPr>
            </w:pPr>
          </w:p>
          <w:p w14:paraId="43871F80">
            <w:pPr>
              <w:pStyle w:val="6"/>
              <w:spacing w:before="71" w:line="219" w:lineRule="auto"/>
              <w:ind w:left="252"/>
              <w:rPr>
                <w:sz w:val="22"/>
                <w:szCs w:val="22"/>
              </w:rPr>
            </w:pPr>
            <w:r>
              <w:rPr>
                <w:spacing w:val="-2"/>
                <w:sz w:val="22"/>
                <w:szCs w:val="22"/>
              </w:rPr>
              <w:t>集电线路</w:t>
            </w:r>
          </w:p>
        </w:tc>
        <w:tc>
          <w:tcPr>
            <w:tcW w:w="5544" w:type="dxa"/>
            <w:vAlign w:val="top"/>
          </w:tcPr>
          <w:p w14:paraId="19CD60C3">
            <w:pPr>
              <w:pStyle w:val="6"/>
              <w:spacing w:before="60" w:line="223" w:lineRule="auto"/>
              <w:ind w:left="14"/>
              <w:jc w:val="both"/>
              <w:rPr>
                <w:sz w:val="22"/>
                <w:szCs w:val="22"/>
              </w:rPr>
            </w:pPr>
            <w:r>
              <w:rPr>
                <w:spacing w:val="-3"/>
                <w:sz w:val="22"/>
                <w:szCs w:val="22"/>
              </w:rPr>
              <w:t>集电线路起于各光伏阵列电缆上塔处，讫于2</w:t>
            </w:r>
            <w:r>
              <w:rPr>
                <w:spacing w:val="-4"/>
                <w:sz w:val="22"/>
                <w:szCs w:val="22"/>
              </w:rPr>
              <w:t>20kV升压站，</w:t>
            </w:r>
            <w:r>
              <w:rPr>
                <w:sz w:val="22"/>
                <w:szCs w:val="22"/>
              </w:rPr>
              <w:t xml:space="preserve"> </w:t>
            </w:r>
            <w:r>
              <w:rPr>
                <w:spacing w:val="-6"/>
                <w:sz w:val="22"/>
                <w:szCs w:val="22"/>
              </w:rPr>
              <w:t>用35KV架空线路+电力电缆直埋敷设的混合方案，路</w:t>
            </w:r>
            <w:r>
              <w:rPr>
                <w:spacing w:val="-7"/>
                <w:sz w:val="22"/>
                <w:szCs w:val="22"/>
              </w:rPr>
              <w:t>径总长</w:t>
            </w:r>
            <w:r>
              <w:rPr>
                <w:sz w:val="22"/>
                <w:szCs w:val="22"/>
              </w:rPr>
              <w:t xml:space="preserve"> 约40.71km,其中架空线路约38.82km,电缆线路约1.89km。</w:t>
            </w:r>
            <w:r>
              <w:rPr>
                <w:spacing w:val="14"/>
                <w:sz w:val="22"/>
                <w:szCs w:val="22"/>
              </w:rPr>
              <w:t xml:space="preserve"> </w:t>
            </w:r>
            <w:r>
              <w:rPr>
                <w:spacing w:val="-11"/>
                <w:sz w:val="22"/>
                <w:szCs w:val="22"/>
              </w:rPr>
              <w:t>地埋电缆线路位于地块内部阵列线路的连接，地块至升压站</w:t>
            </w:r>
            <w:r>
              <w:rPr>
                <w:spacing w:val="6"/>
                <w:sz w:val="22"/>
                <w:szCs w:val="22"/>
              </w:rPr>
              <w:t xml:space="preserve"> </w:t>
            </w:r>
            <w:r>
              <w:rPr>
                <w:spacing w:val="-3"/>
                <w:sz w:val="22"/>
                <w:szCs w:val="22"/>
              </w:rPr>
              <w:t>的线路连接采用架空线路，35KV集电线路跨越生态保护红</w:t>
            </w:r>
          </w:p>
        </w:tc>
        <w:tc>
          <w:tcPr>
            <w:tcW w:w="385" w:type="dxa"/>
            <w:vMerge w:val="continue"/>
            <w:tcBorders>
              <w:top w:val="nil"/>
            </w:tcBorders>
            <w:vAlign w:val="top"/>
          </w:tcPr>
          <w:p w14:paraId="587DB62C">
            <w:pPr>
              <w:rPr>
                <w:rFonts w:ascii="Arial"/>
                <w:sz w:val="21"/>
              </w:rPr>
            </w:pPr>
          </w:p>
        </w:tc>
      </w:tr>
    </w:tbl>
    <w:p w14:paraId="0F007CCB">
      <w:pPr>
        <w:pStyle w:val="2"/>
      </w:pPr>
    </w:p>
    <w:p w14:paraId="67E20F0F">
      <w:pPr>
        <w:sectPr>
          <w:footerReference r:id="rId38" w:type="default"/>
          <w:pgSz w:w="11910" w:h="16840"/>
          <w:pgMar w:top="1431" w:right="1435" w:bottom="1269" w:left="1405" w:header="0" w:footer="1089" w:gutter="0"/>
          <w:cols w:space="720" w:num="1"/>
        </w:sectPr>
      </w:pPr>
    </w:p>
    <w:p w14:paraId="4BEBDBC7">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
        <w:gridCol w:w="100"/>
        <w:gridCol w:w="429"/>
        <w:gridCol w:w="529"/>
        <w:gridCol w:w="230"/>
        <w:gridCol w:w="1398"/>
        <w:gridCol w:w="5554"/>
        <w:gridCol w:w="395"/>
      </w:tblGrid>
      <w:tr w14:paraId="514A7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34" w:type="dxa"/>
            <w:vMerge w:val="restart"/>
            <w:tcBorders>
              <w:bottom w:val="nil"/>
            </w:tcBorders>
            <w:vAlign w:val="top"/>
          </w:tcPr>
          <w:p w14:paraId="1458C21B">
            <w:pPr>
              <w:rPr>
                <w:rFonts w:ascii="Arial"/>
                <w:sz w:val="21"/>
              </w:rPr>
            </w:pPr>
          </w:p>
        </w:tc>
        <w:tc>
          <w:tcPr>
            <w:tcW w:w="100" w:type="dxa"/>
            <w:tcBorders>
              <w:bottom w:val="nil"/>
            </w:tcBorders>
            <w:shd w:val="clear" w:color="auto" w:fill="FFFFFF"/>
            <w:vAlign w:val="top"/>
          </w:tcPr>
          <w:p w14:paraId="6BB8D3F4">
            <w:pPr>
              <w:rPr>
                <w:rFonts w:ascii="Arial"/>
                <w:sz w:val="21"/>
              </w:rPr>
            </w:pPr>
          </w:p>
        </w:tc>
        <w:tc>
          <w:tcPr>
            <w:tcW w:w="429" w:type="dxa"/>
            <w:vMerge w:val="restart"/>
            <w:tcBorders>
              <w:bottom w:val="nil"/>
            </w:tcBorders>
            <w:vAlign w:val="top"/>
          </w:tcPr>
          <w:p w14:paraId="61CB58F5">
            <w:pPr>
              <w:rPr>
                <w:rFonts w:ascii="Arial"/>
                <w:sz w:val="21"/>
              </w:rPr>
            </w:pPr>
          </w:p>
        </w:tc>
        <w:tc>
          <w:tcPr>
            <w:tcW w:w="759" w:type="dxa"/>
            <w:gridSpan w:val="2"/>
            <w:vAlign w:val="top"/>
          </w:tcPr>
          <w:p w14:paraId="3D953CB6">
            <w:pPr>
              <w:rPr>
                <w:rFonts w:ascii="Arial"/>
                <w:sz w:val="21"/>
              </w:rPr>
            </w:pPr>
          </w:p>
        </w:tc>
        <w:tc>
          <w:tcPr>
            <w:tcW w:w="1398" w:type="dxa"/>
            <w:vAlign w:val="top"/>
          </w:tcPr>
          <w:p w14:paraId="231366F0">
            <w:pPr>
              <w:rPr>
                <w:rFonts w:ascii="Arial"/>
                <w:sz w:val="21"/>
              </w:rPr>
            </w:pPr>
          </w:p>
        </w:tc>
        <w:tc>
          <w:tcPr>
            <w:tcW w:w="5554" w:type="dxa"/>
            <w:vAlign w:val="top"/>
          </w:tcPr>
          <w:p w14:paraId="0533B9B2">
            <w:pPr>
              <w:pStyle w:val="6"/>
              <w:spacing w:before="53" w:line="209" w:lineRule="auto"/>
              <w:ind w:left="94" w:firstLine="49"/>
              <w:rPr>
                <w:sz w:val="21"/>
                <w:szCs w:val="21"/>
              </w:rPr>
            </w:pPr>
            <w:r>
              <w:rPr>
                <w:spacing w:val="-1"/>
                <w:sz w:val="21"/>
                <w:szCs w:val="21"/>
              </w:rPr>
              <w:t>线，跨越长度合计636m。跨越生态红线主要功能为水土保</w:t>
            </w:r>
            <w:r>
              <w:rPr>
                <w:spacing w:val="4"/>
                <w:sz w:val="21"/>
                <w:szCs w:val="21"/>
              </w:rPr>
              <w:t xml:space="preserve">  </w:t>
            </w:r>
            <w:r>
              <w:rPr>
                <w:sz w:val="21"/>
                <w:szCs w:val="21"/>
              </w:rPr>
              <w:t>持。集电线路共设置114个塔基，塔基基座</w:t>
            </w:r>
            <w:r>
              <w:rPr>
                <w:spacing w:val="-1"/>
                <w:sz w:val="21"/>
                <w:szCs w:val="21"/>
              </w:rPr>
              <w:t>尺寸6.9m*6.9m。</w:t>
            </w:r>
          </w:p>
        </w:tc>
        <w:tc>
          <w:tcPr>
            <w:tcW w:w="395" w:type="dxa"/>
            <w:vMerge w:val="restart"/>
            <w:tcBorders>
              <w:bottom w:val="nil"/>
            </w:tcBorders>
            <w:vAlign w:val="top"/>
          </w:tcPr>
          <w:p w14:paraId="51D2F83D">
            <w:pPr>
              <w:rPr>
                <w:rFonts w:ascii="Arial"/>
                <w:sz w:val="21"/>
              </w:rPr>
            </w:pPr>
          </w:p>
        </w:tc>
      </w:tr>
      <w:tr w14:paraId="5DBA7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3" w:hRule="atLeast"/>
        </w:trPr>
        <w:tc>
          <w:tcPr>
            <w:tcW w:w="434" w:type="dxa"/>
            <w:vMerge w:val="continue"/>
            <w:tcBorders>
              <w:top w:val="nil"/>
              <w:bottom w:val="nil"/>
            </w:tcBorders>
            <w:vAlign w:val="top"/>
          </w:tcPr>
          <w:p w14:paraId="4624DC45">
            <w:pPr>
              <w:rPr>
                <w:rFonts w:ascii="Arial"/>
                <w:sz w:val="21"/>
              </w:rPr>
            </w:pPr>
          </w:p>
        </w:tc>
        <w:tc>
          <w:tcPr>
            <w:tcW w:w="100" w:type="dxa"/>
            <w:tcBorders>
              <w:top w:val="nil"/>
              <w:bottom w:val="nil"/>
            </w:tcBorders>
            <w:shd w:val="clear" w:color="auto" w:fill="FFFFFF"/>
            <w:vAlign w:val="top"/>
          </w:tcPr>
          <w:p w14:paraId="38DBB192">
            <w:pPr>
              <w:rPr>
                <w:rFonts w:ascii="Arial"/>
                <w:sz w:val="21"/>
              </w:rPr>
            </w:pPr>
          </w:p>
        </w:tc>
        <w:tc>
          <w:tcPr>
            <w:tcW w:w="429" w:type="dxa"/>
            <w:vMerge w:val="continue"/>
            <w:tcBorders>
              <w:top w:val="nil"/>
            </w:tcBorders>
            <w:vAlign w:val="top"/>
          </w:tcPr>
          <w:p w14:paraId="1B4317C2">
            <w:pPr>
              <w:rPr>
                <w:rFonts w:ascii="Arial"/>
                <w:sz w:val="21"/>
              </w:rPr>
            </w:pPr>
          </w:p>
        </w:tc>
        <w:tc>
          <w:tcPr>
            <w:tcW w:w="2157" w:type="dxa"/>
            <w:gridSpan w:val="3"/>
            <w:vAlign w:val="top"/>
          </w:tcPr>
          <w:p w14:paraId="0299C17C">
            <w:pPr>
              <w:spacing w:line="267" w:lineRule="auto"/>
              <w:rPr>
                <w:rFonts w:ascii="Arial"/>
                <w:sz w:val="21"/>
              </w:rPr>
            </w:pPr>
          </w:p>
          <w:p w14:paraId="1D9B5DE4">
            <w:pPr>
              <w:spacing w:line="268" w:lineRule="auto"/>
              <w:rPr>
                <w:rFonts w:ascii="Arial"/>
                <w:sz w:val="21"/>
              </w:rPr>
            </w:pPr>
          </w:p>
          <w:p w14:paraId="5DE074A2">
            <w:pPr>
              <w:spacing w:line="268" w:lineRule="auto"/>
              <w:rPr>
                <w:rFonts w:ascii="Arial"/>
                <w:sz w:val="21"/>
              </w:rPr>
            </w:pPr>
          </w:p>
          <w:p w14:paraId="19D4A23D">
            <w:pPr>
              <w:spacing w:line="268" w:lineRule="auto"/>
              <w:rPr>
                <w:rFonts w:ascii="Arial"/>
                <w:sz w:val="21"/>
              </w:rPr>
            </w:pPr>
          </w:p>
          <w:p w14:paraId="40370002">
            <w:pPr>
              <w:spacing w:line="268" w:lineRule="auto"/>
              <w:rPr>
                <w:rFonts w:ascii="Arial"/>
                <w:sz w:val="21"/>
              </w:rPr>
            </w:pPr>
          </w:p>
          <w:p w14:paraId="0918C4A9">
            <w:pPr>
              <w:pStyle w:val="6"/>
              <w:spacing w:before="68" w:line="221" w:lineRule="auto"/>
              <w:ind w:left="751"/>
              <w:rPr>
                <w:sz w:val="21"/>
                <w:szCs w:val="21"/>
              </w:rPr>
            </w:pPr>
            <w:r>
              <w:rPr>
                <w:spacing w:val="3"/>
                <w:sz w:val="21"/>
                <w:szCs w:val="21"/>
              </w:rPr>
              <w:t>升压站</w:t>
            </w:r>
          </w:p>
        </w:tc>
        <w:tc>
          <w:tcPr>
            <w:tcW w:w="5554" w:type="dxa"/>
            <w:vAlign w:val="top"/>
          </w:tcPr>
          <w:p w14:paraId="39EA0722">
            <w:pPr>
              <w:pStyle w:val="6"/>
              <w:spacing w:before="63" w:line="218" w:lineRule="auto"/>
              <w:ind w:left="104" w:right="189" w:firstLine="90"/>
              <w:rPr>
                <w:sz w:val="21"/>
                <w:szCs w:val="21"/>
              </w:rPr>
            </w:pPr>
            <w:r>
              <w:rPr>
                <w:sz w:val="21"/>
                <w:szCs w:val="21"/>
              </w:rPr>
              <w:t>本项目在场址中部地块四内建设一座220kV升压站，建设</w:t>
            </w:r>
            <w:r>
              <w:rPr>
                <w:spacing w:val="13"/>
                <w:sz w:val="21"/>
                <w:szCs w:val="21"/>
              </w:rPr>
              <w:t xml:space="preserve"> </w:t>
            </w:r>
            <w:r>
              <w:rPr>
                <w:spacing w:val="4"/>
                <w:sz w:val="21"/>
                <w:szCs w:val="21"/>
              </w:rPr>
              <w:t>场地长105m,宽104.9m,占地面</w:t>
            </w:r>
            <w:r>
              <w:rPr>
                <w:spacing w:val="3"/>
                <w:sz w:val="21"/>
                <w:szCs w:val="21"/>
              </w:rPr>
              <w:t>积为1.1014</w:t>
            </w:r>
            <w:r>
              <w:rPr>
                <w:sz w:val="21"/>
                <w:szCs w:val="21"/>
              </w:rPr>
              <w:t>hm</w:t>
            </w:r>
            <w:r>
              <w:rPr>
                <w:spacing w:val="3"/>
                <w:sz w:val="21"/>
                <w:szCs w:val="21"/>
              </w:rPr>
              <w:t>²。升压站</w:t>
            </w:r>
          </w:p>
          <w:p w14:paraId="4FC9F430">
            <w:pPr>
              <w:pStyle w:val="6"/>
              <w:spacing w:before="26" w:line="242" w:lineRule="auto"/>
              <w:ind w:left="44" w:right="48" w:firstLine="100"/>
              <w:rPr>
                <w:sz w:val="21"/>
                <w:szCs w:val="21"/>
              </w:rPr>
            </w:pPr>
            <w:r>
              <w:rPr>
                <w:spacing w:val="-1"/>
                <w:sz w:val="21"/>
                <w:szCs w:val="21"/>
              </w:rPr>
              <w:t>大门布置在场地东北侧，站内道路为最小4.5m宽混凝土路</w:t>
            </w:r>
            <w:r>
              <w:rPr>
                <w:spacing w:val="7"/>
                <w:sz w:val="21"/>
                <w:szCs w:val="21"/>
              </w:rPr>
              <w:t xml:space="preserve">  </w:t>
            </w:r>
            <w:r>
              <w:rPr>
                <w:spacing w:val="-1"/>
                <w:sz w:val="21"/>
                <w:szCs w:val="21"/>
              </w:rPr>
              <w:t>面，在站内形成环形通道，道路净高不小于4m。升压站35kV</w:t>
            </w:r>
            <w:r>
              <w:rPr>
                <w:spacing w:val="18"/>
                <w:sz w:val="21"/>
                <w:szCs w:val="21"/>
              </w:rPr>
              <w:t xml:space="preserve"> </w:t>
            </w:r>
            <w:r>
              <w:rPr>
                <w:spacing w:val="1"/>
                <w:sz w:val="21"/>
                <w:szCs w:val="21"/>
              </w:rPr>
              <w:t>进线从南侧及北侧进入，220</w:t>
            </w:r>
            <w:r>
              <w:rPr>
                <w:sz w:val="21"/>
                <w:szCs w:val="21"/>
              </w:rPr>
              <w:t>kV</w:t>
            </w:r>
            <w:r>
              <w:rPr>
                <w:spacing w:val="1"/>
                <w:sz w:val="21"/>
                <w:szCs w:val="21"/>
              </w:rPr>
              <w:t>出线由北侧出线，各电气设</w:t>
            </w:r>
            <w:r>
              <w:rPr>
                <w:spacing w:val="16"/>
                <w:sz w:val="21"/>
                <w:szCs w:val="21"/>
              </w:rPr>
              <w:t xml:space="preserve"> </w:t>
            </w:r>
            <w:r>
              <w:rPr>
                <w:spacing w:val="4"/>
                <w:sz w:val="21"/>
                <w:szCs w:val="21"/>
              </w:rPr>
              <w:t>备之间通过电缆沟连接。变电站东北侧布置综合楼及附属</w:t>
            </w:r>
            <w:r>
              <w:rPr>
                <w:spacing w:val="17"/>
                <w:sz w:val="21"/>
                <w:szCs w:val="21"/>
              </w:rPr>
              <w:t xml:space="preserve"> </w:t>
            </w:r>
            <w:r>
              <w:rPr>
                <w:spacing w:val="9"/>
                <w:sz w:val="21"/>
                <w:szCs w:val="21"/>
              </w:rPr>
              <w:t>用房，东南角布置面积162m²的仓库和面积69.</w:t>
            </w:r>
            <w:r>
              <w:rPr>
                <w:spacing w:val="8"/>
                <w:sz w:val="21"/>
                <w:szCs w:val="21"/>
              </w:rPr>
              <w:t>3m²的危废</w:t>
            </w:r>
          </w:p>
          <w:p w14:paraId="4DBB890F">
            <w:pPr>
              <w:pStyle w:val="6"/>
              <w:spacing w:before="9" w:line="235" w:lineRule="auto"/>
              <w:ind w:left="44" w:right="29" w:firstLine="150"/>
              <w:rPr>
                <w:sz w:val="21"/>
                <w:szCs w:val="21"/>
              </w:rPr>
            </w:pPr>
            <w:r>
              <w:rPr>
                <w:sz w:val="21"/>
                <w:szCs w:val="21"/>
              </w:rPr>
              <w:t>品库，中部布置35kV预制舱、主变压器、GIS、接地变及</w:t>
            </w:r>
            <w:r>
              <w:rPr>
                <w:spacing w:val="7"/>
                <w:sz w:val="21"/>
                <w:szCs w:val="21"/>
              </w:rPr>
              <w:t xml:space="preserve">  </w:t>
            </w:r>
            <w:r>
              <w:rPr>
                <w:spacing w:val="4"/>
                <w:sz w:val="21"/>
                <w:szCs w:val="21"/>
              </w:rPr>
              <w:t>事故油池，总建筑面积为1814.24m²。西北</w:t>
            </w:r>
            <w:r>
              <w:rPr>
                <w:spacing w:val="3"/>
                <w:sz w:val="21"/>
                <w:szCs w:val="21"/>
              </w:rPr>
              <w:t>侧布置消防水池</w:t>
            </w:r>
            <w:r>
              <w:rPr>
                <w:sz w:val="21"/>
                <w:szCs w:val="21"/>
              </w:rPr>
              <w:t xml:space="preserve"> </w:t>
            </w:r>
            <w:r>
              <w:rPr>
                <w:spacing w:val="3"/>
                <w:sz w:val="21"/>
                <w:szCs w:val="21"/>
              </w:rPr>
              <w:t>及水泵房。升压站四周设2.5m高砖砌围墙。绿化面积</w:t>
            </w:r>
          </w:p>
          <w:p w14:paraId="108BC1DB">
            <w:pPr>
              <w:pStyle w:val="6"/>
              <w:spacing w:before="30" w:line="183" w:lineRule="auto"/>
              <w:ind w:left="94"/>
              <w:rPr>
                <w:sz w:val="21"/>
                <w:szCs w:val="21"/>
              </w:rPr>
            </w:pPr>
            <w:r>
              <w:rPr>
                <w:spacing w:val="-6"/>
                <w:sz w:val="21"/>
                <w:szCs w:val="21"/>
              </w:rPr>
              <w:t>500m²。</w:t>
            </w:r>
          </w:p>
        </w:tc>
        <w:tc>
          <w:tcPr>
            <w:tcW w:w="395" w:type="dxa"/>
            <w:vMerge w:val="continue"/>
            <w:tcBorders>
              <w:top w:val="nil"/>
              <w:bottom w:val="nil"/>
            </w:tcBorders>
            <w:vAlign w:val="top"/>
          </w:tcPr>
          <w:p w14:paraId="5584C5BD">
            <w:pPr>
              <w:rPr>
                <w:rFonts w:ascii="Arial"/>
                <w:sz w:val="21"/>
              </w:rPr>
            </w:pPr>
          </w:p>
        </w:tc>
      </w:tr>
      <w:tr w14:paraId="7ED8D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 w:hRule="atLeast"/>
        </w:trPr>
        <w:tc>
          <w:tcPr>
            <w:tcW w:w="434" w:type="dxa"/>
            <w:vMerge w:val="continue"/>
            <w:tcBorders>
              <w:top w:val="nil"/>
              <w:bottom w:val="nil"/>
            </w:tcBorders>
            <w:vAlign w:val="top"/>
          </w:tcPr>
          <w:p w14:paraId="26AC2E34">
            <w:pPr>
              <w:rPr>
                <w:rFonts w:ascii="Arial"/>
                <w:sz w:val="21"/>
              </w:rPr>
            </w:pPr>
          </w:p>
        </w:tc>
        <w:tc>
          <w:tcPr>
            <w:tcW w:w="100" w:type="dxa"/>
            <w:tcBorders>
              <w:top w:val="nil"/>
              <w:bottom w:val="nil"/>
            </w:tcBorders>
            <w:shd w:val="clear" w:color="auto" w:fill="FFFFFF"/>
            <w:vAlign w:val="top"/>
          </w:tcPr>
          <w:p w14:paraId="37D9BA7E">
            <w:pPr>
              <w:rPr>
                <w:rFonts w:ascii="Arial"/>
                <w:sz w:val="21"/>
              </w:rPr>
            </w:pPr>
          </w:p>
        </w:tc>
        <w:tc>
          <w:tcPr>
            <w:tcW w:w="429" w:type="dxa"/>
            <w:vMerge w:val="restart"/>
            <w:tcBorders>
              <w:bottom w:val="nil"/>
            </w:tcBorders>
            <w:textDirection w:val="tbRlV"/>
            <w:vAlign w:val="top"/>
          </w:tcPr>
          <w:p w14:paraId="563E33FC">
            <w:pPr>
              <w:pStyle w:val="6"/>
              <w:spacing w:before="135" w:line="203" w:lineRule="auto"/>
              <w:ind w:left="532"/>
              <w:rPr>
                <w:sz w:val="21"/>
                <w:szCs w:val="21"/>
              </w:rPr>
            </w:pPr>
            <w:r>
              <w:rPr>
                <w:sz w:val="21"/>
                <w:szCs w:val="21"/>
              </w:rPr>
              <w:t>辅</w:t>
            </w:r>
            <w:r>
              <w:rPr>
                <w:spacing w:val="-20"/>
                <w:sz w:val="21"/>
                <w:szCs w:val="21"/>
              </w:rPr>
              <w:t xml:space="preserve"> </w:t>
            </w:r>
            <w:r>
              <w:rPr>
                <w:sz w:val="21"/>
                <w:szCs w:val="21"/>
              </w:rPr>
              <w:t>助</w:t>
            </w:r>
            <w:r>
              <w:rPr>
                <w:spacing w:val="-20"/>
                <w:sz w:val="21"/>
                <w:szCs w:val="21"/>
              </w:rPr>
              <w:t xml:space="preserve"> </w:t>
            </w:r>
            <w:r>
              <w:rPr>
                <w:sz w:val="21"/>
                <w:szCs w:val="21"/>
              </w:rPr>
              <w:t>工</w:t>
            </w:r>
            <w:r>
              <w:rPr>
                <w:spacing w:val="-20"/>
                <w:sz w:val="21"/>
                <w:szCs w:val="21"/>
              </w:rPr>
              <w:t xml:space="preserve"> </w:t>
            </w:r>
            <w:r>
              <w:rPr>
                <w:sz w:val="21"/>
                <w:szCs w:val="21"/>
              </w:rPr>
              <w:t>程</w:t>
            </w:r>
          </w:p>
        </w:tc>
        <w:tc>
          <w:tcPr>
            <w:tcW w:w="2157" w:type="dxa"/>
            <w:gridSpan w:val="3"/>
            <w:vAlign w:val="top"/>
          </w:tcPr>
          <w:p w14:paraId="7D72A9CC">
            <w:pPr>
              <w:pStyle w:val="6"/>
              <w:spacing w:before="301" w:line="219" w:lineRule="auto"/>
              <w:ind w:left="651"/>
              <w:rPr>
                <w:sz w:val="21"/>
                <w:szCs w:val="21"/>
              </w:rPr>
            </w:pPr>
            <w:r>
              <w:rPr>
                <w:spacing w:val="-2"/>
                <w:sz w:val="21"/>
                <w:szCs w:val="21"/>
              </w:rPr>
              <w:t>场内道路</w:t>
            </w:r>
          </w:p>
        </w:tc>
        <w:tc>
          <w:tcPr>
            <w:tcW w:w="5554" w:type="dxa"/>
            <w:vAlign w:val="top"/>
          </w:tcPr>
          <w:p w14:paraId="110017A0">
            <w:pPr>
              <w:pStyle w:val="6"/>
              <w:spacing w:before="30" w:line="217" w:lineRule="auto"/>
              <w:ind w:left="125" w:right="156" w:firstLine="20"/>
              <w:jc w:val="both"/>
              <w:rPr>
                <w:sz w:val="21"/>
                <w:szCs w:val="21"/>
              </w:rPr>
            </w:pPr>
            <w:r>
              <w:rPr>
                <w:spacing w:val="-1"/>
                <w:sz w:val="21"/>
                <w:szCs w:val="21"/>
              </w:rPr>
              <w:t>场区周边有多条乡村道路通往场区，交通便利，不进行新</w:t>
            </w:r>
            <w:r>
              <w:rPr>
                <w:spacing w:val="16"/>
                <w:sz w:val="21"/>
                <w:szCs w:val="21"/>
              </w:rPr>
              <w:t xml:space="preserve"> </w:t>
            </w:r>
            <w:r>
              <w:rPr>
                <w:sz w:val="21"/>
                <w:szCs w:val="21"/>
              </w:rPr>
              <w:t>建道路。对部分路面进行改造填平和弯道进行加宽，部分</w:t>
            </w:r>
            <w:r>
              <w:rPr>
                <w:spacing w:val="8"/>
                <w:sz w:val="21"/>
                <w:szCs w:val="21"/>
              </w:rPr>
              <w:t xml:space="preserve"> </w:t>
            </w:r>
            <w:r>
              <w:rPr>
                <w:sz w:val="21"/>
                <w:szCs w:val="21"/>
              </w:rPr>
              <w:t>改造后的路面为20cm石渣路面。改造道路合计2.36km。</w:t>
            </w:r>
          </w:p>
        </w:tc>
        <w:tc>
          <w:tcPr>
            <w:tcW w:w="395" w:type="dxa"/>
            <w:vMerge w:val="continue"/>
            <w:tcBorders>
              <w:top w:val="nil"/>
              <w:bottom w:val="nil"/>
            </w:tcBorders>
            <w:vAlign w:val="top"/>
          </w:tcPr>
          <w:p w14:paraId="2EA7E69C">
            <w:pPr>
              <w:rPr>
                <w:rFonts w:ascii="Arial"/>
                <w:sz w:val="21"/>
              </w:rPr>
            </w:pPr>
          </w:p>
        </w:tc>
      </w:tr>
      <w:tr w14:paraId="0329B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434" w:type="dxa"/>
            <w:vMerge w:val="continue"/>
            <w:tcBorders>
              <w:top w:val="nil"/>
              <w:bottom w:val="nil"/>
            </w:tcBorders>
            <w:vAlign w:val="top"/>
          </w:tcPr>
          <w:p w14:paraId="2A9EA122">
            <w:pPr>
              <w:rPr>
                <w:rFonts w:ascii="Arial"/>
                <w:sz w:val="21"/>
              </w:rPr>
            </w:pPr>
          </w:p>
        </w:tc>
        <w:tc>
          <w:tcPr>
            <w:tcW w:w="100" w:type="dxa"/>
            <w:tcBorders>
              <w:top w:val="nil"/>
              <w:bottom w:val="nil"/>
            </w:tcBorders>
            <w:shd w:val="clear" w:color="auto" w:fill="FFFFFF"/>
            <w:vAlign w:val="top"/>
          </w:tcPr>
          <w:p w14:paraId="61D03435">
            <w:pPr>
              <w:rPr>
                <w:rFonts w:ascii="Arial"/>
                <w:sz w:val="21"/>
              </w:rPr>
            </w:pPr>
          </w:p>
        </w:tc>
        <w:tc>
          <w:tcPr>
            <w:tcW w:w="429" w:type="dxa"/>
            <w:vMerge w:val="continue"/>
            <w:tcBorders>
              <w:top w:val="nil"/>
            </w:tcBorders>
            <w:textDirection w:val="tbRlV"/>
            <w:vAlign w:val="top"/>
          </w:tcPr>
          <w:p w14:paraId="37AAC320">
            <w:pPr>
              <w:rPr>
                <w:rFonts w:ascii="Arial"/>
                <w:sz w:val="21"/>
              </w:rPr>
            </w:pPr>
          </w:p>
        </w:tc>
        <w:tc>
          <w:tcPr>
            <w:tcW w:w="2157" w:type="dxa"/>
            <w:gridSpan w:val="3"/>
            <w:vAlign w:val="top"/>
          </w:tcPr>
          <w:p w14:paraId="44CD0F1A">
            <w:pPr>
              <w:spacing w:line="264" w:lineRule="auto"/>
              <w:rPr>
                <w:rFonts w:ascii="Arial"/>
                <w:sz w:val="21"/>
              </w:rPr>
            </w:pPr>
          </w:p>
          <w:p w14:paraId="43E3DCB2">
            <w:pPr>
              <w:spacing w:line="265" w:lineRule="auto"/>
              <w:rPr>
                <w:rFonts w:ascii="Arial"/>
                <w:sz w:val="21"/>
              </w:rPr>
            </w:pPr>
          </w:p>
          <w:p w14:paraId="0B0B3564">
            <w:pPr>
              <w:pStyle w:val="6"/>
              <w:spacing w:before="69" w:line="220" w:lineRule="auto"/>
              <w:ind w:left="541"/>
              <w:rPr>
                <w:sz w:val="21"/>
                <w:szCs w:val="21"/>
              </w:rPr>
            </w:pPr>
            <w:r>
              <w:rPr>
                <w:spacing w:val="-2"/>
                <w:sz w:val="21"/>
                <w:szCs w:val="21"/>
              </w:rPr>
              <w:t>大门及围栏</w:t>
            </w:r>
          </w:p>
        </w:tc>
        <w:tc>
          <w:tcPr>
            <w:tcW w:w="5554" w:type="dxa"/>
            <w:vAlign w:val="top"/>
          </w:tcPr>
          <w:p w14:paraId="5E84C709">
            <w:pPr>
              <w:pStyle w:val="6"/>
              <w:spacing w:before="68" w:line="234" w:lineRule="auto"/>
              <w:ind w:left="304" w:right="133" w:hanging="109"/>
              <w:rPr>
                <w:sz w:val="21"/>
                <w:szCs w:val="21"/>
              </w:rPr>
            </w:pPr>
            <w:r>
              <w:rPr>
                <w:spacing w:val="2"/>
                <w:sz w:val="21"/>
                <w:szCs w:val="21"/>
              </w:rPr>
              <w:t>沿光伏发电场阵列外侧设置钢丝网围栏，围栏高度1.8m,</w:t>
            </w:r>
            <w:r>
              <w:rPr>
                <w:spacing w:val="15"/>
                <w:sz w:val="21"/>
                <w:szCs w:val="21"/>
              </w:rPr>
              <w:t xml:space="preserve"> </w:t>
            </w:r>
            <w:r>
              <w:rPr>
                <w:sz w:val="21"/>
                <w:szCs w:val="21"/>
              </w:rPr>
              <w:t>采用直径4mm的浸塑钢丝，网片间距为150</w:t>
            </w:r>
            <w:r>
              <w:rPr>
                <w:spacing w:val="-1"/>
                <w:sz w:val="21"/>
                <w:szCs w:val="21"/>
              </w:rPr>
              <w:t>mm×75mm,立</w:t>
            </w:r>
            <w:r>
              <w:rPr>
                <w:sz w:val="21"/>
                <w:szCs w:val="21"/>
              </w:rPr>
              <w:t xml:space="preserve">  </w:t>
            </w:r>
            <w:r>
              <w:rPr>
                <w:spacing w:val="-1"/>
                <w:sz w:val="21"/>
                <w:szCs w:val="21"/>
              </w:rPr>
              <w:t>柱采用直径50mm的浸塑钢管，立柱布置间距为3m,钢丝</w:t>
            </w:r>
          </w:p>
          <w:p w14:paraId="65A62DC3">
            <w:pPr>
              <w:pStyle w:val="6"/>
              <w:spacing w:before="1" w:line="219" w:lineRule="auto"/>
              <w:ind w:left="135" w:right="236" w:firstLine="119"/>
              <w:rPr>
                <w:sz w:val="21"/>
                <w:szCs w:val="21"/>
              </w:rPr>
            </w:pPr>
            <w:r>
              <w:rPr>
                <w:sz w:val="21"/>
                <w:szCs w:val="21"/>
              </w:rPr>
              <w:t>网围栏总长81km,其上布置安全监控设备。在入口处(场</w:t>
            </w:r>
            <w:r>
              <w:rPr>
                <w:spacing w:val="11"/>
                <w:sz w:val="21"/>
                <w:szCs w:val="21"/>
              </w:rPr>
              <w:t xml:space="preserve"> </w:t>
            </w:r>
            <w:r>
              <w:rPr>
                <w:spacing w:val="-1"/>
                <w:sz w:val="21"/>
                <w:szCs w:val="21"/>
              </w:rPr>
              <w:t>内施工道路接入点)设置对开钢大门。</w:t>
            </w:r>
          </w:p>
        </w:tc>
        <w:tc>
          <w:tcPr>
            <w:tcW w:w="395" w:type="dxa"/>
            <w:vMerge w:val="continue"/>
            <w:tcBorders>
              <w:top w:val="nil"/>
              <w:bottom w:val="nil"/>
            </w:tcBorders>
            <w:vAlign w:val="top"/>
          </w:tcPr>
          <w:p w14:paraId="34703BFF">
            <w:pPr>
              <w:rPr>
                <w:rFonts w:ascii="Arial"/>
                <w:sz w:val="21"/>
              </w:rPr>
            </w:pPr>
          </w:p>
        </w:tc>
      </w:tr>
      <w:tr w14:paraId="7440E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434" w:type="dxa"/>
            <w:vMerge w:val="continue"/>
            <w:tcBorders>
              <w:top w:val="nil"/>
              <w:bottom w:val="nil"/>
            </w:tcBorders>
            <w:vAlign w:val="top"/>
          </w:tcPr>
          <w:p w14:paraId="5FDEAB40">
            <w:pPr>
              <w:rPr>
                <w:rFonts w:ascii="Arial"/>
                <w:sz w:val="21"/>
              </w:rPr>
            </w:pPr>
          </w:p>
        </w:tc>
        <w:tc>
          <w:tcPr>
            <w:tcW w:w="100" w:type="dxa"/>
            <w:tcBorders>
              <w:top w:val="nil"/>
              <w:bottom w:val="nil"/>
            </w:tcBorders>
            <w:shd w:val="clear" w:color="auto" w:fill="FFFFFF"/>
            <w:vAlign w:val="top"/>
          </w:tcPr>
          <w:p w14:paraId="7EA61CAB">
            <w:pPr>
              <w:rPr>
                <w:rFonts w:ascii="Arial"/>
                <w:sz w:val="21"/>
              </w:rPr>
            </w:pPr>
          </w:p>
        </w:tc>
        <w:tc>
          <w:tcPr>
            <w:tcW w:w="429" w:type="dxa"/>
            <w:vMerge w:val="restart"/>
            <w:tcBorders>
              <w:bottom w:val="nil"/>
            </w:tcBorders>
            <w:textDirection w:val="tbRlV"/>
            <w:vAlign w:val="top"/>
          </w:tcPr>
          <w:p w14:paraId="28E64FD5">
            <w:pPr>
              <w:pStyle w:val="6"/>
              <w:spacing w:before="125" w:line="202" w:lineRule="auto"/>
              <w:ind w:left="1524"/>
              <w:rPr>
                <w:sz w:val="21"/>
                <w:szCs w:val="21"/>
              </w:rPr>
            </w:pPr>
            <w:r>
              <w:rPr>
                <w:color w:val="403040"/>
                <w:sz w:val="21"/>
                <w:szCs w:val="21"/>
              </w:rPr>
              <w:t>临</w:t>
            </w:r>
            <w:r>
              <w:rPr>
                <w:color w:val="403040"/>
                <w:spacing w:val="-27"/>
                <w:sz w:val="21"/>
                <w:szCs w:val="21"/>
              </w:rPr>
              <w:t xml:space="preserve"> </w:t>
            </w:r>
            <w:r>
              <w:rPr>
                <w:color w:val="403040"/>
                <w:sz w:val="21"/>
                <w:szCs w:val="21"/>
              </w:rPr>
              <w:t>时</w:t>
            </w:r>
            <w:r>
              <w:rPr>
                <w:color w:val="403040"/>
                <w:spacing w:val="-27"/>
                <w:sz w:val="21"/>
                <w:szCs w:val="21"/>
              </w:rPr>
              <w:t xml:space="preserve"> </w:t>
            </w:r>
            <w:r>
              <w:rPr>
                <w:color w:val="403040"/>
                <w:sz w:val="21"/>
                <w:szCs w:val="21"/>
              </w:rPr>
              <w:t>工</w:t>
            </w:r>
            <w:r>
              <w:rPr>
                <w:color w:val="403040"/>
                <w:spacing w:val="-27"/>
                <w:sz w:val="21"/>
                <w:szCs w:val="21"/>
              </w:rPr>
              <w:t xml:space="preserve"> </w:t>
            </w:r>
            <w:r>
              <w:rPr>
                <w:color w:val="403040"/>
                <w:sz w:val="21"/>
                <w:szCs w:val="21"/>
              </w:rPr>
              <w:t>程</w:t>
            </w:r>
          </w:p>
        </w:tc>
        <w:tc>
          <w:tcPr>
            <w:tcW w:w="2157" w:type="dxa"/>
            <w:gridSpan w:val="3"/>
            <w:vAlign w:val="top"/>
          </w:tcPr>
          <w:p w14:paraId="41FFA421">
            <w:pPr>
              <w:pStyle w:val="6"/>
              <w:spacing w:before="173" w:line="219" w:lineRule="auto"/>
              <w:ind w:left="231"/>
              <w:rPr>
                <w:sz w:val="21"/>
                <w:szCs w:val="21"/>
              </w:rPr>
            </w:pPr>
            <w:r>
              <w:rPr>
                <w:spacing w:val="1"/>
                <w:sz w:val="21"/>
                <w:szCs w:val="21"/>
              </w:rPr>
              <w:t>综合仓库及加工厂</w:t>
            </w:r>
          </w:p>
        </w:tc>
        <w:tc>
          <w:tcPr>
            <w:tcW w:w="5554" w:type="dxa"/>
            <w:vAlign w:val="top"/>
          </w:tcPr>
          <w:p w14:paraId="05F09DF7">
            <w:pPr>
              <w:pStyle w:val="6"/>
              <w:spacing w:before="51" w:line="212" w:lineRule="auto"/>
              <w:ind w:left="125" w:right="158" w:firstLine="20"/>
              <w:rPr>
                <w:sz w:val="21"/>
                <w:szCs w:val="21"/>
              </w:rPr>
            </w:pPr>
            <w:r>
              <w:rPr>
                <w:spacing w:val="-1"/>
                <w:sz w:val="21"/>
                <w:szCs w:val="21"/>
              </w:rPr>
              <w:t>光伏板支架及塔基支架直接拉至场内安装，场内不设置综</w:t>
            </w:r>
            <w:r>
              <w:rPr>
                <w:spacing w:val="14"/>
                <w:sz w:val="21"/>
                <w:szCs w:val="21"/>
              </w:rPr>
              <w:t xml:space="preserve"> </w:t>
            </w:r>
            <w:r>
              <w:rPr>
                <w:spacing w:val="-1"/>
                <w:sz w:val="21"/>
                <w:szCs w:val="21"/>
              </w:rPr>
              <w:t>合仓库和加工厂。</w:t>
            </w:r>
          </w:p>
        </w:tc>
        <w:tc>
          <w:tcPr>
            <w:tcW w:w="395" w:type="dxa"/>
            <w:vMerge w:val="continue"/>
            <w:tcBorders>
              <w:top w:val="nil"/>
              <w:bottom w:val="nil"/>
            </w:tcBorders>
            <w:vAlign w:val="top"/>
          </w:tcPr>
          <w:p w14:paraId="313EE15B">
            <w:pPr>
              <w:rPr>
                <w:rFonts w:ascii="Arial"/>
                <w:sz w:val="21"/>
              </w:rPr>
            </w:pPr>
          </w:p>
        </w:tc>
      </w:tr>
      <w:tr w14:paraId="63470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434" w:type="dxa"/>
            <w:vMerge w:val="continue"/>
            <w:tcBorders>
              <w:top w:val="nil"/>
              <w:bottom w:val="nil"/>
            </w:tcBorders>
            <w:vAlign w:val="top"/>
          </w:tcPr>
          <w:p w14:paraId="7BDC4854">
            <w:pPr>
              <w:rPr>
                <w:rFonts w:ascii="Arial"/>
                <w:sz w:val="21"/>
              </w:rPr>
            </w:pPr>
          </w:p>
        </w:tc>
        <w:tc>
          <w:tcPr>
            <w:tcW w:w="100" w:type="dxa"/>
            <w:tcBorders>
              <w:top w:val="nil"/>
              <w:bottom w:val="nil"/>
            </w:tcBorders>
            <w:shd w:val="clear" w:color="auto" w:fill="FFFFFF"/>
            <w:vAlign w:val="top"/>
          </w:tcPr>
          <w:p w14:paraId="0DA0B829">
            <w:pPr>
              <w:rPr>
                <w:rFonts w:ascii="Arial"/>
                <w:sz w:val="21"/>
              </w:rPr>
            </w:pPr>
          </w:p>
        </w:tc>
        <w:tc>
          <w:tcPr>
            <w:tcW w:w="429" w:type="dxa"/>
            <w:vMerge w:val="continue"/>
            <w:tcBorders>
              <w:top w:val="nil"/>
              <w:bottom w:val="nil"/>
            </w:tcBorders>
            <w:textDirection w:val="tbRlV"/>
            <w:vAlign w:val="top"/>
          </w:tcPr>
          <w:p w14:paraId="193BEFD3">
            <w:pPr>
              <w:rPr>
                <w:rFonts w:ascii="Arial"/>
                <w:sz w:val="21"/>
              </w:rPr>
            </w:pPr>
          </w:p>
        </w:tc>
        <w:tc>
          <w:tcPr>
            <w:tcW w:w="2157" w:type="dxa"/>
            <w:gridSpan w:val="3"/>
            <w:vAlign w:val="top"/>
          </w:tcPr>
          <w:p w14:paraId="58D8B9EB">
            <w:pPr>
              <w:spacing w:line="389" w:lineRule="auto"/>
              <w:rPr>
                <w:rFonts w:ascii="Arial"/>
                <w:sz w:val="21"/>
              </w:rPr>
            </w:pPr>
          </w:p>
          <w:p w14:paraId="686694F3">
            <w:pPr>
              <w:pStyle w:val="6"/>
              <w:spacing w:before="68" w:line="220" w:lineRule="auto"/>
              <w:ind w:left="541"/>
              <w:rPr>
                <w:sz w:val="21"/>
                <w:szCs w:val="21"/>
              </w:rPr>
            </w:pPr>
            <w:r>
              <w:rPr>
                <w:spacing w:val="-2"/>
                <w:sz w:val="21"/>
                <w:szCs w:val="21"/>
              </w:rPr>
              <w:t>混凝土拌合</w:t>
            </w:r>
          </w:p>
        </w:tc>
        <w:tc>
          <w:tcPr>
            <w:tcW w:w="5554" w:type="dxa"/>
            <w:vAlign w:val="top"/>
          </w:tcPr>
          <w:p w14:paraId="325D7BDF">
            <w:pPr>
              <w:pStyle w:val="6"/>
              <w:spacing w:before="48" w:line="219" w:lineRule="auto"/>
              <w:ind w:left="195"/>
              <w:rPr>
                <w:sz w:val="21"/>
                <w:szCs w:val="21"/>
              </w:rPr>
            </w:pPr>
            <w:r>
              <w:rPr>
                <w:sz w:val="21"/>
                <w:szCs w:val="21"/>
              </w:rPr>
              <w:t>混凝土主要用于光伏板基础、箱变基础、升压站土建等，</w:t>
            </w:r>
          </w:p>
          <w:p w14:paraId="744F39A0">
            <w:pPr>
              <w:pStyle w:val="6"/>
              <w:spacing w:before="30" w:line="219" w:lineRule="auto"/>
              <w:ind w:left="145"/>
              <w:rPr>
                <w:sz w:val="21"/>
                <w:szCs w:val="21"/>
              </w:rPr>
            </w:pPr>
            <w:r>
              <w:rPr>
                <w:sz w:val="21"/>
                <w:szCs w:val="21"/>
              </w:rPr>
              <w:t>升压站及塔基土建用混凝土为外购商品混凝土。光伏板支</w:t>
            </w:r>
          </w:p>
          <w:p w14:paraId="56C2F6C8">
            <w:pPr>
              <w:pStyle w:val="6"/>
              <w:spacing w:before="21" w:line="219" w:lineRule="auto"/>
              <w:ind w:left="145"/>
              <w:rPr>
                <w:sz w:val="21"/>
                <w:szCs w:val="21"/>
              </w:rPr>
            </w:pPr>
            <w:r>
              <w:rPr>
                <w:spacing w:val="-1"/>
                <w:sz w:val="21"/>
                <w:szCs w:val="21"/>
              </w:rPr>
              <w:t>架桩及箱变基础用混凝土在场地内使用小型拌合机自行拌</w:t>
            </w:r>
          </w:p>
          <w:p w14:paraId="5B1BB001">
            <w:pPr>
              <w:pStyle w:val="6"/>
              <w:spacing w:before="22" w:line="189" w:lineRule="auto"/>
              <w:ind w:left="1564"/>
              <w:rPr>
                <w:sz w:val="21"/>
                <w:szCs w:val="21"/>
              </w:rPr>
            </w:pPr>
            <w:r>
              <w:rPr>
                <w:spacing w:val="-1"/>
                <w:sz w:val="21"/>
                <w:szCs w:val="21"/>
              </w:rPr>
              <w:t>合。不设置混凝土拌合站。</w:t>
            </w:r>
          </w:p>
        </w:tc>
        <w:tc>
          <w:tcPr>
            <w:tcW w:w="395" w:type="dxa"/>
            <w:vMerge w:val="continue"/>
            <w:tcBorders>
              <w:top w:val="nil"/>
              <w:bottom w:val="nil"/>
            </w:tcBorders>
            <w:vAlign w:val="top"/>
          </w:tcPr>
          <w:p w14:paraId="5F987573">
            <w:pPr>
              <w:rPr>
                <w:rFonts w:ascii="Arial"/>
                <w:sz w:val="21"/>
              </w:rPr>
            </w:pPr>
          </w:p>
        </w:tc>
      </w:tr>
      <w:tr w14:paraId="10D37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3" w:hRule="atLeast"/>
        </w:trPr>
        <w:tc>
          <w:tcPr>
            <w:tcW w:w="434" w:type="dxa"/>
            <w:vMerge w:val="continue"/>
            <w:tcBorders>
              <w:top w:val="nil"/>
              <w:bottom w:val="nil"/>
            </w:tcBorders>
            <w:vAlign w:val="top"/>
          </w:tcPr>
          <w:p w14:paraId="7FBCEE69">
            <w:pPr>
              <w:rPr>
                <w:rFonts w:ascii="Arial"/>
                <w:sz w:val="21"/>
              </w:rPr>
            </w:pPr>
          </w:p>
        </w:tc>
        <w:tc>
          <w:tcPr>
            <w:tcW w:w="100" w:type="dxa"/>
            <w:tcBorders>
              <w:top w:val="nil"/>
              <w:bottom w:val="nil"/>
            </w:tcBorders>
            <w:shd w:val="clear" w:color="auto" w:fill="FFFFFF"/>
            <w:vAlign w:val="top"/>
          </w:tcPr>
          <w:p w14:paraId="408B40FA">
            <w:pPr>
              <w:rPr>
                <w:rFonts w:ascii="Arial"/>
                <w:sz w:val="21"/>
              </w:rPr>
            </w:pPr>
          </w:p>
        </w:tc>
        <w:tc>
          <w:tcPr>
            <w:tcW w:w="429" w:type="dxa"/>
            <w:vMerge w:val="continue"/>
            <w:tcBorders>
              <w:top w:val="nil"/>
              <w:bottom w:val="nil"/>
            </w:tcBorders>
            <w:textDirection w:val="tbRlV"/>
            <w:vAlign w:val="top"/>
          </w:tcPr>
          <w:p w14:paraId="09F37328">
            <w:pPr>
              <w:rPr>
                <w:rFonts w:ascii="Arial"/>
                <w:sz w:val="21"/>
              </w:rPr>
            </w:pPr>
          </w:p>
        </w:tc>
        <w:tc>
          <w:tcPr>
            <w:tcW w:w="2157" w:type="dxa"/>
            <w:gridSpan w:val="3"/>
            <w:vAlign w:val="top"/>
          </w:tcPr>
          <w:p w14:paraId="5815201D">
            <w:pPr>
              <w:spacing w:line="310" w:lineRule="auto"/>
              <w:rPr>
                <w:rFonts w:ascii="Arial"/>
                <w:sz w:val="21"/>
              </w:rPr>
            </w:pPr>
          </w:p>
          <w:p w14:paraId="13549790">
            <w:pPr>
              <w:spacing w:line="310" w:lineRule="auto"/>
              <w:rPr>
                <w:rFonts w:ascii="Arial"/>
                <w:sz w:val="21"/>
              </w:rPr>
            </w:pPr>
          </w:p>
          <w:p w14:paraId="5D980DDC">
            <w:pPr>
              <w:spacing w:line="310" w:lineRule="auto"/>
              <w:rPr>
                <w:rFonts w:ascii="Arial"/>
                <w:sz w:val="21"/>
              </w:rPr>
            </w:pPr>
          </w:p>
          <w:p w14:paraId="53961989">
            <w:pPr>
              <w:pStyle w:val="6"/>
              <w:spacing w:before="69" w:line="219" w:lineRule="auto"/>
              <w:ind w:left="651"/>
              <w:rPr>
                <w:sz w:val="21"/>
                <w:szCs w:val="21"/>
              </w:rPr>
            </w:pPr>
            <w:r>
              <w:rPr>
                <w:spacing w:val="2"/>
                <w:sz w:val="21"/>
                <w:szCs w:val="21"/>
              </w:rPr>
              <w:t>临时表土</w:t>
            </w:r>
          </w:p>
        </w:tc>
        <w:tc>
          <w:tcPr>
            <w:tcW w:w="5554" w:type="dxa"/>
            <w:vAlign w:val="top"/>
          </w:tcPr>
          <w:p w14:paraId="568D2F24">
            <w:pPr>
              <w:pStyle w:val="6"/>
              <w:spacing w:before="42"/>
              <w:ind w:left="74" w:right="130" w:firstLine="70"/>
              <w:rPr>
                <w:sz w:val="21"/>
                <w:szCs w:val="21"/>
              </w:rPr>
            </w:pPr>
            <w:r>
              <w:rPr>
                <w:sz w:val="21"/>
                <w:szCs w:val="21"/>
              </w:rPr>
              <w:t>①升压站表土集中堆存于升压站一角，用于后期升压站区</w:t>
            </w:r>
            <w:r>
              <w:rPr>
                <w:spacing w:val="17"/>
                <w:sz w:val="21"/>
                <w:szCs w:val="21"/>
              </w:rPr>
              <w:t xml:space="preserve"> </w:t>
            </w:r>
            <w:r>
              <w:rPr>
                <w:spacing w:val="8"/>
                <w:sz w:val="21"/>
                <w:szCs w:val="21"/>
              </w:rPr>
              <w:t>景观绿化，临时表土堆场占地面积0.01</w:t>
            </w:r>
            <w:r>
              <w:rPr>
                <w:sz w:val="21"/>
                <w:szCs w:val="21"/>
              </w:rPr>
              <w:t>hm</w:t>
            </w:r>
            <w:r>
              <w:rPr>
                <w:spacing w:val="8"/>
                <w:sz w:val="21"/>
                <w:szCs w:val="21"/>
              </w:rPr>
              <w:t>²,容量0.02万</w:t>
            </w:r>
            <w:r>
              <w:rPr>
                <w:spacing w:val="18"/>
                <w:sz w:val="21"/>
                <w:szCs w:val="21"/>
              </w:rPr>
              <w:t xml:space="preserve"> </w:t>
            </w:r>
            <w:r>
              <w:rPr>
                <w:spacing w:val="-6"/>
                <w:sz w:val="21"/>
                <w:szCs w:val="21"/>
              </w:rPr>
              <w:t>m³。</w:t>
            </w:r>
          </w:p>
          <w:p w14:paraId="348398D5">
            <w:pPr>
              <w:pStyle w:val="6"/>
              <w:spacing w:line="217" w:lineRule="auto"/>
              <w:ind w:left="114"/>
              <w:rPr>
                <w:sz w:val="21"/>
                <w:szCs w:val="21"/>
              </w:rPr>
            </w:pPr>
            <w:r>
              <w:rPr>
                <w:spacing w:val="-1"/>
                <w:sz w:val="21"/>
                <w:szCs w:val="21"/>
              </w:rPr>
              <w:t>②交通道路不进行新建，无废弃表土。</w:t>
            </w:r>
          </w:p>
          <w:p w14:paraId="13FD2362">
            <w:pPr>
              <w:pStyle w:val="6"/>
              <w:spacing w:before="33" w:line="217" w:lineRule="auto"/>
              <w:ind w:left="114"/>
              <w:rPr>
                <w:sz w:val="21"/>
                <w:szCs w:val="21"/>
              </w:rPr>
            </w:pPr>
            <w:r>
              <w:rPr>
                <w:spacing w:val="-1"/>
                <w:sz w:val="21"/>
                <w:szCs w:val="21"/>
              </w:rPr>
              <w:t>③光伏阵列区内仅光伏板支架基础部分产生少量废弃表</w:t>
            </w:r>
          </w:p>
          <w:p w14:paraId="1741639C">
            <w:pPr>
              <w:pStyle w:val="6"/>
              <w:spacing w:before="23" w:line="220" w:lineRule="auto"/>
              <w:ind w:left="123" w:hanging="29"/>
              <w:rPr>
                <w:sz w:val="21"/>
                <w:szCs w:val="21"/>
              </w:rPr>
            </w:pPr>
            <w:r>
              <w:rPr>
                <w:spacing w:val="-1"/>
                <w:sz w:val="21"/>
                <w:szCs w:val="21"/>
              </w:rPr>
              <w:t>土，产生的废弃表土用于场地内光伏板下方的金银花种植。</w:t>
            </w:r>
            <w:r>
              <w:rPr>
                <w:spacing w:val="14"/>
                <w:sz w:val="21"/>
                <w:szCs w:val="21"/>
              </w:rPr>
              <w:t xml:space="preserve"> </w:t>
            </w:r>
            <w:r>
              <w:rPr>
                <w:spacing w:val="3"/>
                <w:sz w:val="21"/>
                <w:szCs w:val="21"/>
              </w:rPr>
              <w:t>不设置表土堆场。集电线路塔基共设置114个，产生的废</w:t>
            </w:r>
            <w:r>
              <w:rPr>
                <w:sz w:val="21"/>
                <w:szCs w:val="21"/>
              </w:rPr>
              <w:t xml:space="preserve">   </w:t>
            </w:r>
            <w:r>
              <w:rPr>
                <w:spacing w:val="-1"/>
                <w:sz w:val="21"/>
                <w:szCs w:val="21"/>
              </w:rPr>
              <w:t>弃表土用于光伏阵列区的金银花种植。</w:t>
            </w:r>
          </w:p>
        </w:tc>
        <w:tc>
          <w:tcPr>
            <w:tcW w:w="395" w:type="dxa"/>
            <w:vMerge w:val="continue"/>
            <w:tcBorders>
              <w:top w:val="nil"/>
              <w:bottom w:val="nil"/>
            </w:tcBorders>
            <w:vAlign w:val="top"/>
          </w:tcPr>
          <w:p w14:paraId="598DC98D">
            <w:pPr>
              <w:rPr>
                <w:rFonts w:ascii="Arial"/>
                <w:sz w:val="21"/>
              </w:rPr>
            </w:pPr>
          </w:p>
        </w:tc>
      </w:tr>
      <w:tr w14:paraId="59005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434" w:type="dxa"/>
            <w:vMerge w:val="continue"/>
            <w:tcBorders>
              <w:top w:val="nil"/>
              <w:bottom w:val="nil"/>
            </w:tcBorders>
            <w:vAlign w:val="top"/>
          </w:tcPr>
          <w:p w14:paraId="34C1DA36">
            <w:pPr>
              <w:rPr>
                <w:rFonts w:ascii="Arial"/>
                <w:sz w:val="21"/>
              </w:rPr>
            </w:pPr>
          </w:p>
        </w:tc>
        <w:tc>
          <w:tcPr>
            <w:tcW w:w="100" w:type="dxa"/>
            <w:tcBorders>
              <w:top w:val="nil"/>
              <w:bottom w:val="nil"/>
            </w:tcBorders>
            <w:shd w:val="clear" w:color="auto" w:fill="FFFFFF"/>
            <w:vAlign w:val="top"/>
          </w:tcPr>
          <w:p w14:paraId="5D934433">
            <w:pPr>
              <w:rPr>
                <w:rFonts w:ascii="Arial"/>
                <w:sz w:val="21"/>
              </w:rPr>
            </w:pPr>
          </w:p>
        </w:tc>
        <w:tc>
          <w:tcPr>
            <w:tcW w:w="429" w:type="dxa"/>
            <w:vMerge w:val="continue"/>
            <w:tcBorders>
              <w:top w:val="nil"/>
            </w:tcBorders>
            <w:textDirection w:val="tbRlV"/>
            <w:vAlign w:val="top"/>
          </w:tcPr>
          <w:p w14:paraId="310635F0">
            <w:pPr>
              <w:rPr>
                <w:rFonts w:ascii="Arial"/>
                <w:sz w:val="21"/>
              </w:rPr>
            </w:pPr>
          </w:p>
        </w:tc>
        <w:tc>
          <w:tcPr>
            <w:tcW w:w="2157" w:type="dxa"/>
            <w:gridSpan w:val="3"/>
            <w:vAlign w:val="top"/>
          </w:tcPr>
          <w:p w14:paraId="37A01A94">
            <w:pPr>
              <w:pStyle w:val="6"/>
              <w:spacing w:before="51" w:line="196" w:lineRule="auto"/>
              <w:ind w:left="751"/>
              <w:rPr>
                <w:sz w:val="21"/>
                <w:szCs w:val="21"/>
              </w:rPr>
            </w:pPr>
            <w:r>
              <w:rPr>
                <w:spacing w:val="4"/>
                <w:sz w:val="21"/>
                <w:szCs w:val="21"/>
              </w:rPr>
              <w:t>弃渣场</w:t>
            </w:r>
          </w:p>
        </w:tc>
        <w:tc>
          <w:tcPr>
            <w:tcW w:w="5554" w:type="dxa"/>
            <w:vAlign w:val="top"/>
          </w:tcPr>
          <w:p w14:paraId="4FB42F7E">
            <w:pPr>
              <w:pStyle w:val="6"/>
              <w:spacing w:before="51" w:line="196" w:lineRule="auto"/>
              <w:ind w:left="1934"/>
              <w:rPr>
                <w:sz w:val="21"/>
                <w:szCs w:val="21"/>
              </w:rPr>
            </w:pPr>
            <w:r>
              <w:rPr>
                <w:spacing w:val="1"/>
                <w:sz w:val="21"/>
                <w:szCs w:val="21"/>
              </w:rPr>
              <w:t>项目不设置弃渣场</w:t>
            </w:r>
          </w:p>
        </w:tc>
        <w:tc>
          <w:tcPr>
            <w:tcW w:w="395" w:type="dxa"/>
            <w:vMerge w:val="continue"/>
            <w:tcBorders>
              <w:top w:val="nil"/>
              <w:bottom w:val="nil"/>
            </w:tcBorders>
            <w:vAlign w:val="top"/>
          </w:tcPr>
          <w:p w14:paraId="6D7862B2">
            <w:pPr>
              <w:rPr>
                <w:rFonts w:ascii="Arial"/>
                <w:sz w:val="21"/>
              </w:rPr>
            </w:pPr>
          </w:p>
        </w:tc>
      </w:tr>
      <w:tr w14:paraId="59C28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434" w:type="dxa"/>
            <w:vMerge w:val="continue"/>
            <w:tcBorders>
              <w:top w:val="nil"/>
              <w:bottom w:val="nil"/>
            </w:tcBorders>
            <w:vAlign w:val="top"/>
          </w:tcPr>
          <w:p w14:paraId="58B55D61">
            <w:pPr>
              <w:rPr>
                <w:rFonts w:ascii="Arial"/>
                <w:sz w:val="21"/>
              </w:rPr>
            </w:pPr>
          </w:p>
        </w:tc>
        <w:tc>
          <w:tcPr>
            <w:tcW w:w="100" w:type="dxa"/>
            <w:tcBorders>
              <w:top w:val="nil"/>
              <w:bottom w:val="nil"/>
            </w:tcBorders>
            <w:shd w:val="clear" w:color="auto" w:fill="FFFFFF"/>
            <w:vAlign w:val="top"/>
          </w:tcPr>
          <w:p w14:paraId="0680FF84">
            <w:pPr>
              <w:rPr>
                <w:rFonts w:ascii="Arial"/>
                <w:sz w:val="21"/>
              </w:rPr>
            </w:pPr>
          </w:p>
        </w:tc>
        <w:tc>
          <w:tcPr>
            <w:tcW w:w="429" w:type="dxa"/>
            <w:vMerge w:val="restart"/>
            <w:tcBorders>
              <w:bottom w:val="nil"/>
            </w:tcBorders>
            <w:textDirection w:val="tbRlV"/>
            <w:vAlign w:val="top"/>
          </w:tcPr>
          <w:p w14:paraId="483F43CC">
            <w:pPr>
              <w:pStyle w:val="6"/>
              <w:spacing w:before="125" w:line="203" w:lineRule="auto"/>
              <w:ind w:left="846"/>
              <w:rPr>
                <w:sz w:val="21"/>
                <w:szCs w:val="21"/>
              </w:rPr>
            </w:pPr>
            <w:r>
              <w:rPr>
                <w:sz w:val="21"/>
                <w:szCs w:val="21"/>
              </w:rPr>
              <w:t>公</w:t>
            </w:r>
            <w:r>
              <w:rPr>
                <w:spacing w:val="-33"/>
                <w:sz w:val="21"/>
                <w:szCs w:val="21"/>
              </w:rPr>
              <w:t xml:space="preserve"> </w:t>
            </w:r>
            <w:r>
              <w:rPr>
                <w:sz w:val="21"/>
                <w:szCs w:val="21"/>
              </w:rPr>
              <w:t>用</w:t>
            </w:r>
            <w:r>
              <w:rPr>
                <w:spacing w:val="-33"/>
                <w:sz w:val="21"/>
                <w:szCs w:val="21"/>
              </w:rPr>
              <w:t xml:space="preserve"> </w:t>
            </w:r>
            <w:r>
              <w:rPr>
                <w:sz w:val="21"/>
                <w:szCs w:val="21"/>
              </w:rPr>
              <w:t>工</w:t>
            </w:r>
            <w:r>
              <w:rPr>
                <w:spacing w:val="-33"/>
                <w:sz w:val="21"/>
                <w:szCs w:val="21"/>
              </w:rPr>
              <w:t xml:space="preserve"> </w:t>
            </w:r>
            <w:r>
              <w:rPr>
                <w:sz w:val="21"/>
                <w:szCs w:val="21"/>
              </w:rPr>
              <w:t>程</w:t>
            </w:r>
          </w:p>
        </w:tc>
        <w:tc>
          <w:tcPr>
            <w:tcW w:w="529" w:type="dxa"/>
            <w:vMerge w:val="restart"/>
            <w:tcBorders>
              <w:bottom w:val="nil"/>
            </w:tcBorders>
            <w:textDirection w:val="tbRlV"/>
            <w:vAlign w:val="top"/>
          </w:tcPr>
          <w:p w14:paraId="699FCC01">
            <w:pPr>
              <w:pStyle w:val="6"/>
              <w:spacing w:before="164" w:line="201" w:lineRule="auto"/>
              <w:ind w:left="467"/>
              <w:rPr>
                <w:sz w:val="21"/>
                <w:szCs w:val="21"/>
              </w:rPr>
            </w:pPr>
            <w:r>
              <w:rPr>
                <w:sz w:val="21"/>
                <w:szCs w:val="21"/>
              </w:rPr>
              <w:t>供水</w:t>
            </w:r>
          </w:p>
        </w:tc>
        <w:tc>
          <w:tcPr>
            <w:tcW w:w="1628" w:type="dxa"/>
            <w:gridSpan w:val="2"/>
            <w:vAlign w:val="top"/>
          </w:tcPr>
          <w:p w14:paraId="215962E0">
            <w:pPr>
              <w:pStyle w:val="6"/>
              <w:spacing w:before="37" w:line="213" w:lineRule="auto"/>
              <w:ind w:left="591" w:right="63" w:hanging="519"/>
              <w:rPr>
                <w:sz w:val="21"/>
                <w:szCs w:val="21"/>
              </w:rPr>
            </w:pPr>
            <w:r>
              <w:rPr>
                <w:spacing w:val="1"/>
                <w:sz w:val="21"/>
                <w:szCs w:val="21"/>
              </w:rPr>
              <w:t>生活用水、消防</w:t>
            </w:r>
            <w:r>
              <w:rPr>
                <w:spacing w:val="3"/>
                <w:sz w:val="21"/>
                <w:szCs w:val="21"/>
              </w:rPr>
              <w:t xml:space="preserve"> </w:t>
            </w:r>
            <w:r>
              <w:rPr>
                <w:spacing w:val="-3"/>
                <w:sz w:val="21"/>
                <w:szCs w:val="21"/>
              </w:rPr>
              <w:t>用水</w:t>
            </w:r>
          </w:p>
        </w:tc>
        <w:tc>
          <w:tcPr>
            <w:tcW w:w="5554" w:type="dxa"/>
            <w:vAlign w:val="top"/>
          </w:tcPr>
          <w:p w14:paraId="038909C9">
            <w:pPr>
              <w:pStyle w:val="6"/>
              <w:spacing w:before="36" w:line="219" w:lineRule="auto"/>
              <w:ind w:left="145"/>
              <w:rPr>
                <w:sz w:val="21"/>
                <w:szCs w:val="21"/>
              </w:rPr>
            </w:pPr>
            <w:r>
              <w:rPr>
                <w:spacing w:val="4"/>
                <w:sz w:val="21"/>
                <w:szCs w:val="21"/>
              </w:rPr>
              <w:t>升压站新建一座120m³生活、消防共用水池，水池补水采</w:t>
            </w:r>
          </w:p>
          <w:p w14:paraId="6D720D5C">
            <w:pPr>
              <w:pStyle w:val="6"/>
              <w:spacing w:before="31" w:line="180" w:lineRule="auto"/>
              <w:ind w:left="2194"/>
              <w:rPr>
                <w:sz w:val="21"/>
                <w:szCs w:val="21"/>
              </w:rPr>
            </w:pPr>
            <w:r>
              <w:rPr>
                <w:spacing w:val="-1"/>
                <w:sz w:val="21"/>
                <w:szCs w:val="21"/>
              </w:rPr>
              <w:t>用罐车运水。</w:t>
            </w:r>
          </w:p>
        </w:tc>
        <w:tc>
          <w:tcPr>
            <w:tcW w:w="395" w:type="dxa"/>
            <w:vMerge w:val="continue"/>
            <w:tcBorders>
              <w:top w:val="nil"/>
              <w:bottom w:val="nil"/>
            </w:tcBorders>
            <w:vAlign w:val="top"/>
          </w:tcPr>
          <w:p w14:paraId="5CB2F9EF">
            <w:pPr>
              <w:rPr>
                <w:rFonts w:ascii="Arial"/>
                <w:sz w:val="21"/>
              </w:rPr>
            </w:pPr>
          </w:p>
        </w:tc>
      </w:tr>
      <w:tr w14:paraId="5D017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434" w:type="dxa"/>
            <w:vMerge w:val="continue"/>
            <w:tcBorders>
              <w:top w:val="nil"/>
              <w:bottom w:val="nil"/>
            </w:tcBorders>
            <w:vAlign w:val="top"/>
          </w:tcPr>
          <w:p w14:paraId="4E9B28F9">
            <w:pPr>
              <w:rPr>
                <w:rFonts w:ascii="Arial"/>
                <w:sz w:val="21"/>
              </w:rPr>
            </w:pPr>
          </w:p>
        </w:tc>
        <w:tc>
          <w:tcPr>
            <w:tcW w:w="100" w:type="dxa"/>
            <w:tcBorders>
              <w:top w:val="nil"/>
              <w:bottom w:val="nil"/>
            </w:tcBorders>
            <w:shd w:val="clear" w:color="auto" w:fill="FFFFFF"/>
            <w:vAlign w:val="top"/>
          </w:tcPr>
          <w:p w14:paraId="30EE9AD4">
            <w:pPr>
              <w:rPr>
                <w:rFonts w:ascii="Arial"/>
                <w:sz w:val="21"/>
              </w:rPr>
            </w:pPr>
          </w:p>
        </w:tc>
        <w:tc>
          <w:tcPr>
            <w:tcW w:w="429" w:type="dxa"/>
            <w:vMerge w:val="continue"/>
            <w:tcBorders>
              <w:top w:val="nil"/>
              <w:bottom w:val="nil"/>
            </w:tcBorders>
            <w:textDirection w:val="tbRlV"/>
            <w:vAlign w:val="top"/>
          </w:tcPr>
          <w:p w14:paraId="73954987">
            <w:pPr>
              <w:rPr>
                <w:rFonts w:ascii="Arial"/>
                <w:sz w:val="21"/>
              </w:rPr>
            </w:pPr>
          </w:p>
        </w:tc>
        <w:tc>
          <w:tcPr>
            <w:tcW w:w="529" w:type="dxa"/>
            <w:vMerge w:val="continue"/>
            <w:tcBorders>
              <w:top w:val="nil"/>
              <w:bottom w:val="nil"/>
            </w:tcBorders>
            <w:textDirection w:val="tbRlV"/>
            <w:vAlign w:val="top"/>
          </w:tcPr>
          <w:p w14:paraId="1EB406BD">
            <w:pPr>
              <w:rPr>
                <w:rFonts w:ascii="Arial"/>
                <w:sz w:val="21"/>
              </w:rPr>
            </w:pPr>
          </w:p>
        </w:tc>
        <w:tc>
          <w:tcPr>
            <w:tcW w:w="1628" w:type="dxa"/>
            <w:gridSpan w:val="2"/>
            <w:vAlign w:val="top"/>
          </w:tcPr>
          <w:p w14:paraId="0E1AF299">
            <w:pPr>
              <w:pStyle w:val="6"/>
              <w:spacing w:before="55" w:line="209" w:lineRule="auto"/>
              <w:ind w:left="592" w:right="194" w:hanging="419"/>
              <w:rPr>
                <w:sz w:val="21"/>
                <w:szCs w:val="21"/>
              </w:rPr>
            </w:pPr>
            <w:r>
              <w:rPr>
                <w:spacing w:val="-2"/>
                <w:sz w:val="21"/>
                <w:szCs w:val="21"/>
              </w:rPr>
              <w:t>光伏组件清洗</w:t>
            </w:r>
            <w:r>
              <w:rPr>
                <w:spacing w:val="1"/>
                <w:sz w:val="21"/>
                <w:szCs w:val="21"/>
              </w:rPr>
              <w:t xml:space="preserve"> </w:t>
            </w:r>
            <w:r>
              <w:rPr>
                <w:spacing w:val="-3"/>
                <w:sz w:val="21"/>
                <w:szCs w:val="21"/>
              </w:rPr>
              <w:t>用水</w:t>
            </w:r>
          </w:p>
        </w:tc>
        <w:tc>
          <w:tcPr>
            <w:tcW w:w="5554" w:type="dxa"/>
            <w:vAlign w:val="top"/>
          </w:tcPr>
          <w:p w14:paraId="764CC9AF">
            <w:pPr>
              <w:pStyle w:val="6"/>
              <w:spacing w:before="54" w:line="219" w:lineRule="auto"/>
              <w:ind w:left="145"/>
              <w:rPr>
                <w:sz w:val="21"/>
                <w:szCs w:val="21"/>
              </w:rPr>
            </w:pPr>
            <w:r>
              <w:rPr>
                <w:spacing w:val="-1"/>
                <w:sz w:val="21"/>
                <w:szCs w:val="21"/>
              </w:rPr>
              <w:t>清洗用水采用罐车从附近水源运水至各用水点进行光伏板</w:t>
            </w:r>
          </w:p>
          <w:p w14:paraId="32625844">
            <w:pPr>
              <w:pStyle w:val="6"/>
              <w:spacing w:before="22" w:line="180" w:lineRule="auto"/>
              <w:ind w:left="2504"/>
              <w:rPr>
                <w:sz w:val="21"/>
                <w:szCs w:val="21"/>
              </w:rPr>
            </w:pPr>
            <w:r>
              <w:rPr>
                <w:spacing w:val="1"/>
                <w:sz w:val="21"/>
                <w:szCs w:val="21"/>
              </w:rPr>
              <w:t>清洗。</w:t>
            </w:r>
          </w:p>
        </w:tc>
        <w:tc>
          <w:tcPr>
            <w:tcW w:w="395" w:type="dxa"/>
            <w:vMerge w:val="continue"/>
            <w:tcBorders>
              <w:top w:val="nil"/>
              <w:bottom w:val="nil"/>
            </w:tcBorders>
            <w:vAlign w:val="top"/>
          </w:tcPr>
          <w:p w14:paraId="4E3DE9B8">
            <w:pPr>
              <w:rPr>
                <w:rFonts w:ascii="Arial"/>
                <w:sz w:val="21"/>
              </w:rPr>
            </w:pPr>
          </w:p>
        </w:tc>
      </w:tr>
      <w:tr w14:paraId="512FC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434" w:type="dxa"/>
            <w:vMerge w:val="continue"/>
            <w:tcBorders>
              <w:top w:val="nil"/>
              <w:bottom w:val="nil"/>
            </w:tcBorders>
            <w:vAlign w:val="top"/>
          </w:tcPr>
          <w:p w14:paraId="7C4B5F7C">
            <w:pPr>
              <w:rPr>
                <w:rFonts w:ascii="Arial"/>
                <w:sz w:val="21"/>
              </w:rPr>
            </w:pPr>
          </w:p>
        </w:tc>
        <w:tc>
          <w:tcPr>
            <w:tcW w:w="100" w:type="dxa"/>
            <w:tcBorders>
              <w:top w:val="nil"/>
              <w:bottom w:val="nil"/>
            </w:tcBorders>
            <w:shd w:val="clear" w:color="auto" w:fill="FFFFFF"/>
            <w:vAlign w:val="top"/>
          </w:tcPr>
          <w:p w14:paraId="381E78A4">
            <w:pPr>
              <w:rPr>
                <w:rFonts w:ascii="Arial"/>
                <w:sz w:val="21"/>
              </w:rPr>
            </w:pPr>
          </w:p>
        </w:tc>
        <w:tc>
          <w:tcPr>
            <w:tcW w:w="429" w:type="dxa"/>
            <w:vMerge w:val="continue"/>
            <w:tcBorders>
              <w:top w:val="nil"/>
              <w:bottom w:val="nil"/>
            </w:tcBorders>
            <w:textDirection w:val="tbRlV"/>
            <w:vAlign w:val="top"/>
          </w:tcPr>
          <w:p w14:paraId="3E5767D4">
            <w:pPr>
              <w:rPr>
                <w:rFonts w:ascii="Arial"/>
                <w:sz w:val="21"/>
              </w:rPr>
            </w:pPr>
          </w:p>
        </w:tc>
        <w:tc>
          <w:tcPr>
            <w:tcW w:w="529" w:type="dxa"/>
            <w:vMerge w:val="continue"/>
            <w:tcBorders>
              <w:top w:val="nil"/>
            </w:tcBorders>
            <w:textDirection w:val="tbRlV"/>
            <w:vAlign w:val="top"/>
          </w:tcPr>
          <w:p w14:paraId="2A2BE28A">
            <w:pPr>
              <w:rPr>
                <w:rFonts w:ascii="Arial"/>
                <w:sz w:val="21"/>
              </w:rPr>
            </w:pPr>
          </w:p>
        </w:tc>
        <w:tc>
          <w:tcPr>
            <w:tcW w:w="1628" w:type="dxa"/>
            <w:gridSpan w:val="2"/>
            <w:vAlign w:val="top"/>
          </w:tcPr>
          <w:p w14:paraId="5F4CED20">
            <w:pPr>
              <w:pStyle w:val="6"/>
              <w:spacing w:before="54" w:line="177" w:lineRule="auto"/>
              <w:ind w:left="382"/>
              <w:rPr>
                <w:sz w:val="21"/>
                <w:szCs w:val="21"/>
              </w:rPr>
            </w:pPr>
            <w:r>
              <w:rPr>
                <w:spacing w:val="-2"/>
                <w:sz w:val="21"/>
                <w:szCs w:val="21"/>
              </w:rPr>
              <w:t>绿化用水</w:t>
            </w:r>
          </w:p>
        </w:tc>
        <w:tc>
          <w:tcPr>
            <w:tcW w:w="5554" w:type="dxa"/>
            <w:vAlign w:val="top"/>
          </w:tcPr>
          <w:p w14:paraId="056540CA">
            <w:pPr>
              <w:pStyle w:val="6"/>
              <w:spacing w:before="54" w:line="177" w:lineRule="auto"/>
              <w:ind w:left="304"/>
              <w:rPr>
                <w:sz w:val="21"/>
                <w:szCs w:val="21"/>
              </w:rPr>
            </w:pPr>
            <w:r>
              <w:rPr>
                <w:spacing w:val="-1"/>
                <w:sz w:val="21"/>
                <w:szCs w:val="21"/>
              </w:rPr>
              <w:t>升压站绿化用水使用污水处理系统处理达标的回用水。</w:t>
            </w:r>
          </w:p>
        </w:tc>
        <w:tc>
          <w:tcPr>
            <w:tcW w:w="395" w:type="dxa"/>
            <w:vMerge w:val="continue"/>
            <w:tcBorders>
              <w:top w:val="nil"/>
              <w:bottom w:val="nil"/>
            </w:tcBorders>
            <w:vAlign w:val="top"/>
          </w:tcPr>
          <w:p w14:paraId="7CEC4DC8">
            <w:pPr>
              <w:rPr>
                <w:rFonts w:ascii="Arial"/>
                <w:sz w:val="21"/>
              </w:rPr>
            </w:pPr>
          </w:p>
        </w:tc>
      </w:tr>
      <w:tr w14:paraId="5A3B3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434" w:type="dxa"/>
            <w:vMerge w:val="continue"/>
            <w:tcBorders>
              <w:top w:val="nil"/>
            </w:tcBorders>
            <w:vAlign w:val="top"/>
          </w:tcPr>
          <w:p w14:paraId="68280786">
            <w:pPr>
              <w:rPr>
                <w:rFonts w:ascii="Arial"/>
                <w:sz w:val="21"/>
              </w:rPr>
            </w:pPr>
          </w:p>
        </w:tc>
        <w:tc>
          <w:tcPr>
            <w:tcW w:w="100" w:type="dxa"/>
            <w:tcBorders>
              <w:top w:val="nil"/>
            </w:tcBorders>
            <w:shd w:val="clear" w:color="auto" w:fill="FFFFFF"/>
            <w:vAlign w:val="top"/>
          </w:tcPr>
          <w:p w14:paraId="5B27D6F3">
            <w:pPr>
              <w:rPr>
                <w:rFonts w:ascii="Arial"/>
                <w:sz w:val="21"/>
              </w:rPr>
            </w:pPr>
          </w:p>
        </w:tc>
        <w:tc>
          <w:tcPr>
            <w:tcW w:w="429" w:type="dxa"/>
            <w:vMerge w:val="continue"/>
            <w:tcBorders>
              <w:top w:val="nil"/>
            </w:tcBorders>
            <w:textDirection w:val="tbRlV"/>
            <w:vAlign w:val="top"/>
          </w:tcPr>
          <w:p w14:paraId="11C38676">
            <w:pPr>
              <w:rPr>
                <w:rFonts w:ascii="Arial"/>
                <w:sz w:val="21"/>
              </w:rPr>
            </w:pPr>
          </w:p>
        </w:tc>
        <w:tc>
          <w:tcPr>
            <w:tcW w:w="2157" w:type="dxa"/>
            <w:gridSpan w:val="3"/>
            <w:vAlign w:val="top"/>
          </w:tcPr>
          <w:p w14:paraId="559124EB">
            <w:pPr>
              <w:spacing w:line="268" w:lineRule="auto"/>
              <w:rPr>
                <w:rFonts w:ascii="Arial"/>
                <w:sz w:val="21"/>
              </w:rPr>
            </w:pPr>
          </w:p>
          <w:p w14:paraId="68F1851B">
            <w:pPr>
              <w:spacing w:line="269" w:lineRule="auto"/>
              <w:rPr>
                <w:rFonts w:ascii="Arial"/>
                <w:sz w:val="21"/>
              </w:rPr>
            </w:pPr>
          </w:p>
          <w:p w14:paraId="50580942">
            <w:pPr>
              <w:pStyle w:val="6"/>
              <w:spacing w:before="68" w:line="219" w:lineRule="auto"/>
              <w:ind w:left="861"/>
              <w:rPr>
                <w:sz w:val="21"/>
                <w:szCs w:val="21"/>
              </w:rPr>
            </w:pPr>
            <w:r>
              <w:rPr>
                <w:spacing w:val="-3"/>
                <w:sz w:val="21"/>
                <w:szCs w:val="21"/>
              </w:rPr>
              <w:t>排水</w:t>
            </w:r>
          </w:p>
        </w:tc>
        <w:tc>
          <w:tcPr>
            <w:tcW w:w="5554" w:type="dxa"/>
            <w:vAlign w:val="top"/>
          </w:tcPr>
          <w:p w14:paraId="25D70C6D">
            <w:pPr>
              <w:pStyle w:val="6"/>
              <w:spacing w:before="47" w:line="235" w:lineRule="auto"/>
              <w:ind w:left="113" w:hanging="9"/>
              <w:rPr>
                <w:sz w:val="21"/>
                <w:szCs w:val="21"/>
              </w:rPr>
            </w:pPr>
            <w:r>
              <w:rPr>
                <w:spacing w:val="-9"/>
                <w:sz w:val="21"/>
                <w:szCs w:val="21"/>
              </w:rPr>
              <w:t>项目实行“雨污分流”排水系统。场地雨水经沟渠收集后顺地</w:t>
            </w:r>
            <w:r>
              <w:rPr>
                <w:spacing w:val="11"/>
                <w:sz w:val="21"/>
                <w:szCs w:val="21"/>
              </w:rPr>
              <w:t xml:space="preserve"> </w:t>
            </w:r>
            <w:r>
              <w:rPr>
                <w:spacing w:val="1"/>
                <w:sz w:val="21"/>
                <w:szCs w:val="21"/>
              </w:rPr>
              <w:t>势汇流至站址外；施工期设置化粪池，粪便污水经化粪池</w:t>
            </w:r>
            <w:r>
              <w:rPr>
                <w:spacing w:val="2"/>
                <w:sz w:val="21"/>
                <w:szCs w:val="21"/>
              </w:rPr>
              <w:t xml:space="preserve">  </w:t>
            </w:r>
            <w:r>
              <w:rPr>
                <w:spacing w:val="1"/>
                <w:sz w:val="21"/>
                <w:szCs w:val="21"/>
              </w:rPr>
              <w:t>收集后用于区域农地绿化施肥；施工期施工废水及施工人</w:t>
            </w:r>
            <w:r>
              <w:rPr>
                <w:spacing w:val="2"/>
                <w:sz w:val="21"/>
                <w:szCs w:val="21"/>
              </w:rPr>
              <w:t xml:space="preserve">  </w:t>
            </w:r>
            <w:r>
              <w:rPr>
                <w:spacing w:val="1"/>
                <w:sz w:val="21"/>
                <w:szCs w:val="21"/>
              </w:rPr>
              <w:t>员清洗废水经施工期设置的临时沉淀池沉淀后回用于施工</w:t>
            </w:r>
            <w:r>
              <w:rPr>
                <w:spacing w:val="3"/>
                <w:sz w:val="21"/>
                <w:szCs w:val="21"/>
              </w:rPr>
              <w:t xml:space="preserve">  </w:t>
            </w:r>
            <w:r>
              <w:rPr>
                <w:spacing w:val="-1"/>
                <w:sz w:val="21"/>
                <w:szCs w:val="21"/>
              </w:rPr>
              <w:t>场地洒水降尘，不外排。</w:t>
            </w:r>
          </w:p>
        </w:tc>
        <w:tc>
          <w:tcPr>
            <w:tcW w:w="395" w:type="dxa"/>
            <w:vMerge w:val="continue"/>
            <w:tcBorders>
              <w:top w:val="nil"/>
            </w:tcBorders>
            <w:vAlign w:val="top"/>
          </w:tcPr>
          <w:p w14:paraId="549DECE3">
            <w:pPr>
              <w:rPr>
                <w:rFonts w:ascii="Arial"/>
                <w:sz w:val="21"/>
              </w:rPr>
            </w:pPr>
          </w:p>
        </w:tc>
      </w:tr>
    </w:tbl>
    <w:p w14:paraId="66F6186B">
      <w:pPr>
        <w:pStyle w:val="2"/>
      </w:pPr>
    </w:p>
    <w:p w14:paraId="227D24B6">
      <w:pPr>
        <w:sectPr>
          <w:footerReference r:id="rId39" w:type="default"/>
          <w:pgSz w:w="11910" w:h="16840"/>
          <w:pgMar w:top="1431" w:right="1425" w:bottom="1255" w:left="1405" w:header="0" w:footer="1093" w:gutter="0"/>
          <w:cols w:space="720" w:num="1"/>
        </w:sectPr>
      </w:pPr>
    </w:p>
    <w:p w14:paraId="61AA1EA3">
      <w:pPr>
        <w:spacing w:line="93" w:lineRule="exact"/>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20"/>
        <w:gridCol w:w="409"/>
        <w:gridCol w:w="779"/>
        <w:gridCol w:w="1398"/>
        <w:gridCol w:w="5534"/>
        <w:gridCol w:w="385"/>
      </w:tblGrid>
      <w:tr w14:paraId="79C2C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424" w:type="dxa"/>
            <w:vMerge w:val="restart"/>
            <w:tcBorders>
              <w:bottom w:val="nil"/>
            </w:tcBorders>
            <w:vAlign w:val="top"/>
          </w:tcPr>
          <w:p w14:paraId="183DE723">
            <w:pPr>
              <w:rPr>
                <w:rFonts w:ascii="Arial"/>
                <w:sz w:val="21"/>
              </w:rPr>
            </w:pPr>
          </w:p>
        </w:tc>
        <w:tc>
          <w:tcPr>
            <w:tcW w:w="120" w:type="dxa"/>
            <w:vMerge w:val="restart"/>
            <w:tcBorders>
              <w:bottom w:val="nil"/>
            </w:tcBorders>
            <w:vAlign w:val="top"/>
          </w:tcPr>
          <w:p w14:paraId="36AE3CD7">
            <w:pPr>
              <w:rPr>
                <w:rFonts w:ascii="Arial"/>
                <w:sz w:val="21"/>
              </w:rPr>
            </w:pPr>
          </w:p>
        </w:tc>
        <w:tc>
          <w:tcPr>
            <w:tcW w:w="409" w:type="dxa"/>
            <w:vMerge w:val="restart"/>
            <w:tcBorders>
              <w:bottom w:val="nil"/>
            </w:tcBorders>
            <w:vAlign w:val="top"/>
          </w:tcPr>
          <w:p w14:paraId="73383AF0">
            <w:pPr>
              <w:rPr>
                <w:rFonts w:ascii="Arial"/>
                <w:sz w:val="21"/>
              </w:rPr>
            </w:pPr>
          </w:p>
        </w:tc>
        <w:tc>
          <w:tcPr>
            <w:tcW w:w="2177" w:type="dxa"/>
            <w:gridSpan w:val="2"/>
            <w:vAlign w:val="top"/>
          </w:tcPr>
          <w:p w14:paraId="3772C6E7">
            <w:pPr>
              <w:rPr>
                <w:rFonts w:ascii="Arial"/>
                <w:sz w:val="21"/>
              </w:rPr>
            </w:pPr>
          </w:p>
        </w:tc>
        <w:tc>
          <w:tcPr>
            <w:tcW w:w="5534" w:type="dxa"/>
            <w:vAlign w:val="top"/>
          </w:tcPr>
          <w:p w14:paraId="6F7F7BC4">
            <w:pPr>
              <w:pStyle w:val="6"/>
              <w:spacing w:before="44" w:line="232" w:lineRule="auto"/>
              <w:ind w:left="135" w:right="83"/>
              <w:jc w:val="both"/>
              <w:rPr>
                <w:sz w:val="21"/>
                <w:szCs w:val="21"/>
              </w:rPr>
            </w:pPr>
            <w:r>
              <w:rPr>
                <w:spacing w:val="-1"/>
                <w:sz w:val="21"/>
                <w:szCs w:val="21"/>
              </w:rPr>
              <w:t>运营期升压站食堂废水经隔油池预处理后与其它生活污水</w:t>
            </w:r>
            <w:r>
              <w:rPr>
                <w:spacing w:val="15"/>
                <w:sz w:val="21"/>
                <w:szCs w:val="21"/>
              </w:rPr>
              <w:t xml:space="preserve"> </w:t>
            </w:r>
            <w:r>
              <w:rPr>
                <w:sz w:val="21"/>
                <w:szCs w:val="21"/>
              </w:rPr>
              <w:t>一并排入化粪池，经化粪池处理后进入一体化污水处理站</w:t>
            </w:r>
            <w:r>
              <w:rPr>
                <w:spacing w:val="10"/>
                <w:sz w:val="21"/>
                <w:szCs w:val="21"/>
              </w:rPr>
              <w:t xml:space="preserve"> </w:t>
            </w:r>
            <w:r>
              <w:rPr>
                <w:sz w:val="21"/>
                <w:szCs w:val="21"/>
              </w:rPr>
              <w:t>处理达标后全部回用于项目区绿化；光伏板清洗废水直接</w:t>
            </w:r>
            <w:r>
              <w:rPr>
                <w:spacing w:val="7"/>
                <w:sz w:val="21"/>
                <w:szCs w:val="21"/>
              </w:rPr>
              <w:t xml:space="preserve"> </w:t>
            </w:r>
            <w:r>
              <w:rPr>
                <w:spacing w:val="2"/>
                <w:sz w:val="21"/>
                <w:szCs w:val="21"/>
              </w:rPr>
              <w:t>作为农作物灌溉补充水，不外排(项目太阳能光伏板清洗</w:t>
            </w:r>
            <w:r>
              <w:rPr>
                <w:spacing w:val="6"/>
                <w:sz w:val="21"/>
                <w:szCs w:val="21"/>
              </w:rPr>
              <w:t xml:space="preserve">  </w:t>
            </w:r>
            <w:r>
              <w:rPr>
                <w:spacing w:val="2"/>
                <w:sz w:val="21"/>
                <w:szCs w:val="21"/>
              </w:rPr>
              <w:t>频率为每年1次，清洗时间选择在农作物可浇灌期进行)。</w:t>
            </w:r>
          </w:p>
        </w:tc>
        <w:tc>
          <w:tcPr>
            <w:tcW w:w="385" w:type="dxa"/>
            <w:vMerge w:val="restart"/>
            <w:tcBorders>
              <w:bottom w:val="nil"/>
            </w:tcBorders>
            <w:vAlign w:val="top"/>
          </w:tcPr>
          <w:p w14:paraId="3ED3763F">
            <w:pPr>
              <w:rPr>
                <w:rFonts w:ascii="Arial"/>
                <w:sz w:val="21"/>
              </w:rPr>
            </w:pPr>
          </w:p>
        </w:tc>
      </w:tr>
      <w:tr w14:paraId="18BE9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24" w:type="dxa"/>
            <w:vMerge w:val="continue"/>
            <w:tcBorders>
              <w:top w:val="nil"/>
              <w:bottom w:val="nil"/>
            </w:tcBorders>
            <w:vAlign w:val="top"/>
          </w:tcPr>
          <w:p w14:paraId="471BB2BC">
            <w:pPr>
              <w:rPr>
                <w:rFonts w:ascii="Arial"/>
                <w:sz w:val="21"/>
              </w:rPr>
            </w:pPr>
          </w:p>
        </w:tc>
        <w:tc>
          <w:tcPr>
            <w:tcW w:w="120" w:type="dxa"/>
            <w:vMerge w:val="continue"/>
            <w:tcBorders>
              <w:top w:val="nil"/>
              <w:bottom w:val="nil"/>
            </w:tcBorders>
            <w:vAlign w:val="top"/>
          </w:tcPr>
          <w:p w14:paraId="0633055F">
            <w:pPr>
              <w:rPr>
                <w:rFonts w:ascii="Arial"/>
                <w:sz w:val="21"/>
              </w:rPr>
            </w:pPr>
          </w:p>
        </w:tc>
        <w:tc>
          <w:tcPr>
            <w:tcW w:w="409" w:type="dxa"/>
            <w:vMerge w:val="continue"/>
            <w:tcBorders>
              <w:top w:val="nil"/>
              <w:bottom w:val="nil"/>
            </w:tcBorders>
            <w:vAlign w:val="top"/>
          </w:tcPr>
          <w:p w14:paraId="1E44A483">
            <w:pPr>
              <w:rPr>
                <w:rFonts w:ascii="Arial"/>
                <w:sz w:val="21"/>
              </w:rPr>
            </w:pPr>
          </w:p>
        </w:tc>
        <w:tc>
          <w:tcPr>
            <w:tcW w:w="2177" w:type="dxa"/>
            <w:gridSpan w:val="2"/>
            <w:vAlign w:val="top"/>
          </w:tcPr>
          <w:p w14:paraId="25939889">
            <w:pPr>
              <w:pStyle w:val="6"/>
              <w:spacing w:before="168" w:line="219" w:lineRule="auto"/>
              <w:ind w:left="871"/>
              <w:rPr>
                <w:sz w:val="21"/>
                <w:szCs w:val="21"/>
              </w:rPr>
            </w:pPr>
            <w:r>
              <w:rPr>
                <w:spacing w:val="6"/>
                <w:sz w:val="21"/>
                <w:szCs w:val="21"/>
              </w:rPr>
              <w:t>供电</w:t>
            </w:r>
          </w:p>
        </w:tc>
        <w:tc>
          <w:tcPr>
            <w:tcW w:w="5534" w:type="dxa"/>
            <w:vAlign w:val="top"/>
          </w:tcPr>
          <w:p w14:paraId="2960A56F">
            <w:pPr>
              <w:pStyle w:val="6"/>
              <w:spacing w:before="57" w:line="212" w:lineRule="auto"/>
              <w:ind w:left="104" w:right="146" w:firstLine="30"/>
              <w:rPr>
                <w:sz w:val="21"/>
                <w:szCs w:val="21"/>
              </w:rPr>
            </w:pPr>
            <w:r>
              <w:rPr>
                <w:spacing w:val="-1"/>
                <w:sz w:val="21"/>
                <w:szCs w:val="21"/>
              </w:rPr>
              <w:t>施工期用电从附近10kV农网引接。运营期使用光伏电站供</w:t>
            </w:r>
            <w:r>
              <w:rPr>
                <w:spacing w:val="18"/>
                <w:sz w:val="21"/>
                <w:szCs w:val="21"/>
              </w:rPr>
              <w:t xml:space="preserve"> </w:t>
            </w:r>
            <w:r>
              <w:rPr>
                <w:spacing w:val="-1"/>
                <w:sz w:val="21"/>
                <w:szCs w:val="21"/>
              </w:rPr>
              <w:t>电系统自己供给。</w:t>
            </w:r>
          </w:p>
        </w:tc>
        <w:tc>
          <w:tcPr>
            <w:tcW w:w="385" w:type="dxa"/>
            <w:vMerge w:val="continue"/>
            <w:tcBorders>
              <w:top w:val="nil"/>
              <w:bottom w:val="nil"/>
            </w:tcBorders>
            <w:vAlign w:val="top"/>
          </w:tcPr>
          <w:p w14:paraId="172D1A8E">
            <w:pPr>
              <w:rPr>
                <w:rFonts w:ascii="Arial"/>
                <w:sz w:val="21"/>
              </w:rPr>
            </w:pPr>
          </w:p>
        </w:tc>
      </w:tr>
      <w:tr w14:paraId="10A3F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424" w:type="dxa"/>
            <w:vMerge w:val="continue"/>
            <w:tcBorders>
              <w:top w:val="nil"/>
              <w:bottom w:val="nil"/>
            </w:tcBorders>
            <w:vAlign w:val="top"/>
          </w:tcPr>
          <w:p w14:paraId="14B3FC24">
            <w:pPr>
              <w:rPr>
                <w:rFonts w:ascii="Arial"/>
                <w:sz w:val="21"/>
              </w:rPr>
            </w:pPr>
          </w:p>
        </w:tc>
        <w:tc>
          <w:tcPr>
            <w:tcW w:w="120" w:type="dxa"/>
            <w:vMerge w:val="continue"/>
            <w:tcBorders>
              <w:top w:val="nil"/>
              <w:bottom w:val="nil"/>
            </w:tcBorders>
            <w:vAlign w:val="top"/>
          </w:tcPr>
          <w:p w14:paraId="3F543623">
            <w:pPr>
              <w:rPr>
                <w:rFonts w:ascii="Arial"/>
                <w:sz w:val="21"/>
              </w:rPr>
            </w:pPr>
          </w:p>
        </w:tc>
        <w:tc>
          <w:tcPr>
            <w:tcW w:w="409" w:type="dxa"/>
            <w:vMerge w:val="continue"/>
            <w:tcBorders>
              <w:top w:val="nil"/>
            </w:tcBorders>
            <w:vAlign w:val="top"/>
          </w:tcPr>
          <w:p w14:paraId="326E99DB">
            <w:pPr>
              <w:rPr>
                <w:rFonts w:ascii="Arial"/>
                <w:sz w:val="21"/>
              </w:rPr>
            </w:pPr>
          </w:p>
        </w:tc>
        <w:tc>
          <w:tcPr>
            <w:tcW w:w="2177" w:type="dxa"/>
            <w:gridSpan w:val="2"/>
            <w:vAlign w:val="top"/>
          </w:tcPr>
          <w:p w14:paraId="76FC63D3">
            <w:pPr>
              <w:spacing w:line="359" w:lineRule="auto"/>
              <w:rPr>
                <w:rFonts w:ascii="Arial"/>
                <w:sz w:val="21"/>
              </w:rPr>
            </w:pPr>
          </w:p>
          <w:p w14:paraId="3491E3E5">
            <w:pPr>
              <w:pStyle w:val="6"/>
              <w:spacing w:before="68" w:line="220" w:lineRule="auto"/>
              <w:ind w:left="871"/>
              <w:rPr>
                <w:sz w:val="21"/>
                <w:szCs w:val="21"/>
              </w:rPr>
            </w:pPr>
            <w:r>
              <w:rPr>
                <w:spacing w:val="5"/>
                <w:sz w:val="21"/>
                <w:szCs w:val="21"/>
              </w:rPr>
              <w:t>消防</w:t>
            </w:r>
          </w:p>
        </w:tc>
        <w:tc>
          <w:tcPr>
            <w:tcW w:w="5534" w:type="dxa"/>
            <w:vAlign w:val="top"/>
          </w:tcPr>
          <w:p w14:paraId="07B69F3C">
            <w:pPr>
              <w:pStyle w:val="6"/>
              <w:spacing w:before="29" w:line="219" w:lineRule="auto"/>
              <w:ind w:left="135"/>
              <w:rPr>
                <w:sz w:val="21"/>
                <w:szCs w:val="21"/>
              </w:rPr>
            </w:pPr>
            <w:r>
              <w:rPr>
                <w:spacing w:val="-1"/>
                <w:sz w:val="21"/>
                <w:szCs w:val="21"/>
              </w:rPr>
              <w:t>升压站内主要建筑物按规范要求设置防火分区，每个防火</w:t>
            </w:r>
          </w:p>
          <w:p w14:paraId="2C800C13">
            <w:pPr>
              <w:pStyle w:val="6"/>
              <w:spacing w:before="19" w:line="223" w:lineRule="auto"/>
              <w:ind w:left="34" w:firstLine="148"/>
              <w:jc w:val="both"/>
              <w:rPr>
                <w:sz w:val="21"/>
                <w:szCs w:val="21"/>
              </w:rPr>
            </w:pPr>
            <w:r>
              <w:rPr>
                <w:sz w:val="21"/>
                <w:szCs w:val="21"/>
              </w:rPr>
              <w:t xml:space="preserve">分区内不少于1～2个疏散口，设置安全通道、消防通道，  </w:t>
            </w:r>
            <w:r>
              <w:rPr>
                <w:spacing w:val="1"/>
                <w:sz w:val="21"/>
                <w:szCs w:val="21"/>
              </w:rPr>
              <w:t>配备火灾自动探测报警及消防控制系统，升压站内设室内、</w:t>
            </w:r>
            <w:r>
              <w:rPr>
                <w:spacing w:val="2"/>
                <w:sz w:val="21"/>
                <w:szCs w:val="21"/>
              </w:rPr>
              <w:t xml:space="preserve"> </w:t>
            </w:r>
            <w:r>
              <w:rPr>
                <w:sz w:val="21"/>
                <w:szCs w:val="21"/>
              </w:rPr>
              <w:t>外消火栓，并配备干粉灭火器、消防砂箱等</w:t>
            </w:r>
            <w:r>
              <w:rPr>
                <w:spacing w:val="-1"/>
                <w:sz w:val="21"/>
                <w:szCs w:val="21"/>
              </w:rPr>
              <w:t>消防设施。</w:t>
            </w:r>
          </w:p>
        </w:tc>
        <w:tc>
          <w:tcPr>
            <w:tcW w:w="385" w:type="dxa"/>
            <w:vMerge w:val="continue"/>
            <w:tcBorders>
              <w:top w:val="nil"/>
              <w:bottom w:val="nil"/>
            </w:tcBorders>
            <w:vAlign w:val="top"/>
          </w:tcPr>
          <w:p w14:paraId="21D88BCE">
            <w:pPr>
              <w:rPr>
                <w:rFonts w:ascii="Arial"/>
                <w:sz w:val="21"/>
              </w:rPr>
            </w:pPr>
          </w:p>
        </w:tc>
      </w:tr>
      <w:tr w14:paraId="0D79F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24" w:type="dxa"/>
            <w:vMerge w:val="continue"/>
            <w:tcBorders>
              <w:top w:val="nil"/>
              <w:bottom w:val="nil"/>
            </w:tcBorders>
            <w:vAlign w:val="top"/>
          </w:tcPr>
          <w:p w14:paraId="6F758D36">
            <w:pPr>
              <w:rPr>
                <w:rFonts w:ascii="Arial"/>
                <w:sz w:val="21"/>
              </w:rPr>
            </w:pPr>
          </w:p>
        </w:tc>
        <w:tc>
          <w:tcPr>
            <w:tcW w:w="120" w:type="dxa"/>
            <w:vMerge w:val="continue"/>
            <w:tcBorders>
              <w:top w:val="nil"/>
              <w:bottom w:val="nil"/>
            </w:tcBorders>
            <w:vAlign w:val="top"/>
          </w:tcPr>
          <w:p w14:paraId="10086707">
            <w:pPr>
              <w:rPr>
                <w:rFonts w:ascii="Arial"/>
                <w:sz w:val="21"/>
              </w:rPr>
            </w:pPr>
          </w:p>
        </w:tc>
        <w:tc>
          <w:tcPr>
            <w:tcW w:w="409" w:type="dxa"/>
            <w:vMerge w:val="restart"/>
            <w:tcBorders>
              <w:bottom w:val="nil"/>
            </w:tcBorders>
            <w:textDirection w:val="tbRlV"/>
            <w:vAlign w:val="top"/>
          </w:tcPr>
          <w:p w14:paraId="09DF0D7C">
            <w:pPr>
              <w:pStyle w:val="6"/>
              <w:spacing w:before="125" w:line="203" w:lineRule="auto"/>
              <w:ind w:left="4653"/>
              <w:rPr>
                <w:sz w:val="21"/>
                <w:szCs w:val="21"/>
              </w:rPr>
            </w:pPr>
            <w:r>
              <w:rPr>
                <w:sz w:val="21"/>
                <w:szCs w:val="21"/>
              </w:rPr>
              <w:t>环</w:t>
            </w:r>
            <w:r>
              <w:rPr>
                <w:spacing w:val="-18"/>
                <w:sz w:val="21"/>
                <w:szCs w:val="21"/>
              </w:rPr>
              <w:t xml:space="preserve"> </w:t>
            </w:r>
            <w:r>
              <w:rPr>
                <w:sz w:val="21"/>
                <w:szCs w:val="21"/>
              </w:rPr>
              <w:t>保</w:t>
            </w:r>
            <w:r>
              <w:rPr>
                <w:spacing w:val="-18"/>
                <w:sz w:val="21"/>
                <w:szCs w:val="21"/>
              </w:rPr>
              <w:t xml:space="preserve"> </w:t>
            </w:r>
            <w:r>
              <w:rPr>
                <w:sz w:val="21"/>
                <w:szCs w:val="21"/>
              </w:rPr>
              <w:t>工</w:t>
            </w:r>
            <w:r>
              <w:rPr>
                <w:spacing w:val="-17"/>
                <w:sz w:val="21"/>
                <w:szCs w:val="21"/>
              </w:rPr>
              <w:t xml:space="preserve"> </w:t>
            </w:r>
            <w:r>
              <w:rPr>
                <w:sz w:val="21"/>
                <w:szCs w:val="21"/>
              </w:rPr>
              <w:t>程</w:t>
            </w:r>
          </w:p>
        </w:tc>
        <w:tc>
          <w:tcPr>
            <w:tcW w:w="779" w:type="dxa"/>
            <w:vMerge w:val="restart"/>
            <w:tcBorders>
              <w:bottom w:val="nil"/>
            </w:tcBorders>
            <w:vAlign w:val="top"/>
          </w:tcPr>
          <w:p w14:paraId="5067EDAC">
            <w:pPr>
              <w:spacing w:line="390" w:lineRule="auto"/>
              <w:rPr>
                <w:rFonts w:ascii="Arial"/>
                <w:sz w:val="21"/>
              </w:rPr>
            </w:pPr>
          </w:p>
          <w:p w14:paraId="69D0EF1F">
            <w:pPr>
              <w:pStyle w:val="6"/>
              <w:spacing w:before="68" w:line="220" w:lineRule="auto"/>
              <w:ind w:left="172"/>
              <w:rPr>
                <w:sz w:val="21"/>
                <w:szCs w:val="21"/>
              </w:rPr>
            </w:pPr>
            <w:r>
              <w:rPr>
                <w:spacing w:val="6"/>
                <w:sz w:val="21"/>
                <w:szCs w:val="21"/>
              </w:rPr>
              <w:t>废气</w:t>
            </w:r>
          </w:p>
        </w:tc>
        <w:tc>
          <w:tcPr>
            <w:tcW w:w="1398" w:type="dxa"/>
            <w:vAlign w:val="top"/>
          </w:tcPr>
          <w:p w14:paraId="4FB6F710">
            <w:pPr>
              <w:pStyle w:val="6"/>
              <w:spacing w:before="59" w:line="215" w:lineRule="auto"/>
              <w:ind w:left="372" w:right="74" w:hanging="310"/>
              <w:rPr>
                <w:sz w:val="21"/>
                <w:szCs w:val="21"/>
              </w:rPr>
            </w:pPr>
            <w:r>
              <w:rPr>
                <w:spacing w:val="-2"/>
                <w:sz w:val="21"/>
                <w:szCs w:val="21"/>
              </w:rPr>
              <w:t>篷布遮盖、洒</w:t>
            </w:r>
            <w:r>
              <w:rPr>
                <w:spacing w:val="1"/>
                <w:sz w:val="21"/>
                <w:szCs w:val="21"/>
              </w:rPr>
              <w:t xml:space="preserve"> </w:t>
            </w:r>
            <w:r>
              <w:rPr>
                <w:spacing w:val="-3"/>
                <w:sz w:val="21"/>
                <w:szCs w:val="21"/>
              </w:rPr>
              <w:t>水降尘</w:t>
            </w:r>
          </w:p>
        </w:tc>
        <w:tc>
          <w:tcPr>
            <w:tcW w:w="5534" w:type="dxa"/>
            <w:vAlign w:val="top"/>
          </w:tcPr>
          <w:p w14:paraId="1EB1F4B6">
            <w:pPr>
              <w:pStyle w:val="6"/>
              <w:spacing w:before="59" w:line="215" w:lineRule="auto"/>
              <w:ind w:left="975" w:right="146" w:hanging="840"/>
              <w:rPr>
                <w:sz w:val="21"/>
                <w:szCs w:val="21"/>
              </w:rPr>
            </w:pPr>
            <w:r>
              <w:rPr>
                <w:spacing w:val="-1"/>
                <w:sz w:val="21"/>
                <w:szCs w:val="21"/>
              </w:rPr>
              <w:t>施工过程中随施工场地进行定期洒水降尘、材料堆存区域</w:t>
            </w:r>
            <w:r>
              <w:rPr>
                <w:spacing w:val="16"/>
                <w:sz w:val="21"/>
                <w:szCs w:val="21"/>
              </w:rPr>
              <w:t xml:space="preserve"> </w:t>
            </w:r>
            <w:r>
              <w:rPr>
                <w:spacing w:val="-1"/>
                <w:sz w:val="21"/>
                <w:szCs w:val="21"/>
              </w:rPr>
              <w:t>采用篷布遮盖，减少大风天气作业量等</w:t>
            </w:r>
          </w:p>
        </w:tc>
        <w:tc>
          <w:tcPr>
            <w:tcW w:w="385" w:type="dxa"/>
            <w:vMerge w:val="continue"/>
            <w:tcBorders>
              <w:top w:val="nil"/>
              <w:bottom w:val="nil"/>
            </w:tcBorders>
            <w:vAlign w:val="top"/>
          </w:tcPr>
          <w:p w14:paraId="65003F3C">
            <w:pPr>
              <w:rPr>
                <w:rFonts w:ascii="Arial"/>
                <w:sz w:val="21"/>
              </w:rPr>
            </w:pPr>
          </w:p>
        </w:tc>
      </w:tr>
      <w:tr w14:paraId="60C7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24" w:type="dxa"/>
            <w:vMerge w:val="continue"/>
            <w:tcBorders>
              <w:top w:val="nil"/>
              <w:bottom w:val="nil"/>
            </w:tcBorders>
            <w:vAlign w:val="top"/>
          </w:tcPr>
          <w:p w14:paraId="34BE14FE">
            <w:pPr>
              <w:rPr>
                <w:rFonts w:ascii="Arial"/>
                <w:sz w:val="21"/>
              </w:rPr>
            </w:pPr>
          </w:p>
        </w:tc>
        <w:tc>
          <w:tcPr>
            <w:tcW w:w="120" w:type="dxa"/>
            <w:vMerge w:val="continue"/>
            <w:tcBorders>
              <w:top w:val="nil"/>
              <w:bottom w:val="nil"/>
            </w:tcBorders>
            <w:vAlign w:val="top"/>
          </w:tcPr>
          <w:p w14:paraId="57FBD08C">
            <w:pPr>
              <w:rPr>
                <w:rFonts w:ascii="Arial"/>
                <w:sz w:val="21"/>
              </w:rPr>
            </w:pPr>
          </w:p>
        </w:tc>
        <w:tc>
          <w:tcPr>
            <w:tcW w:w="409" w:type="dxa"/>
            <w:vMerge w:val="continue"/>
            <w:tcBorders>
              <w:top w:val="nil"/>
              <w:bottom w:val="nil"/>
            </w:tcBorders>
            <w:textDirection w:val="tbRlV"/>
            <w:vAlign w:val="top"/>
          </w:tcPr>
          <w:p w14:paraId="653E03D5">
            <w:pPr>
              <w:rPr>
                <w:rFonts w:ascii="Arial"/>
                <w:sz w:val="21"/>
              </w:rPr>
            </w:pPr>
          </w:p>
        </w:tc>
        <w:tc>
          <w:tcPr>
            <w:tcW w:w="779" w:type="dxa"/>
            <w:vMerge w:val="continue"/>
            <w:tcBorders>
              <w:top w:val="nil"/>
            </w:tcBorders>
            <w:vAlign w:val="top"/>
          </w:tcPr>
          <w:p w14:paraId="678CB2E4">
            <w:pPr>
              <w:rPr>
                <w:rFonts w:ascii="Arial"/>
                <w:sz w:val="21"/>
              </w:rPr>
            </w:pPr>
          </w:p>
        </w:tc>
        <w:tc>
          <w:tcPr>
            <w:tcW w:w="1398" w:type="dxa"/>
            <w:vAlign w:val="top"/>
          </w:tcPr>
          <w:p w14:paraId="6801A852">
            <w:pPr>
              <w:pStyle w:val="6"/>
              <w:spacing w:before="180" w:line="219" w:lineRule="auto"/>
              <w:ind w:left="272"/>
              <w:rPr>
                <w:sz w:val="21"/>
                <w:szCs w:val="21"/>
              </w:rPr>
            </w:pPr>
            <w:r>
              <w:rPr>
                <w:spacing w:val="-2"/>
                <w:sz w:val="21"/>
                <w:szCs w:val="21"/>
              </w:rPr>
              <w:t>抽油烟机</w:t>
            </w:r>
          </w:p>
        </w:tc>
        <w:tc>
          <w:tcPr>
            <w:tcW w:w="5534" w:type="dxa"/>
            <w:vAlign w:val="top"/>
          </w:tcPr>
          <w:p w14:paraId="19D735FF">
            <w:pPr>
              <w:pStyle w:val="6"/>
              <w:spacing w:before="50" w:line="219" w:lineRule="auto"/>
              <w:ind w:left="185"/>
              <w:rPr>
                <w:sz w:val="21"/>
                <w:szCs w:val="21"/>
              </w:rPr>
            </w:pPr>
            <w:r>
              <w:rPr>
                <w:sz w:val="21"/>
                <w:szCs w:val="21"/>
              </w:rPr>
              <w:t>运营期升压站内厨房内设置1套抽油烟机，厨房油烟引至</w:t>
            </w:r>
          </w:p>
          <w:p w14:paraId="3F211F48">
            <w:pPr>
              <w:pStyle w:val="6"/>
              <w:spacing w:before="22" w:line="200" w:lineRule="auto"/>
              <w:ind w:left="2285"/>
              <w:rPr>
                <w:sz w:val="21"/>
                <w:szCs w:val="21"/>
              </w:rPr>
            </w:pPr>
            <w:r>
              <w:rPr>
                <w:sz w:val="21"/>
                <w:szCs w:val="21"/>
              </w:rPr>
              <w:t>屋顶排放。</w:t>
            </w:r>
          </w:p>
        </w:tc>
        <w:tc>
          <w:tcPr>
            <w:tcW w:w="385" w:type="dxa"/>
            <w:vMerge w:val="continue"/>
            <w:tcBorders>
              <w:top w:val="nil"/>
              <w:bottom w:val="nil"/>
            </w:tcBorders>
            <w:vAlign w:val="top"/>
          </w:tcPr>
          <w:p w14:paraId="4A87CC1C">
            <w:pPr>
              <w:rPr>
                <w:rFonts w:ascii="Arial"/>
                <w:sz w:val="21"/>
              </w:rPr>
            </w:pPr>
          </w:p>
        </w:tc>
      </w:tr>
      <w:tr w14:paraId="495C1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424" w:type="dxa"/>
            <w:vMerge w:val="continue"/>
            <w:tcBorders>
              <w:top w:val="nil"/>
              <w:bottom w:val="nil"/>
            </w:tcBorders>
            <w:vAlign w:val="top"/>
          </w:tcPr>
          <w:p w14:paraId="1B1D28EC">
            <w:pPr>
              <w:rPr>
                <w:rFonts w:ascii="Arial"/>
                <w:sz w:val="21"/>
              </w:rPr>
            </w:pPr>
          </w:p>
        </w:tc>
        <w:tc>
          <w:tcPr>
            <w:tcW w:w="120" w:type="dxa"/>
            <w:vMerge w:val="continue"/>
            <w:tcBorders>
              <w:top w:val="nil"/>
              <w:bottom w:val="nil"/>
            </w:tcBorders>
            <w:vAlign w:val="top"/>
          </w:tcPr>
          <w:p w14:paraId="17276DE4">
            <w:pPr>
              <w:rPr>
                <w:rFonts w:ascii="Arial"/>
                <w:sz w:val="21"/>
              </w:rPr>
            </w:pPr>
          </w:p>
        </w:tc>
        <w:tc>
          <w:tcPr>
            <w:tcW w:w="409" w:type="dxa"/>
            <w:vMerge w:val="continue"/>
            <w:tcBorders>
              <w:top w:val="nil"/>
              <w:bottom w:val="nil"/>
            </w:tcBorders>
            <w:textDirection w:val="tbRlV"/>
            <w:vAlign w:val="top"/>
          </w:tcPr>
          <w:p w14:paraId="59BB2E69">
            <w:pPr>
              <w:rPr>
                <w:rFonts w:ascii="Arial"/>
                <w:sz w:val="21"/>
              </w:rPr>
            </w:pPr>
          </w:p>
        </w:tc>
        <w:tc>
          <w:tcPr>
            <w:tcW w:w="779" w:type="dxa"/>
            <w:vMerge w:val="restart"/>
            <w:tcBorders>
              <w:bottom w:val="nil"/>
            </w:tcBorders>
            <w:vAlign w:val="top"/>
          </w:tcPr>
          <w:p w14:paraId="5AD826D4">
            <w:pPr>
              <w:spacing w:line="299" w:lineRule="auto"/>
              <w:rPr>
                <w:rFonts w:ascii="Arial"/>
                <w:sz w:val="21"/>
              </w:rPr>
            </w:pPr>
          </w:p>
          <w:p w14:paraId="284A94B5">
            <w:pPr>
              <w:spacing w:line="299" w:lineRule="auto"/>
              <w:rPr>
                <w:rFonts w:ascii="Arial"/>
                <w:sz w:val="21"/>
              </w:rPr>
            </w:pPr>
          </w:p>
          <w:p w14:paraId="64EB9776">
            <w:pPr>
              <w:spacing w:line="300" w:lineRule="auto"/>
              <w:rPr>
                <w:rFonts w:ascii="Arial"/>
                <w:sz w:val="21"/>
              </w:rPr>
            </w:pPr>
          </w:p>
          <w:p w14:paraId="538B455E">
            <w:pPr>
              <w:pStyle w:val="6"/>
              <w:spacing w:before="69" w:line="219" w:lineRule="auto"/>
              <w:ind w:left="172"/>
              <w:rPr>
                <w:sz w:val="21"/>
                <w:szCs w:val="21"/>
              </w:rPr>
            </w:pPr>
            <w:r>
              <w:rPr>
                <w:spacing w:val="-2"/>
                <w:sz w:val="21"/>
                <w:szCs w:val="21"/>
              </w:rPr>
              <w:t>废水</w:t>
            </w:r>
          </w:p>
        </w:tc>
        <w:tc>
          <w:tcPr>
            <w:tcW w:w="1398" w:type="dxa"/>
            <w:vAlign w:val="top"/>
          </w:tcPr>
          <w:p w14:paraId="566381E1">
            <w:pPr>
              <w:pStyle w:val="6"/>
              <w:spacing w:before="272" w:line="219" w:lineRule="auto"/>
              <w:ind w:left="372"/>
              <w:rPr>
                <w:sz w:val="21"/>
                <w:szCs w:val="21"/>
              </w:rPr>
            </w:pPr>
            <w:r>
              <w:rPr>
                <w:spacing w:val="-3"/>
                <w:sz w:val="21"/>
                <w:szCs w:val="21"/>
              </w:rPr>
              <w:t>化粪池</w:t>
            </w:r>
          </w:p>
        </w:tc>
        <w:tc>
          <w:tcPr>
            <w:tcW w:w="5534" w:type="dxa"/>
            <w:vAlign w:val="top"/>
          </w:tcPr>
          <w:p w14:paraId="2F950B13">
            <w:pPr>
              <w:pStyle w:val="6"/>
              <w:spacing w:before="151"/>
              <w:ind w:left="104" w:right="79" w:hanging="20"/>
              <w:rPr>
                <w:sz w:val="21"/>
                <w:szCs w:val="21"/>
              </w:rPr>
            </w:pPr>
            <w:r>
              <w:rPr>
                <w:spacing w:val="4"/>
                <w:sz w:val="21"/>
                <w:szCs w:val="21"/>
              </w:rPr>
              <w:t>升压站配套设置一座容积不小于10m³的化粪池，用于预处</w:t>
            </w:r>
            <w:r>
              <w:rPr>
                <w:sz w:val="21"/>
                <w:szCs w:val="21"/>
              </w:rPr>
              <w:t xml:space="preserve"> 理运营期产生的办公生活污水</w:t>
            </w:r>
          </w:p>
        </w:tc>
        <w:tc>
          <w:tcPr>
            <w:tcW w:w="385" w:type="dxa"/>
            <w:vMerge w:val="continue"/>
            <w:tcBorders>
              <w:top w:val="nil"/>
              <w:bottom w:val="nil"/>
            </w:tcBorders>
            <w:vAlign w:val="top"/>
          </w:tcPr>
          <w:p w14:paraId="2128860C">
            <w:pPr>
              <w:rPr>
                <w:rFonts w:ascii="Arial"/>
                <w:sz w:val="21"/>
              </w:rPr>
            </w:pPr>
          </w:p>
        </w:tc>
      </w:tr>
      <w:tr w14:paraId="672EB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24" w:type="dxa"/>
            <w:vMerge w:val="continue"/>
            <w:tcBorders>
              <w:top w:val="nil"/>
              <w:bottom w:val="nil"/>
            </w:tcBorders>
            <w:vAlign w:val="top"/>
          </w:tcPr>
          <w:p w14:paraId="5463516E">
            <w:pPr>
              <w:rPr>
                <w:rFonts w:ascii="Arial"/>
                <w:sz w:val="21"/>
              </w:rPr>
            </w:pPr>
          </w:p>
        </w:tc>
        <w:tc>
          <w:tcPr>
            <w:tcW w:w="120" w:type="dxa"/>
            <w:vMerge w:val="continue"/>
            <w:tcBorders>
              <w:top w:val="nil"/>
              <w:bottom w:val="nil"/>
            </w:tcBorders>
            <w:vAlign w:val="top"/>
          </w:tcPr>
          <w:p w14:paraId="53581D2A">
            <w:pPr>
              <w:rPr>
                <w:rFonts w:ascii="Arial"/>
                <w:sz w:val="21"/>
              </w:rPr>
            </w:pPr>
          </w:p>
        </w:tc>
        <w:tc>
          <w:tcPr>
            <w:tcW w:w="409" w:type="dxa"/>
            <w:vMerge w:val="continue"/>
            <w:tcBorders>
              <w:top w:val="nil"/>
              <w:bottom w:val="nil"/>
            </w:tcBorders>
            <w:textDirection w:val="tbRlV"/>
            <w:vAlign w:val="top"/>
          </w:tcPr>
          <w:p w14:paraId="3E813C06">
            <w:pPr>
              <w:rPr>
                <w:rFonts w:ascii="Arial"/>
                <w:sz w:val="21"/>
              </w:rPr>
            </w:pPr>
          </w:p>
        </w:tc>
        <w:tc>
          <w:tcPr>
            <w:tcW w:w="779" w:type="dxa"/>
            <w:vMerge w:val="continue"/>
            <w:tcBorders>
              <w:top w:val="nil"/>
              <w:bottom w:val="nil"/>
            </w:tcBorders>
            <w:vAlign w:val="top"/>
          </w:tcPr>
          <w:p w14:paraId="5E12F3C1">
            <w:pPr>
              <w:rPr>
                <w:rFonts w:ascii="Arial"/>
                <w:sz w:val="21"/>
              </w:rPr>
            </w:pPr>
          </w:p>
        </w:tc>
        <w:tc>
          <w:tcPr>
            <w:tcW w:w="1398" w:type="dxa"/>
            <w:vAlign w:val="top"/>
          </w:tcPr>
          <w:p w14:paraId="13D5B660">
            <w:pPr>
              <w:pStyle w:val="6"/>
              <w:spacing w:before="44" w:line="198" w:lineRule="auto"/>
              <w:ind w:left="372"/>
              <w:rPr>
                <w:sz w:val="21"/>
                <w:szCs w:val="21"/>
              </w:rPr>
            </w:pPr>
            <w:r>
              <w:rPr>
                <w:spacing w:val="3"/>
                <w:sz w:val="21"/>
                <w:szCs w:val="21"/>
              </w:rPr>
              <w:t>隔油池</w:t>
            </w:r>
          </w:p>
        </w:tc>
        <w:tc>
          <w:tcPr>
            <w:tcW w:w="5534" w:type="dxa"/>
            <w:vAlign w:val="top"/>
          </w:tcPr>
          <w:p w14:paraId="6B175A8E">
            <w:pPr>
              <w:pStyle w:val="6"/>
              <w:spacing w:before="40" w:line="202" w:lineRule="auto"/>
              <w:ind w:left="104"/>
              <w:rPr>
                <w:sz w:val="21"/>
                <w:szCs w:val="21"/>
              </w:rPr>
            </w:pPr>
            <w:r>
              <w:rPr>
                <w:spacing w:val="4"/>
                <w:sz w:val="21"/>
                <w:szCs w:val="21"/>
              </w:rPr>
              <w:t>容积0.5m³,用于预处理运营期升压站食堂废水</w:t>
            </w:r>
          </w:p>
        </w:tc>
        <w:tc>
          <w:tcPr>
            <w:tcW w:w="385" w:type="dxa"/>
            <w:vMerge w:val="continue"/>
            <w:tcBorders>
              <w:top w:val="nil"/>
              <w:bottom w:val="nil"/>
            </w:tcBorders>
            <w:vAlign w:val="top"/>
          </w:tcPr>
          <w:p w14:paraId="598BB358">
            <w:pPr>
              <w:rPr>
                <w:rFonts w:ascii="Arial"/>
                <w:sz w:val="21"/>
              </w:rPr>
            </w:pPr>
          </w:p>
        </w:tc>
      </w:tr>
      <w:tr w14:paraId="4FE1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424" w:type="dxa"/>
            <w:vMerge w:val="continue"/>
            <w:tcBorders>
              <w:top w:val="nil"/>
              <w:bottom w:val="nil"/>
            </w:tcBorders>
            <w:vAlign w:val="top"/>
          </w:tcPr>
          <w:p w14:paraId="1284F800">
            <w:pPr>
              <w:rPr>
                <w:rFonts w:ascii="Arial"/>
                <w:sz w:val="21"/>
              </w:rPr>
            </w:pPr>
          </w:p>
        </w:tc>
        <w:tc>
          <w:tcPr>
            <w:tcW w:w="120" w:type="dxa"/>
            <w:vMerge w:val="continue"/>
            <w:tcBorders>
              <w:top w:val="nil"/>
              <w:bottom w:val="nil"/>
            </w:tcBorders>
            <w:vAlign w:val="top"/>
          </w:tcPr>
          <w:p w14:paraId="554095A4">
            <w:pPr>
              <w:rPr>
                <w:rFonts w:ascii="Arial"/>
                <w:sz w:val="21"/>
              </w:rPr>
            </w:pPr>
          </w:p>
        </w:tc>
        <w:tc>
          <w:tcPr>
            <w:tcW w:w="409" w:type="dxa"/>
            <w:vMerge w:val="continue"/>
            <w:tcBorders>
              <w:top w:val="nil"/>
              <w:bottom w:val="nil"/>
            </w:tcBorders>
            <w:textDirection w:val="tbRlV"/>
            <w:vAlign w:val="top"/>
          </w:tcPr>
          <w:p w14:paraId="78150765">
            <w:pPr>
              <w:rPr>
                <w:rFonts w:ascii="Arial"/>
                <w:sz w:val="21"/>
              </w:rPr>
            </w:pPr>
          </w:p>
        </w:tc>
        <w:tc>
          <w:tcPr>
            <w:tcW w:w="779" w:type="dxa"/>
            <w:vMerge w:val="continue"/>
            <w:tcBorders>
              <w:top w:val="nil"/>
            </w:tcBorders>
            <w:vAlign w:val="top"/>
          </w:tcPr>
          <w:p w14:paraId="0597C5E2">
            <w:pPr>
              <w:rPr>
                <w:rFonts w:ascii="Arial"/>
                <w:sz w:val="21"/>
              </w:rPr>
            </w:pPr>
          </w:p>
        </w:tc>
        <w:tc>
          <w:tcPr>
            <w:tcW w:w="1398" w:type="dxa"/>
            <w:vAlign w:val="top"/>
          </w:tcPr>
          <w:p w14:paraId="6B438722">
            <w:pPr>
              <w:pStyle w:val="6"/>
              <w:spacing w:before="304" w:line="250" w:lineRule="auto"/>
              <w:ind w:left="272" w:right="165" w:hanging="109"/>
              <w:rPr>
                <w:sz w:val="21"/>
                <w:szCs w:val="21"/>
              </w:rPr>
            </w:pPr>
            <w:r>
              <w:rPr>
                <w:spacing w:val="1"/>
                <w:sz w:val="21"/>
                <w:szCs w:val="21"/>
              </w:rPr>
              <w:t>一体化污水</w:t>
            </w:r>
            <w:r>
              <w:rPr>
                <w:spacing w:val="3"/>
                <w:sz w:val="21"/>
                <w:szCs w:val="21"/>
              </w:rPr>
              <w:t xml:space="preserve"> </w:t>
            </w:r>
            <w:r>
              <w:rPr>
                <w:spacing w:val="2"/>
                <w:sz w:val="21"/>
                <w:szCs w:val="21"/>
              </w:rPr>
              <w:t>处理设备</w:t>
            </w:r>
          </w:p>
        </w:tc>
        <w:tc>
          <w:tcPr>
            <w:tcW w:w="5534" w:type="dxa"/>
            <w:vAlign w:val="top"/>
          </w:tcPr>
          <w:p w14:paraId="3BFD5C7D">
            <w:pPr>
              <w:pStyle w:val="6"/>
              <w:spacing w:before="33" w:line="232" w:lineRule="auto"/>
              <w:ind w:left="84" w:right="23" w:hanging="50"/>
              <w:jc w:val="both"/>
              <w:rPr>
                <w:sz w:val="21"/>
                <w:szCs w:val="21"/>
              </w:rPr>
            </w:pPr>
            <w:r>
              <w:rPr>
                <w:spacing w:val="-1"/>
                <w:sz w:val="21"/>
                <w:szCs w:val="21"/>
              </w:rPr>
              <w:t>升压站配套设置一体化污水处理设备，处理工艺为“预处理</w:t>
            </w:r>
            <w:r>
              <w:rPr>
                <w:spacing w:val="15"/>
                <w:sz w:val="21"/>
                <w:szCs w:val="21"/>
              </w:rPr>
              <w:t xml:space="preserve"> </w:t>
            </w:r>
            <w:r>
              <w:rPr>
                <w:spacing w:val="-1"/>
                <w:sz w:val="21"/>
                <w:szCs w:val="21"/>
              </w:rPr>
              <w:t>+AO”工艺，用于处理运营期产生的办公生活污水，一体化</w:t>
            </w:r>
            <w:r>
              <w:rPr>
                <w:spacing w:val="16"/>
                <w:sz w:val="21"/>
                <w:szCs w:val="21"/>
              </w:rPr>
              <w:t xml:space="preserve"> </w:t>
            </w:r>
            <w:r>
              <w:rPr>
                <w:spacing w:val="9"/>
                <w:sz w:val="21"/>
                <w:szCs w:val="21"/>
              </w:rPr>
              <w:t>污水处理设备处理规模2m³/d。配套建设中水储存池4m³,</w:t>
            </w:r>
            <w:r>
              <w:rPr>
                <w:spacing w:val="8"/>
                <w:sz w:val="21"/>
                <w:szCs w:val="21"/>
              </w:rPr>
              <w:t xml:space="preserve"> </w:t>
            </w:r>
            <w:r>
              <w:rPr>
                <w:spacing w:val="-1"/>
                <w:sz w:val="21"/>
                <w:szCs w:val="21"/>
              </w:rPr>
              <w:t>回用管网。</w:t>
            </w:r>
          </w:p>
        </w:tc>
        <w:tc>
          <w:tcPr>
            <w:tcW w:w="385" w:type="dxa"/>
            <w:vMerge w:val="continue"/>
            <w:tcBorders>
              <w:top w:val="nil"/>
              <w:bottom w:val="nil"/>
            </w:tcBorders>
            <w:vAlign w:val="top"/>
          </w:tcPr>
          <w:p w14:paraId="349906B2">
            <w:pPr>
              <w:rPr>
                <w:rFonts w:ascii="Arial"/>
                <w:sz w:val="21"/>
              </w:rPr>
            </w:pPr>
          </w:p>
        </w:tc>
      </w:tr>
      <w:tr w14:paraId="33257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24" w:type="dxa"/>
            <w:vMerge w:val="continue"/>
            <w:tcBorders>
              <w:top w:val="nil"/>
              <w:bottom w:val="nil"/>
            </w:tcBorders>
            <w:vAlign w:val="top"/>
          </w:tcPr>
          <w:p w14:paraId="105B4270">
            <w:pPr>
              <w:rPr>
                <w:rFonts w:ascii="Arial"/>
                <w:sz w:val="21"/>
              </w:rPr>
            </w:pPr>
          </w:p>
        </w:tc>
        <w:tc>
          <w:tcPr>
            <w:tcW w:w="120" w:type="dxa"/>
            <w:vMerge w:val="continue"/>
            <w:tcBorders>
              <w:top w:val="nil"/>
              <w:bottom w:val="nil"/>
            </w:tcBorders>
            <w:vAlign w:val="top"/>
          </w:tcPr>
          <w:p w14:paraId="6065276B">
            <w:pPr>
              <w:rPr>
                <w:rFonts w:ascii="Arial"/>
                <w:sz w:val="21"/>
              </w:rPr>
            </w:pPr>
          </w:p>
        </w:tc>
        <w:tc>
          <w:tcPr>
            <w:tcW w:w="409" w:type="dxa"/>
            <w:vMerge w:val="continue"/>
            <w:tcBorders>
              <w:top w:val="nil"/>
              <w:bottom w:val="nil"/>
            </w:tcBorders>
            <w:textDirection w:val="tbRlV"/>
            <w:vAlign w:val="top"/>
          </w:tcPr>
          <w:p w14:paraId="016481C7">
            <w:pPr>
              <w:rPr>
                <w:rFonts w:ascii="Arial"/>
                <w:sz w:val="21"/>
              </w:rPr>
            </w:pPr>
          </w:p>
        </w:tc>
        <w:tc>
          <w:tcPr>
            <w:tcW w:w="779" w:type="dxa"/>
            <w:vMerge w:val="restart"/>
            <w:tcBorders>
              <w:bottom w:val="nil"/>
            </w:tcBorders>
            <w:vAlign w:val="top"/>
          </w:tcPr>
          <w:p w14:paraId="04C1A441">
            <w:pPr>
              <w:pStyle w:val="6"/>
              <w:spacing w:before="165" w:line="220" w:lineRule="auto"/>
              <w:ind w:left="172"/>
              <w:rPr>
                <w:sz w:val="21"/>
                <w:szCs w:val="21"/>
              </w:rPr>
            </w:pPr>
            <w:r>
              <w:rPr>
                <w:spacing w:val="6"/>
                <w:sz w:val="21"/>
                <w:szCs w:val="21"/>
              </w:rPr>
              <w:t>噪声</w:t>
            </w:r>
          </w:p>
        </w:tc>
        <w:tc>
          <w:tcPr>
            <w:tcW w:w="1398" w:type="dxa"/>
            <w:vAlign w:val="top"/>
          </w:tcPr>
          <w:p w14:paraId="0664AC49">
            <w:pPr>
              <w:pStyle w:val="6"/>
              <w:spacing w:before="35" w:line="189" w:lineRule="auto"/>
              <w:ind w:left="372"/>
              <w:rPr>
                <w:sz w:val="21"/>
                <w:szCs w:val="21"/>
              </w:rPr>
            </w:pPr>
            <w:r>
              <w:rPr>
                <w:spacing w:val="4"/>
                <w:sz w:val="21"/>
                <w:szCs w:val="21"/>
              </w:rPr>
              <w:t>施工期</w:t>
            </w:r>
          </w:p>
        </w:tc>
        <w:tc>
          <w:tcPr>
            <w:tcW w:w="5534" w:type="dxa"/>
            <w:vAlign w:val="top"/>
          </w:tcPr>
          <w:p w14:paraId="48202AB9">
            <w:pPr>
              <w:pStyle w:val="6"/>
              <w:spacing w:before="33" w:line="190" w:lineRule="auto"/>
              <w:ind w:left="1084"/>
              <w:rPr>
                <w:sz w:val="21"/>
                <w:szCs w:val="21"/>
              </w:rPr>
            </w:pPr>
            <w:r>
              <w:rPr>
                <w:spacing w:val="-1"/>
                <w:sz w:val="21"/>
                <w:szCs w:val="21"/>
              </w:rPr>
              <w:t>加强施工设备保养、维护及施工管理</w:t>
            </w:r>
          </w:p>
        </w:tc>
        <w:tc>
          <w:tcPr>
            <w:tcW w:w="385" w:type="dxa"/>
            <w:vMerge w:val="continue"/>
            <w:tcBorders>
              <w:top w:val="nil"/>
              <w:bottom w:val="nil"/>
            </w:tcBorders>
            <w:vAlign w:val="top"/>
          </w:tcPr>
          <w:p w14:paraId="0F74E669">
            <w:pPr>
              <w:rPr>
                <w:rFonts w:ascii="Arial"/>
                <w:sz w:val="21"/>
              </w:rPr>
            </w:pPr>
          </w:p>
        </w:tc>
      </w:tr>
      <w:tr w14:paraId="11745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24" w:type="dxa"/>
            <w:vMerge w:val="continue"/>
            <w:tcBorders>
              <w:top w:val="nil"/>
              <w:bottom w:val="nil"/>
            </w:tcBorders>
            <w:vAlign w:val="top"/>
          </w:tcPr>
          <w:p w14:paraId="14271F4C">
            <w:pPr>
              <w:rPr>
                <w:rFonts w:ascii="Arial"/>
                <w:sz w:val="21"/>
              </w:rPr>
            </w:pPr>
          </w:p>
        </w:tc>
        <w:tc>
          <w:tcPr>
            <w:tcW w:w="120" w:type="dxa"/>
            <w:vMerge w:val="continue"/>
            <w:tcBorders>
              <w:top w:val="nil"/>
              <w:bottom w:val="nil"/>
            </w:tcBorders>
            <w:vAlign w:val="top"/>
          </w:tcPr>
          <w:p w14:paraId="20C53268">
            <w:pPr>
              <w:rPr>
                <w:rFonts w:ascii="Arial"/>
                <w:sz w:val="21"/>
              </w:rPr>
            </w:pPr>
          </w:p>
        </w:tc>
        <w:tc>
          <w:tcPr>
            <w:tcW w:w="409" w:type="dxa"/>
            <w:vMerge w:val="continue"/>
            <w:tcBorders>
              <w:top w:val="nil"/>
              <w:bottom w:val="nil"/>
            </w:tcBorders>
            <w:textDirection w:val="tbRlV"/>
            <w:vAlign w:val="top"/>
          </w:tcPr>
          <w:p w14:paraId="555399EF">
            <w:pPr>
              <w:rPr>
                <w:rFonts w:ascii="Arial"/>
                <w:sz w:val="21"/>
              </w:rPr>
            </w:pPr>
          </w:p>
        </w:tc>
        <w:tc>
          <w:tcPr>
            <w:tcW w:w="779" w:type="dxa"/>
            <w:vMerge w:val="continue"/>
            <w:tcBorders>
              <w:top w:val="nil"/>
            </w:tcBorders>
            <w:vAlign w:val="top"/>
          </w:tcPr>
          <w:p w14:paraId="37EA9B52">
            <w:pPr>
              <w:rPr>
                <w:rFonts w:ascii="Arial"/>
                <w:sz w:val="21"/>
              </w:rPr>
            </w:pPr>
          </w:p>
        </w:tc>
        <w:tc>
          <w:tcPr>
            <w:tcW w:w="1398" w:type="dxa"/>
            <w:vAlign w:val="top"/>
          </w:tcPr>
          <w:p w14:paraId="0DD4661B">
            <w:pPr>
              <w:pStyle w:val="6"/>
              <w:spacing w:before="35" w:line="189" w:lineRule="auto"/>
              <w:ind w:left="372"/>
              <w:rPr>
                <w:sz w:val="21"/>
                <w:szCs w:val="21"/>
              </w:rPr>
            </w:pPr>
            <w:r>
              <w:rPr>
                <w:spacing w:val="4"/>
                <w:sz w:val="21"/>
                <w:szCs w:val="21"/>
              </w:rPr>
              <w:t>运营期</w:t>
            </w:r>
          </w:p>
        </w:tc>
        <w:tc>
          <w:tcPr>
            <w:tcW w:w="5534" w:type="dxa"/>
            <w:vAlign w:val="top"/>
          </w:tcPr>
          <w:p w14:paraId="2882417C">
            <w:pPr>
              <w:pStyle w:val="6"/>
              <w:spacing w:before="33" w:line="190" w:lineRule="auto"/>
              <w:ind w:left="244"/>
              <w:rPr>
                <w:sz w:val="21"/>
                <w:szCs w:val="21"/>
              </w:rPr>
            </w:pPr>
            <w:r>
              <w:rPr>
                <w:sz w:val="21"/>
                <w:szCs w:val="21"/>
              </w:rPr>
              <w:t>选用低噪设备、合理布局、加强基础减振，建筑物隔声</w:t>
            </w:r>
          </w:p>
        </w:tc>
        <w:tc>
          <w:tcPr>
            <w:tcW w:w="385" w:type="dxa"/>
            <w:vMerge w:val="continue"/>
            <w:tcBorders>
              <w:top w:val="nil"/>
              <w:bottom w:val="nil"/>
            </w:tcBorders>
            <w:vAlign w:val="top"/>
          </w:tcPr>
          <w:p w14:paraId="254BBF8A">
            <w:pPr>
              <w:rPr>
                <w:rFonts w:ascii="Arial"/>
                <w:sz w:val="21"/>
              </w:rPr>
            </w:pPr>
          </w:p>
        </w:tc>
      </w:tr>
      <w:tr w14:paraId="2B61F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424" w:type="dxa"/>
            <w:vMerge w:val="continue"/>
            <w:tcBorders>
              <w:top w:val="nil"/>
              <w:bottom w:val="nil"/>
            </w:tcBorders>
            <w:vAlign w:val="top"/>
          </w:tcPr>
          <w:p w14:paraId="46706829">
            <w:pPr>
              <w:rPr>
                <w:rFonts w:ascii="Arial"/>
                <w:sz w:val="21"/>
              </w:rPr>
            </w:pPr>
          </w:p>
        </w:tc>
        <w:tc>
          <w:tcPr>
            <w:tcW w:w="120" w:type="dxa"/>
            <w:vMerge w:val="continue"/>
            <w:tcBorders>
              <w:top w:val="nil"/>
              <w:bottom w:val="nil"/>
            </w:tcBorders>
            <w:vAlign w:val="top"/>
          </w:tcPr>
          <w:p w14:paraId="151EE86B">
            <w:pPr>
              <w:rPr>
                <w:rFonts w:ascii="Arial"/>
                <w:sz w:val="21"/>
              </w:rPr>
            </w:pPr>
          </w:p>
        </w:tc>
        <w:tc>
          <w:tcPr>
            <w:tcW w:w="409" w:type="dxa"/>
            <w:vMerge w:val="continue"/>
            <w:tcBorders>
              <w:top w:val="nil"/>
              <w:bottom w:val="nil"/>
            </w:tcBorders>
            <w:textDirection w:val="tbRlV"/>
            <w:vAlign w:val="top"/>
          </w:tcPr>
          <w:p w14:paraId="0968FACF">
            <w:pPr>
              <w:rPr>
                <w:rFonts w:ascii="Arial"/>
                <w:sz w:val="21"/>
              </w:rPr>
            </w:pPr>
          </w:p>
        </w:tc>
        <w:tc>
          <w:tcPr>
            <w:tcW w:w="779" w:type="dxa"/>
            <w:vMerge w:val="restart"/>
            <w:tcBorders>
              <w:bottom w:val="nil"/>
            </w:tcBorders>
            <w:vAlign w:val="top"/>
          </w:tcPr>
          <w:p w14:paraId="21F5F999">
            <w:pPr>
              <w:spacing w:line="241" w:lineRule="auto"/>
              <w:rPr>
                <w:rFonts w:ascii="Arial"/>
                <w:sz w:val="21"/>
              </w:rPr>
            </w:pPr>
          </w:p>
          <w:p w14:paraId="1565E043">
            <w:pPr>
              <w:spacing w:line="242" w:lineRule="auto"/>
              <w:rPr>
                <w:rFonts w:ascii="Arial"/>
                <w:sz w:val="21"/>
              </w:rPr>
            </w:pPr>
          </w:p>
          <w:p w14:paraId="79A44502">
            <w:pPr>
              <w:spacing w:line="242" w:lineRule="auto"/>
              <w:rPr>
                <w:rFonts w:ascii="Arial"/>
                <w:sz w:val="21"/>
              </w:rPr>
            </w:pPr>
          </w:p>
          <w:p w14:paraId="3576FB68">
            <w:pPr>
              <w:spacing w:line="242" w:lineRule="auto"/>
              <w:rPr>
                <w:rFonts w:ascii="Arial"/>
                <w:sz w:val="21"/>
              </w:rPr>
            </w:pPr>
          </w:p>
          <w:p w14:paraId="2D50217A">
            <w:pPr>
              <w:spacing w:line="242" w:lineRule="auto"/>
              <w:rPr>
                <w:rFonts w:ascii="Arial"/>
                <w:sz w:val="21"/>
              </w:rPr>
            </w:pPr>
          </w:p>
          <w:p w14:paraId="343E6FC6">
            <w:pPr>
              <w:pStyle w:val="6"/>
              <w:spacing w:before="68" w:line="220" w:lineRule="auto"/>
              <w:ind w:left="172"/>
              <w:rPr>
                <w:sz w:val="21"/>
                <w:szCs w:val="21"/>
              </w:rPr>
            </w:pPr>
            <w:r>
              <w:rPr>
                <w:spacing w:val="4"/>
                <w:sz w:val="21"/>
                <w:szCs w:val="21"/>
              </w:rPr>
              <w:t>固体</w:t>
            </w:r>
          </w:p>
          <w:p w14:paraId="2C5B7EA1">
            <w:pPr>
              <w:pStyle w:val="6"/>
              <w:spacing w:before="29" w:line="220" w:lineRule="auto"/>
              <w:ind w:left="172"/>
              <w:rPr>
                <w:sz w:val="21"/>
                <w:szCs w:val="21"/>
              </w:rPr>
            </w:pPr>
            <w:r>
              <w:rPr>
                <w:spacing w:val="-2"/>
                <w:sz w:val="21"/>
                <w:szCs w:val="21"/>
              </w:rPr>
              <w:t>废物</w:t>
            </w:r>
          </w:p>
        </w:tc>
        <w:tc>
          <w:tcPr>
            <w:tcW w:w="1398" w:type="dxa"/>
            <w:vAlign w:val="top"/>
          </w:tcPr>
          <w:p w14:paraId="29AD04FF">
            <w:pPr>
              <w:spacing w:line="244" w:lineRule="auto"/>
              <w:rPr>
                <w:rFonts w:ascii="Arial"/>
                <w:sz w:val="21"/>
              </w:rPr>
            </w:pPr>
          </w:p>
          <w:p w14:paraId="06EC1F34">
            <w:pPr>
              <w:pStyle w:val="6"/>
              <w:spacing w:before="69" w:line="219" w:lineRule="auto"/>
              <w:ind w:left="372"/>
              <w:rPr>
                <w:sz w:val="21"/>
                <w:szCs w:val="21"/>
              </w:rPr>
            </w:pPr>
            <w:r>
              <w:rPr>
                <w:spacing w:val="5"/>
                <w:sz w:val="21"/>
                <w:szCs w:val="21"/>
              </w:rPr>
              <w:t>垃圾桶</w:t>
            </w:r>
          </w:p>
        </w:tc>
        <w:tc>
          <w:tcPr>
            <w:tcW w:w="5534" w:type="dxa"/>
            <w:vAlign w:val="top"/>
          </w:tcPr>
          <w:p w14:paraId="564198A3">
            <w:pPr>
              <w:pStyle w:val="6"/>
              <w:spacing w:before="53" w:line="219" w:lineRule="auto"/>
              <w:ind w:left="135"/>
              <w:rPr>
                <w:sz w:val="21"/>
                <w:szCs w:val="21"/>
              </w:rPr>
            </w:pPr>
            <w:r>
              <w:rPr>
                <w:sz w:val="21"/>
                <w:szCs w:val="21"/>
              </w:rPr>
              <w:t>若干。产生的垃圾分类收集，能回收利用的回收利用，不</w:t>
            </w:r>
          </w:p>
          <w:p w14:paraId="271BD967">
            <w:pPr>
              <w:pStyle w:val="6"/>
              <w:spacing w:before="21" w:line="203" w:lineRule="auto"/>
              <w:ind w:left="135"/>
              <w:rPr>
                <w:sz w:val="21"/>
                <w:szCs w:val="21"/>
              </w:rPr>
            </w:pPr>
            <w:r>
              <w:rPr>
                <w:sz w:val="21"/>
                <w:szCs w:val="21"/>
              </w:rPr>
              <w:t>能回收利用的集中收集后运至附近村庄垃圾收集点，由环</w:t>
            </w:r>
          </w:p>
          <w:p w14:paraId="5C140F54">
            <w:pPr>
              <w:pStyle w:val="6"/>
              <w:spacing w:line="219" w:lineRule="auto"/>
              <w:ind w:left="1904"/>
              <w:rPr>
                <w:sz w:val="21"/>
                <w:szCs w:val="21"/>
              </w:rPr>
            </w:pPr>
            <w:r>
              <w:rPr>
                <w:spacing w:val="-1"/>
                <w:sz w:val="21"/>
                <w:szCs w:val="21"/>
              </w:rPr>
              <w:t>卫部门定期清运。</w:t>
            </w:r>
          </w:p>
        </w:tc>
        <w:tc>
          <w:tcPr>
            <w:tcW w:w="385" w:type="dxa"/>
            <w:vMerge w:val="continue"/>
            <w:tcBorders>
              <w:top w:val="nil"/>
              <w:bottom w:val="nil"/>
            </w:tcBorders>
            <w:vAlign w:val="top"/>
          </w:tcPr>
          <w:p w14:paraId="5048CC26">
            <w:pPr>
              <w:rPr>
                <w:rFonts w:ascii="Arial"/>
                <w:sz w:val="21"/>
              </w:rPr>
            </w:pPr>
          </w:p>
        </w:tc>
      </w:tr>
      <w:tr w14:paraId="244B8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24" w:type="dxa"/>
            <w:vMerge w:val="continue"/>
            <w:tcBorders>
              <w:top w:val="nil"/>
              <w:bottom w:val="nil"/>
            </w:tcBorders>
            <w:vAlign w:val="top"/>
          </w:tcPr>
          <w:p w14:paraId="441BB8CD">
            <w:pPr>
              <w:rPr>
                <w:rFonts w:ascii="Arial"/>
                <w:sz w:val="21"/>
              </w:rPr>
            </w:pPr>
          </w:p>
        </w:tc>
        <w:tc>
          <w:tcPr>
            <w:tcW w:w="120" w:type="dxa"/>
            <w:vMerge w:val="continue"/>
            <w:tcBorders>
              <w:top w:val="nil"/>
              <w:bottom w:val="nil"/>
            </w:tcBorders>
            <w:vAlign w:val="top"/>
          </w:tcPr>
          <w:p w14:paraId="0F949D36">
            <w:pPr>
              <w:rPr>
                <w:rFonts w:ascii="Arial"/>
                <w:sz w:val="21"/>
              </w:rPr>
            </w:pPr>
          </w:p>
        </w:tc>
        <w:tc>
          <w:tcPr>
            <w:tcW w:w="409" w:type="dxa"/>
            <w:vMerge w:val="continue"/>
            <w:tcBorders>
              <w:top w:val="nil"/>
              <w:bottom w:val="nil"/>
            </w:tcBorders>
            <w:textDirection w:val="tbRlV"/>
            <w:vAlign w:val="top"/>
          </w:tcPr>
          <w:p w14:paraId="1FE48A48">
            <w:pPr>
              <w:rPr>
                <w:rFonts w:ascii="Arial"/>
                <w:sz w:val="21"/>
              </w:rPr>
            </w:pPr>
          </w:p>
        </w:tc>
        <w:tc>
          <w:tcPr>
            <w:tcW w:w="779" w:type="dxa"/>
            <w:vMerge w:val="continue"/>
            <w:tcBorders>
              <w:top w:val="nil"/>
              <w:bottom w:val="nil"/>
            </w:tcBorders>
            <w:vAlign w:val="top"/>
          </w:tcPr>
          <w:p w14:paraId="0B024596">
            <w:pPr>
              <w:rPr>
                <w:rFonts w:ascii="Arial"/>
                <w:sz w:val="21"/>
              </w:rPr>
            </w:pPr>
          </w:p>
        </w:tc>
        <w:tc>
          <w:tcPr>
            <w:tcW w:w="1398" w:type="dxa"/>
            <w:vAlign w:val="top"/>
          </w:tcPr>
          <w:p w14:paraId="17239DA8">
            <w:pPr>
              <w:pStyle w:val="6"/>
              <w:spacing w:before="46" w:line="208" w:lineRule="auto"/>
              <w:ind w:left="272" w:right="164" w:hanging="109"/>
              <w:rPr>
                <w:sz w:val="21"/>
                <w:szCs w:val="21"/>
              </w:rPr>
            </w:pPr>
            <w:r>
              <w:rPr>
                <w:spacing w:val="2"/>
                <w:sz w:val="21"/>
                <w:szCs w:val="21"/>
              </w:rPr>
              <w:t>一般固体废</w:t>
            </w:r>
            <w:r>
              <w:rPr>
                <w:sz w:val="21"/>
                <w:szCs w:val="21"/>
              </w:rPr>
              <w:t xml:space="preserve"> </w:t>
            </w:r>
            <w:r>
              <w:rPr>
                <w:spacing w:val="5"/>
                <w:sz w:val="21"/>
                <w:szCs w:val="21"/>
              </w:rPr>
              <w:t>物暂存间</w:t>
            </w:r>
          </w:p>
        </w:tc>
        <w:tc>
          <w:tcPr>
            <w:tcW w:w="5534" w:type="dxa"/>
            <w:vAlign w:val="top"/>
          </w:tcPr>
          <w:p w14:paraId="41B5DC34">
            <w:pPr>
              <w:pStyle w:val="6"/>
              <w:spacing w:before="164" w:line="219" w:lineRule="auto"/>
              <w:ind w:left="135"/>
              <w:rPr>
                <w:sz w:val="21"/>
                <w:szCs w:val="21"/>
              </w:rPr>
            </w:pPr>
            <w:r>
              <w:rPr>
                <w:spacing w:val="4"/>
                <w:sz w:val="21"/>
                <w:szCs w:val="21"/>
              </w:rPr>
              <w:t>升压站拟设置1间占地面积为20m²的一般固体废物暂存间</w:t>
            </w:r>
          </w:p>
        </w:tc>
        <w:tc>
          <w:tcPr>
            <w:tcW w:w="385" w:type="dxa"/>
            <w:vMerge w:val="continue"/>
            <w:tcBorders>
              <w:top w:val="nil"/>
              <w:bottom w:val="nil"/>
            </w:tcBorders>
            <w:vAlign w:val="top"/>
          </w:tcPr>
          <w:p w14:paraId="71579CB7">
            <w:pPr>
              <w:rPr>
                <w:rFonts w:ascii="Arial"/>
                <w:sz w:val="21"/>
              </w:rPr>
            </w:pPr>
          </w:p>
        </w:tc>
      </w:tr>
      <w:tr w14:paraId="2294D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9" w:hRule="atLeast"/>
        </w:trPr>
        <w:tc>
          <w:tcPr>
            <w:tcW w:w="424" w:type="dxa"/>
            <w:vMerge w:val="continue"/>
            <w:tcBorders>
              <w:top w:val="nil"/>
              <w:bottom w:val="nil"/>
            </w:tcBorders>
            <w:vAlign w:val="top"/>
          </w:tcPr>
          <w:p w14:paraId="11AA212D">
            <w:pPr>
              <w:rPr>
                <w:rFonts w:ascii="Arial"/>
                <w:sz w:val="21"/>
              </w:rPr>
            </w:pPr>
          </w:p>
        </w:tc>
        <w:tc>
          <w:tcPr>
            <w:tcW w:w="120" w:type="dxa"/>
            <w:vMerge w:val="continue"/>
            <w:tcBorders>
              <w:top w:val="nil"/>
              <w:bottom w:val="nil"/>
            </w:tcBorders>
            <w:vAlign w:val="top"/>
          </w:tcPr>
          <w:p w14:paraId="2FA49118">
            <w:pPr>
              <w:rPr>
                <w:rFonts w:ascii="Arial"/>
                <w:sz w:val="21"/>
              </w:rPr>
            </w:pPr>
          </w:p>
        </w:tc>
        <w:tc>
          <w:tcPr>
            <w:tcW w:w="409" w:type="dxa"/>
            <w:vMerge w:val="continue"/>
            <w:tcBorders>
              <w:top w:val="nil"/>
              <w:bottom w:val="nil"/>
            </w:tcBorders>
            <w:textDirection w:val="tbRlV"/>
            <w:vAlign w:val="top"/>
          </w:tcPr>
          <w:p w14:paraId="67EED2C0">
            <w:pPr>
              <w:rPr>
                <w:rFonts w:ascii="Arial"/>
                <w:sz w:val="21"/>
              </w:rPr>
            </w:pPr>
          </w:p>
        </w:tc>
        <w:tc>
          <w:tcPr>
            <w:tcW w:w="779" w:type="dxa"/>
            <w:vMerge w:val="continue"/>
            <w:tcBorders>
              <w:top w:val="nil"/>
            </w:tcBorders>
            <w:vAlign w:val="top"/>
          </w:tcPr>
          <w:p w14:paraId="4B4E195E">
            <w:pPr>
              <w:rPr>
                <w:rFonts w:ascii="Arial"/>
                <w:sz w:val="21"/>
              </w:rPr>
            </w:pPr>
          </w:p>
        </w:tc>
        <w:tc>
          <w:tcPr>
            <w:tcW w:w="1398" w:type="dxa"/>
            <w:vAlign w:val="top"/>
          </w:tcPr>
          <w:p w14:paraId="73204D95">
            <w:pPr>
              <w:spacing w:line="331" w:lineRule="auto"/>
              <w:rPr>
                <w:rFonts w:ascii="Arial"/>
                <w:sz w:val="21"/>
              </w:rPr>
            </w:pPr>
          </w:p>
          <w:p w14:paraId="6752369A">
            <w:pPr>
              <w:spacing w:line="332" w:lineRule="auto"/>
              <w:rPr>
                <w:rFonts w:ascii="Arial"/>
                <w:sz w:val="21"/>
              </w:rPr>
            </w:pPr>
          </w:p>
          <w:p w14:paraId="1FA6B6BE">
            <w:pPr>
              <w:pStyle w:val="6"/>
              <w:spacing w:before="68" w:line="219" w:lineRule="auto"/>
              <w:ind w:left="163"/>
              <w:rPr>
                <w:sz w:val="21"/>
                <w:szCs w:val="21"/>
              </w:rPr>
            </w:pPr>
            <w:r>
              <w:rPr>
                <w:spacing w:val="4"/>
                <w:sz w:val="21"/>
                <w:szCs w:val="21"/>
              </w:rPr>
              <w:t>危废暂存间</w:t>
            </w:r>
          </w:p>
        </w:tc>
        <w:tc>
          <w:tcPr>
            <w:tcW w:w="5534" w:type="dxa"/>
            <w:vAlign w:val="top"/>
          </w:tcPr>
          <w:p w14:paraId="48433A79">
            <w:pPr>
              <w:pStyle w:val="6"/>
              <w:spacing w:before="53" w:line="237" w:lineRule="auto"/>
              <w:ind w:left="84" w:firstLine="99"/>
              <w:rPr>
                <w:sz w:val="21"/>
                <w:szCs w:val="21"/>
              </w:rPr>
            </w:pPr>
            <w:r>
              <w:rPr>
                <w:spacing w:val="4"/>
                <w:sz w:val="21"/>
                <w:szCs w:val="21"/>
              </w:rPr>
              <w:t>于升压站设置危险废物暂存间1个，面积6</w:t>
            </w:r>
            <w:r>
              <w:rPr>
                <w:spacing w:val="3"/>
                <w:sz w:val="21"/>
                <w:szCs w:val="21"/>
              </w:rPr>
              <w:t>9.3m²,收集暂</w:t>
            </w:r>
            <w:r>
              <w:rPr>
                <w:sz w:val="21"/>
                <w:szCs w:val="21"/>
              </w:rPr>
              <w:t xml:space="preserve">   </w:t>
            </w:r>
            <w:r>
              <w:rPr>
                <w:spacing w:val="-1"/>
                <w:sz w:val="21"/>
                <w:szCs w:val="21"/>
              </w:rPr>
              <w:t>存项目产生的危险废物，委托有资质的单位定期清运处置。</w:t>
            </w:r>
            <w:r>
              <w:rPr>
                <w:spacing w:val="4"/>
                <w:sz w:val="21"/>
                <w:szCs w:val="21"/>
              </w:rPr>
              <w:t xml:space="preserve"> 危废暂存间地面及四周采用防渗层为至少1</w:t>
            </w:r>
            <w:r>
              <w:rPr>
                <w:spacing w:val="3"/>
                <w:sz w:val="21"/>
                <w:szCs w:val="21"/>
              </w:rPr>
              <w:t>m厚黏土层(渗</w:t>
            </w:r>
            <w:r>
              <w:rPr>
                <w:sz w:val="21"/>
                <w:szCs w:val="21"/>
              </w:rPr>
              <w:t xml:space="preserve">   </w:t>
            </w:r>
            <w:r>
              <w:rPr>
                <w:spacing w:val="-1"/>
                <w:sz w:val="21"/>
                <w:szCs w:val="21"/>
              </w:rPr>
              <w:t>透系数不大于10-7cm/s),或至少2mm厚高密度聚乙烯膜</w:t>
            </w:r>
          </w:p>
          <w:p w14:paraId="5763A501">
            <w:pPr>
              <w:pStyle w:val="6"/>
              <w:spacing w:line="227" w:lineRule="auto"/>
              <w:ind w:left="84" w:right="188" w:firstLine="100"/>
              <w:rPr>
                <w:sz w:val="21"/>
                <w:szCs w:val="21"/>
              </w:rPr>
            </w:pPr>
            <w:r>
              <w:rPr>
                <w:spacing w:val="5"/>
                <w:sz w:val="21"/>
                <w:szCs w:val="21"/>
              </w:rPr>
              <w:t>等人工防渗材料(渗透系数不大于10-1</w:t>
            </w:r>
            <w:r>
              <w:rPr>
                <w:rFonts w:ascii="Calibri" w:hAnsi="Calibri" w:eastAsia="Calibri" w:cs="Calibri"/>
                <w:spacing w:val="5"/>
                <w:sz w:val="21"/>
                <w:szCs w:val="21"/>
              </w:rPr>
              <w:t>⁰</w:t>
            </w:r>
            <w:r>
              <w:rPr>
                <w:sz w:val="21"/>
                <w:szCs w:val="21"/>
              </w:rPr>
              <w:t>cm</w:t>
            </w:r>
            <w:r>
              <w:rPr>
                <w:spacing w:val="4"/>
                <w:sz w:val="21"/>
                <w:szCs w:val="21"/>
              </w:rPr>
              <w:t>/s),或其他防</w:t>
            </w:r>
            <w:r>
              <w:rPr>
                <w:sz w:val="21"/>
                <w:szCs w:val="21"/>
              </w:rPr>
              <w:t xml:space="preserve"> </w:t>
            </w:r>
            <w:r>
              <w:rPr>
                <w:spacing w:val="-1"/>
                <w:sz w:val="21"/>
                <w:szCs w:val="21"/>
              </w:rPr>
              <w:t>渗性能等效的材料。</w:t>
            </w:r>
          </w:p>
        </w:tc>
        <w:tc>
          <w:tcPr>
            <w:tcW w:w="385" w:type="dxa"/>
            <w:vMerge w:val="continue"/>
            <w:tcBorders>
              <w:top w:val="nil"/>
              <w:bottom w:val="nil"/>
            </w:tcBorders>
            <w:vAlign w:val="top"/>
          </w:tcPr>
          <w:p w14:paraId="67B737C1">
            <w:pPr>
              <w:rPr>
                <w:rFonts w:ascii="Arial"/>
                <w:sz w:val="21"/>
              </w:rPr>
            </w:pPr>
          </w:p>
        </w:tc>
      </w:tr>
      <w:tr w14:paraId="3EA69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424" w:type="dxa"/>
            <w:vMerge w:val="continue"/>
            <w:tcBorders>
              <w:top w:val="nil"/>
              <w:bottom w:val="nil"/>
            </w:tcBorders>
            <w:vAlign w:val="top"/>
          </w:tcPr>
          <w:p w14:paraId="4B562005">
            <w:pPr>
              <w:rPr>
                <w:rFonts w:ascii="Arial"/>
                <w:sz w:val="21"/>
              </w:rPr>
            </w:pPr>
          </w:p>
        </w:tc>
        <w:tc>
          <w:tcPr>
            <w:tcW w:w="120" w:type="dxa"/>
            <w:vMerge w:val="continue"/>
            <w:tcBorders>
              <w:top w:val="nil"/>
              <w:bottom w:val="nil"/>
            </w:tcBorders>
            <w:vAlign w:val="top"/>
          </w:tcPr>
          <w:p w14:paraId="35A524AA">
            <w:pPr>
              <w:rPr>
                <w:rFonts w:ascii="Arial"/>
                <w:sz w:val="21"/>
              </w:rPr>
            </w:pPr>
          </w:p>
        </w:tc>
        <w:tc>
          <w:tcPr>
            <w:tcW w:w="409" w:type="dxa"/>
            <w:vMerge w:val="continue"/>
            <w:tcBorders>
              <w:top w:val="nil"/>
              <w:bottom w:val="nil"/>
            </w:tcBorders>
            <w:textDirection w:val="tbRlV"/>
            <w:vAlign w:val="top"/>
          </w:tcPr>
          <w:p w14:paraId="533B16BE">
            <w:pPr>
              <w:rPr>
                <w:rFonts w:ascii="Arial"/>
                <w:sz w:val="21"/>
              </w:rPr>
            </w:pPr>
          </w:p>
        </w:tc>
        <w:tc>
          <w:tcPr>
            <w:tcW w:w="779" w:type="dxa"/>
            <w:vMerge w:val="restart"/>
            <w:tcBorders>
              <w:bottom w:val="nil"/>
            </w:tcBorders>
            <w:vAlign w:val="top"/>
          </w:tcPr>
          <w:p w14:paraId="28D1628E">
            <w:pPr>
              <w:spacing w:line="266" w:lineRule="auto"/>
              <w:rPr>
                <w:rFonts w:ascii="Arial"/>
                <w:sz w:val="21"/>
              </w:rPr>
            </w:pPr>
          </w:p>
          <w:p w14:paraId="02C1CEDB">
            <w:pPr>
              <w:spacing w:line="266" w:lineRule="auto"/>
              <w:rPr>
                <w:rFonts w:ascii="Arial"/>
                <w:sz w:val="21"/>
              </w:rPr>
            </w:pPr>
          </w:p>
          <w:p w14:paraId="1AD29881">
            <w:pPr>
              <w:spacing w:line="266" w:lineRule="auto"/>
              <w:rPr>
                <w:rFonts w:ascii="Arial"/>
                <w:sz w:val="21"/>
              </w:rPr>
            </w:pPr>
          </w:p>
          <w:p w14:paraId="504DEB4D">
            <w:pPr>
              <w:spacing w:line="267" w:lineRule="auto"/>
              <w:rPr>
                <w:rFonts w:ascii="Arial"/>
                <w:sz w:val="21"/>
              </w:rPr>
            </w:pPr>
          </w:p>
          <w:p w14:paraId="5FF88F15">
            <w:pPr>
              <w:spacing w:line="267" w:lineRule="auto"/>
              <w:rPr>
                <w:rFonts w:ascii="Arial"/>
                <w:sz w:val="21"/>
              </w:rPr>
            </w:pPr>
          </w:p>
          <w:p w14:paraId="2258A6EC">
            <w:pPr>
              <w:spacing w:line="267" w:lineRule="auto"/>
              <w:rPr>
                <w:rFonts w:ascii="Arial"/>
                <w:sz w:val="21"/>
              </w:rPr>
            </w:pPr>
          </w:p>
          <w:p w14:paraId="1135C178">
            <w:pPr>
              <w:pStyle w:val="6"/>
              <w:spacing w:before="68" w:line="220" w:lineRule="auto"/>
              <w:ind w:left="172"/>
              <w:rPr>
                <w:sz w:val="21"/>
                <w:szCs w:val="21"/>
              </w:rPr>
            </w:pPr>
            <w:r>
              <w:rPr>
                <w:spacing w:val="-3"/>
                <w:sz w:val="21"/>
                <w:szCs w:val="21"/>
              </w:rPr>
              <w:t>风险</w:t>
            </w:r>
          </w:p>
        </w:tc>
        <w:tc>
          <w:tcPr>
            <w:tcW w:w="1398" w:type="dxa"/>
            <w:vAlign w:val="top"/>
          </w:tcPr>
          <w:p w14:paraId="7478E455">
            <w:pPr>
              <w:spacing w:line="366" w:lineRule="auto"/>
              <w:rPr>
                <w:rFonts w:ascii="Arial"/>
                <w:sz w:val="21"/>
              </w:rPr>
            </w:pPr>
          </w:p>
          <w:p w14:paraId="4DEAA088">
            <w:pPr>
              <w:pStyle w:val="6"/>
              <w:spacing w:before="68" w:line="219" w:lineRule="auto"/>
              <w:ind w:left="372"/>
              <w:rPr>
                <w:sz w:val="21"/>
                <w:szCs w:val="21"/>
              </w:rPr>
            </w:pPr>
            <w:r>
              <w:rPr>
                <w:spacing w:val="-2"/>
                <w:sz w:val="21"/>
                <w:szCs w:val="21"/>
              </w:rPr>
              <w:t>集油坑</w:t>
            </w:r>
          </w:p>
        </w:tc>
        <w:tc>
          <w:tcPr>
            <w:tcW w:w="5534" w:type="dxa"/>
            <w:vAlign w:val="top"/>
          </w:tcPr>
          <w:p w14:paraId="67E36483">
            <w:pPr>
              <w:pStyle w:val="6"/>
              <w:spacing w:before="26" w:line="227" w:lineRule="auto"/>
              <w:ind w:left="84" w:firstLine="49"/>
              <w:jc w:val="both"/>
              <w:rPr>
                <w:sz w:val="21"/>
                <w:szCs w:val="21"/>
              </w:rPr>
            </w:pPr>
            <w:r>
              <w:rPr>
                <w:sz w:val="21"/>
                <w:szCs w:val="21"/>
              </w:rPr>
              <w:t>各箱变配套设置集油坑，共51个集油坑，每个集油</w:t>
            </w:r>
            <w:r>
              <w:rPr>
                <w:spacing w:val="-1"/>
                <w:sz w:val="21"/>
                <w:szCs w:val="21"/>
              </w:rPr>
              <w:t>坑容积</w:t>
            </w:r>
            <w:r>
              <w:rPr>
                <w:sz w:val="21"/>
                <w:szCs w:val="21"/>
              </w:rPr>
              <w:t xml:space="preserve">  </w:t>
            </w:r>
            <w:r>
              <w:rPr>
                <w:spacing w:val="8"/>
                <w:sz w:val="21"/>
                <w:szCs w:val="21"/>
              </w:rPr>
              <w:t>不小于1m³,用于收集检修或事故状态下产</w:t>
            </w:r>
            <w:r>
              <w:rPr>
                <w:spacing w:val="7"/>
                <w:sz w:val="21"/>
                <w:szCs w:val="21"/>
              </w:rPr>
              <w:t>生的废变压器</w:t>
            </w:r>
            <w:r>
              <w:rPr>
                <w:sz w:val="21"/>
                <w:szCs w:val="21"/>
              </w:rPr>
              <w:t xml:space="preserve">   </w:t>
            </w:r>
            <w:r>
              <w:rPr>
                <w:spacing w:val="-1"/>
                <w:sz w:val="21"/>
                <w:szCs w:val="21"/>
              </w:rPr>
              <w:t>油，此部分废变压油经集油坑收集后抽至专用收集容器内，</w:t>
            </w:r>
            <w:r>
              <w:rPr>
                <w:spacing w:val="4"/>
                <w:sz w:val="21"/>
                <w:szCs w:val="21"/>
              </w:rPr>
              <w:t xml:space="preserve"> </w:t>
            </w:r>
            <w:r>
              <w:rPr>
                <w:spacing w:val="3"/>
                <w:sz w:val="21"/>
                <w:szCs w:val="21"/>
              </w:rPr>
              <w:t>暂存危险废物暂存间，定期委托有资质的单位清运处置。</w:t>
            </w:r>
          </w:p>
        </w:tc>
        <w:tc>
          <w:tcPr>
            <w:tcW w:w="385" w:type="dxa"/>
            <w:vMerge w:val="continue"/>
            <w:tcBorders>
              <w:top w:val="nil"/>
              <w:bottom w:val="nil"/>
            </w:tcBorders>
            <w:vAlign w:val="top"/>
          </w:tcPr>
          <w:p w14:paraId="0FBAEB22">
            <w:pPr>
              <w:rPr>
                <w:rFonts w:ascii="Arial"/>
                <w:sz w:val="21"/>
              </w:rPr>
            </w:pPr>
          </w:p>
        </w:tc>
      </w:tr>
      <w:tr w14:paraId="2ACD2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424" w:type="dxa"/>
            <w:vMerge w:val="continue"/>
            <w:tcBorders>
              <w:top w:val="nil"/>
              <w:bottom w:val="nil"/>
            </w:tcBorders>
            <w:vAlign w:val="top"/>
          </w:tcPr>
          <w:p w14:paraId="5EC2CD93">
            <w:pPr>
              <w:rPr>
                <w:rFonts w:ascii="Arial"/>
                <w:sz w:val="21"/>
              </w:rPr>
            </w:pPr>
          </w:p>
        </w:tc>
        <w:tc>
          <w:tcPr>
            <w:tcW w:w="120" w:type="dxa"/>
            <w:vMerge w:val="continue"/>
            <w:tcBorders>
              <w:top w:val="nil"/>
              <w:bottom w:val="nil"/>
            </w:tcBorders>
            <w:vAlign w:val="top"/>
          </w:tcPr>
          <w:p w14:paraId="10352ECE">
            <w:pPr>
              <w:rPr>
                <w:rFonts w:ascii="Arial"/>
                <w:sz w:val="21"/>
              </w:rPr>
            </w:pPr>
          </w:p>
        </w:tc>
        <w:tc>
          <w:tcPr>
            <w:tcW w:w="409" w:type="dxa"/>
            <w:vMerge w:val="continue"/>
            <w:tcBorders>
              <w:top w:val="nil"/>
              <w:bottom w:val="nil"/>
            </w:tcBorders>
            <w:textDirection w:val="tbRlV"/>
            <w:vAlign w:val="top"/>
          </w:tcPr>
          <w:p w14:paraId="1DC3C2E6">
            <w:pPr>
              <w:rPr>
                <w:rFonts w:ascii="Arial"/>
                <w:sz w:val="21"/>
              </w:rPr>
            </w:pPr>
          </w:p>
        </w:tc>
        <w:tc>
          <w:tcPr>
            <w:tcW w:w="779" w:type="dxa"/>
            <w:vMerge w:val="continue"/>
            <w:tcBorders>
              <w:top w:val="nil"/>
              <w:bottom w:val="nil"/>
            </w:tcBorders>
            <w:vAlign w:val="top"/>
          </w:tcPr>
          <w:p w14:paraId="1F332C37">
            <w:pPr>
              <w:rPr>
                <w:rFonts w:ascii="Arial"/>
                <w:sz w:val="21"/>
              </w:rPr>
            </w:pPr>
          </w:p>
        </w:tc>
        <w:tc>
          <w:tcPr>
            <w:tcW w:w="1398" w:type="dxa"/>
            <w:vAlign w:val="top"/>
          </w:tcPr>
          <w:p w14:paraId="4DAB71E4">
            <w:pPr>
              <w:spacing w:line="258" w:lineRule="auto"/>
              <w:rPr>
                <w:rFonts w:ascii="Arial"/>
                <w:sz w:val="21"/>
              </w:rPr>
            </w:pPr>
          </w:p>
          <w:p w14:paraId="4A3E673D">
            <w:pPr>
              <w:spacing w:line="258" w:lineRule="auto"/>
              <w:rPr>
                <w:rFonts w:ascii="Arial"/>
                <w:sz w:val="21"/>
              </w:rPr>
            </w:pPr>
          </w:p>
          <w:p w14:paraId="35F1CAA1">
            <w:pPr>
              <w:pStyle w:val="6"/>
              <w:spacing w:before="69" w:line="220" w:lineRule="auto"/>
              <w:ind w:left="272"/>
              <w:rPr>
                <w:sz w:val="21"/>
                <w:szCs w:val="21"/>
              </w:rPr>
            </w:pPr>
            <w:r>
              <w:rPr>
                <w:spacing w:val="-2"/>
                <w:sz w:val="21"/>
                <w:szCs w:val="21"/>
              </w:rPr>
              <w:t>事故油池</w:t>
            </w:r>
          </w:p>
        </w:tc>
        <w:tc>
          <w:tcPr>
            <w:tcW w:w="5534" w:type="dxa"/>
            <w:vAlign w:val="top"/>
          </w:tcPr>
          <w:p w14:paraId="380FCBAB">
            <w:pPr>
              <w:pStyle w:val="6"/>
              <w:spacing w:before="64" w:line="216" w:lineRule="auto"/>
              <w:ind w:left="185"/>
              <w:rPr>
                <w:sz w:val="21"/>
                <w:szCs w:val="21"/>
              </w:rPr>
            </w:pPr>
            <w:r>
              <w:rPr>
                <w:spacing w:val="4"/>
                <w:sz w:val="21"/>
                <w:szCs w:val="21"/>
              </w:rPr>
              <w:t>升压站内设置1个地埋式事故油池，容积45m³,由排油管</w:t>
            </w:r>
          </w:p>
          <w:p w14:paraId="673BC8B2">
            <w:pPr>
              <w:pStyle w:val="6"/>
              <w:spacing w:before="27" w:line="219" w:lineRule="auto"/>
              <w:ind w:left="185"/>
              <w:rPr>
                <w:sz w:val="21"/>
                <w:szCs w:val="21"/>
              </w:rPr>
            </w:pPr>
            <w:r>
              <w:rPr>
                <w:spacing w:val="4"/>
                <w:sz w:val="21"/>
                <w:szCs w:val="21"/>
              </w:rPr>
              <w:t>道与主变下方的集油坑(容积10m³)连接。主变压器在维</w:t>
            </w:r>
          </w:p>
          <w:p w14:paraId="78021530">
            <w:pPr>
              <w:pStyle w:val="6"/>
              <w:spacing w:before="10" w:line="219" w:lineRule="auto"/>
              <w:ind w:left="135"/>
              <w:rPr>
                <w:sz w:val="21"/>
                <w:szCs w:val="21"/>
              </w:rPr>
            </w:pPr>
            <w:r>
              <w:rPr>
                <w:spacing w:val="-1"/>
                <w:sz w:val="21"/>
                <w:szCs w:val="21"/>
              </w:rPr>
              <w:t>修和事故情况下，产生的废油由集油坑收集后，经球墨铸</w:t>
            </w:r>
          </w:p>
          <w:p w14:paraId="08A33594">
            <w:pPr>
              <w:pStyle w:val="6"/>
              <w:spacing w:before="40" w:line="219" w:lineRule="auto"/>
              <w:ind w:left="135"/>
              <w:rPr>
                <w:sz w:val="21"/>
                <w:szCs w:val="21"/>
              </w:rPr>
            </w:pPr>
            <w:r>
              <w:rPr>
                <w:spacing w:val="-1"/>
                <w:sz w:val="21"/>
                <w:szCs w:val="21"/>
              </w:rPr>
              <w:t>铁管至事故油池存放，最后抽至专用收集容器内，暂存危</w:t>
            </w:r>
          </w:p>
          <w:p w14:paraId="206179A9">
            <w:pPr>
              <w:pStyle w:val="6"/>
              <w:spacing w:before="21" w:line="177" w:lineRule="auto"/>
              <w:ind w:left="504"/>
              <w:rPr>
                <w:sz w:val="21"/>
                <w:szCs w:val="21"/>
              </w:rPr>
            </w:pPr>
            <w:r>
              <w:rPr>
                <w:spacing w:val="-1"/>
                <w:sz w:val="21"/>
                <w:szCs w:val="21"/>
              </w:rPr>
              <w:t>险废物暂存间，定期委托有资质的单位清运处置。</w:t>
            </w:r>
          </w:p>
        </w:tc>
        <w:tc>
          <w:tcPr>
            <w:tcW w:w="385" w:type="dxa"/>
            <w:vMerge w:val="continue"/>
            <w:tcBorders>
              <w:top w:val="nil"/>
              <w:bottom w:val="nil"/>
            </w:tcBorders>
            <w:vAlign w:val="top"/>
          </w:tcPr>
          <w:p w14:paraId="07FC1342">
            <w:pPr>
              <w:rPr>
                <w:rFonts w:ascii="Arial"/>
                <w:sz w:val="21"/>
              </w:rPr>
            </w:pPr>
          </w:p>
        </w:tc>
      </w:tr>
      <w:tr w14:paraId="253CF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424" w:type="dxa"/>
            <w:vMerge w:val="continue"/>
            <w:tcBorders>
              <w:top w:val="nil"/>
            </w:tcBorders>
            <w:vAlign w:val="top"/>
          </w:tcPr>
          <w:p w14:paraId="160CAD5D">
            <w:pPr>
              <w:rPr>
                <w:rFonts w:ascii="Arial"/>
                <w:sz w:val="21"/>
              </w:rPr>
            </w:pPr>
          </w:p>
        </w:tc>
        <w:tc>
          <w:tcPr>
            <w:tcW w:w="120" w:type="dxa"/>
            <w:vMerge w:val="continue"/>
            <w:tcBorders>
              <w:top w:val="nil"/>
            </w:tcBorders>
            <w:vAlign w:val="top"/>
          </w:tcPr>
          <w:p w14:paraId="5437724F">
            <w:pPr>
              <w:rPr>
                <w:rFonts w:ascii="Arial"/>
                <w:sz w:val="21"/>
              </w:rPr>
            </w:pPr>
          </w:p>
        </w:tc>
        <w:tc>
          <w:tcPr>
            <w:tcW w:w="409" w:type="dxa"/>
            <w:vMerge w:val="continue"/>
            <w:tcBorders>
              <w:top w:val="nil"/>
            </w:tcBorders>
            <w:textDirection w:val="tbRlV"/>
            <w:vAlign w:val="top"/>
          </w:tcPr>
          <w:p w14:paraId="3080EA7F">
            <w:pPr>
              <w:rPr>
                <w:rFonts w:ascii="Arial"/>
                <w:sz w:val="21"/>
              </w:rPr>
            </w:pPr>
          </w:p>
        </w:tc>
        <w:tc>
          <w:tcPr>
            <w:tcW w:w="779" w:type="dxa"/>
            <w:vMerge w:val="continue"/>
            <w:tcBorders>
              <w:top w:val="nil"/>
            </w:tcBorders>
            <w:vAlign w:val="top"/>
          </w:tcPr>
          <w:p w14:paraId="748E69E4">
            <w:pPr>
              <w:rPr>
                <w:rFonts w:ascii="Arial"/>
                <w:sz w:val="21"/>
              </w:rPr>
            </w:pPr>
          </w:p>
        </w:tc>
        <w:tc>
          <w:tcPr>
            <w:tcW w:w="1398" w:type="dxa"/>
            <w:vAlign w:val="top"/>
          </w:tcPr>
          <w:p w14:paraId="3D39C72F">
            <w:pPr>
              <w:spacing w:line="378" w:lineRule="auto"/>
              <w:rPr>
                <w:rFonts w:ascii="Arial"/>
                <w:sz w:val="21"/>
              </w:rPr>
            </w:pPr>
          </w:p>
          <w:p w14:paraId="19A89118">
            <w:pPr>
              <w:pStyle w:val="6"/>
              <w:spacing w:before="68" w:line="220" w:lineRule="auto"/>
              <w:ind w:left="272"/>
              <w:rPr>
                <w:sz w:val="21"/>
                <w:szCs w:val="21"/>
              </w:rPr>
            </w:pPr>
            <w:r>
              <w:rPr>
                <w:spacing w:val="2"/>
                <w:sz w:val="21"/>
                <w:szCs w:val="21"/>
              </w:rPr>
              <w:t>防渗措施</w:t>
            </w:r>
          </w:p>
        </w:tc>
        <w:tc>
          <w:tcPr>
            <w:tcW w:w="5534" w:type="dxa"/>
            <w:vAlign w:val="top"/>
          </w:tcPr>
          <w:p w14:paraId="43332FF6">
            <w:pPr>
              <w:pStyle w:val="6"/>
              <w:spacing w:before="37" w:line="219" w:lineRule="auto"/>
              <w:ind w:left="135"/>
              <w:rPr>
                <w:sz w:val="21"/>
                <w:szCs w:val="21"/>
              </w:rPr>
            </w:pPr>
            <w:r>
              <w:rPr>
                <w:sz w:val="21"/>
                <w:szCs w:val="21"/>
              </w:rPr>
              <w:t>本项目防渗措施主要针对升压站，项目升压站划分为重点</w:t>
            </w:r>
          </w:p>
          <w:p w14:paraId="0228EE31">
            <w:pPr>
              <w:pStyle w:val="6"/>
              <w:spacing w:before="40" w:line="219" w:lineRule="auto"/>
              <w:ind w:left="135"/>
              <w:rPr>
                <w:sz w:val="21"/>
                <w:szCs w:val="21"/>
              </w:rPr>
            </w:pPr>
            <w:r>
              <w:rPr>
                <w:sz w:val="21"/>
                <w:szCs w:val="21"/>
              </w:rPr>
              <w:t>防渗区和简单防渗区。项目升压站内的事故油池、升压站</w:t>
            </w:r>
          </w:p>
          <w:p w14:paraId="093027E7">
            <w:pPr>
              <w:pStyle w:val="6"/>
              <w:spacing w:before="22" w:line="219" w:lineRule="auto"/>
              <w:ind w:left="135"/>
              <w:rPr>
                <w:sz w:val="21"/>
                <w:szCs w:val="21"/>
              </w:rPr>
            </w:pPr>
            <w:r>
              <w:rPr>
                <w:sz w:val="21"/>
                <w:szCs w:val="21"/>
              </w:rPr>
              <w:t>卸油坑、危废暂存间作为重点防渗区。危废暂存间防渗层</w:t>
            </w:r>
          </w:p>
          <w:p w14:paraId="0A1BC3C3">
            <w:pPr>
              <w:pStyle w:val="6"/>
              <w:spacing w:before="7" w:line="201" w:lineRule="auto"/>
              <w:ind w:left="244"/>
              <w:rPr>
                <w:sz w:val="21"/>
                <w:szCs w:val="21"/>
              </w:rPr>
            </w:pPr>
            <w:r>
              <w:rPr>
                <w:spacing w:val="5"/>
                <w:sz w:val="21"/>
                <w:szCs w:val="21"/>
              </w:rPr>
              <w:t>为至少1m厚黏土层(渗透系数不大于10-</w:t>
            </w:r>
            <w:r>
              <w:rPr>
                <w:rFonts w:ascii="Calibri" w:hAnsi="Calibri" w:eastAsia="Calibri" w:cs="Calibri"/>
                <w:spacing w:val="5"/>
                <w:sz w:val="21"/>
                <w:szCs w:val="21"/>
              </w:rPr>
              <w:t>⁷</w:t>
            </w:r>
            <w:r>
              <w:rPr>
                <w:sz w:val="21"/>
                <w:szCs w:val="21"/>
              </w:rPr>
              <w:t>cm</w:t>
            </w:r>
            <w:r>
              <w:rPr>
                <w:spacing w:val="5"/>
                <w:sz w:val="21"/>
                <w:szCs w:val="21"/>
              </w:rPr>
              <w:t>/s),或至少</w:t>
            </w:r>
          </w:p>
        </w:tc>
        <w:tc>
          <w:tcPr>
            <w:tcW w:w="385" w:type="dxa"/>
            <w:vMerge w:val="continue"/>
            <w:tcBorders>
              <w:top w:val="nil"/>
            </w:tcBorders>
            <w:vAlign w:val="top"/>
          </w:tcPr>
          <w:p w14:paraId="6D3D0461">
            <w:pPr>
              <w:rPr>
                <w:rFonts w:ascii="Arial"/>
                <w:sz w:val="21"/>
              </w:rPr>
            </w:pPr>
          </w:p>
        </w:tc>
      </w:tr>
    </w:tbl>
    <w:p w14:paraId="20122D1F">
      <w:pPr>
        <w:pStyle w:val="2"/>
      </w:pPr>
    </w:p>
    <w:p w14:paraId="6999D910">
      <w:pPr>
        <w:sectPr>
          <w:footerReference r:id="rId40" w:type="default"/>
          <w:pgSz w:w="11910" w:h="16840"/>
          <w:pgMar w:top="1431" w:right="1445" w:bottom="1269" w:left="1405" w:header="0" w:footer="1089" w:gutter="0"/>
          <w:cols w:space="720" w:num="1"/>
        </w:sectPr>
      </w:pPr>
    </w:p>
    <w:p w14:paraId="3BCB73DA">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30"/>
        <w:gridCol w:w="419"/>
        <w:gridCol w:w="759"/>
        <w:gridCol w:w="1398"/>
        <w:gridCol w:w="5574"/>
        <w:gridCol w:w="365"/>
      </w:tblGrid>
      <w:tr w14:paraId="1A49F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trPr>
        <w:tc>
          <w:tcPr>
            <w:tcW w:w="424" w:type="dxa"/>
            <w:vMerge w:val="restart"/>
            <w:tcBorders>
              <w:bottom w:val="nil"/>
            </w:tcBorders>
            <w:vAlign w:val="top"/>
          </w:tcPr>
          <w:p w14:paraId="5B9B03C8">
            <w:pPr>
              <w:rPr>
                <w:rFonts w:ascii="Arial"/>
                <w:sz w:val="21"/>
              </w:rPr>
            </w:pPr>
          </w:p>
        </w:tc>
        <w:tc>
          <w:tcPr>
            <w:tcW w:w="130" w:type="dxa"/>
            <w:vMerge w:val="restart"/>
            <w:tcBorders>
              <w:bottom w:val="nil"/>
            </w:tcBorders>
            <w:vAlign w:val="top"/>
          </w:tcPr>
          <w:p w14:paraId="27D2D9C6">
            <w:pPr>
              <w:rPr>
                <w:rFonts w:ascii="Arial"/>
                <w:sz w:val="21"/>
              </w:rPr>
            </w:pPr>
          </w:p>
        </w:tc>
        <w:tc>
          <w:tcPr>
            <w:tcW w:w="419" w:type="dxa"/>
            <w:vAlign w:val="top"/>
          </w:tcPr>
          <w:p w14:paraId="102CB312">
            <w:pPr>
              <w:rPr>
                <w:rFonts w:ascii="Arial"/>
                <w:sz w:val="21"/>
              </w:rPr>
            </w:pPr>
          </w:p>
        </w:tc>
        <w:tc>
          <w:tcPr>
            <w:tcW w:w="759" w:type="dxa"/>
            <w:vAlign w:val="top"/>
          </w:tcPr>
          <w:p w14:paraId="2DE4BF19">
            <w:pPr>
              <w:rPr>
                <w:rFonts w:ascii="Arial"/>
                <w:sz w:val="21"/>
              </w:rPr>
            </w:pPr>
          </w:p>
        </w:tc>
        <w:tc>
          <w:tcPr>
            <w:tcW w:w="1398" w:type="dxa"/>
            <w:vAlign w:val="top"/>
          </w:tcPr>
          <w:p w14:paraId="3E70D838">
            <w:pPr>
              <w:rPr>
                <w:rFonts w:ascii="Arial"/>
                <w:sz w:val="21"/>
              </w:rPr>
            </w:pPr>
          </w:p>
        </w:tc>
        <w:tc>
          <w:tcPr>
            <w:tcW w:w="5574" w:type="dxa"/>
            <w:vAlign w:val="top"/>
          </w:tcPr>
          <w:p w14:paraId="3A24E8B3">
            <w:pPr>
              <w:pStyle w:val="6"/>
              <w:spacing w:before="52" w:line="218" w:lineRule="auto"/>
              <w:ind w:left="104"/>
              <w:rPr>
                <w:sz w:val="21"/>
                <w:szCs w:val="21"/>
              </w:rPr>
            </w:pPr>
            <w:r>
              <w:rPr>
                <w:sz w:val="21"/>
                <w:szCs w:val="21"/>
              </w:rPr>
              <w:t>2mm厚高密度聚乙烯膜等人工防渗材料(渗透系数不大于</w:t>
            </w:r>
          </w:p>
          <w:p w14:paraId="05C0908A">
            <w:pPr>
              <w:pStyle w:val="6"/>
              <w:spacing w:before="2" w:line="235" w:lineRule="auto"/>
              <w:ind w:left="54" w:firstLine="59"/>
              <w:rPr>
                <w:sz w:val="21"/>
                <w:szCs w:val="21"/>
              </w:rPr>
            </w:pPr>
            <w:r>
              <w:rPr>
                <w:spacing w:val="4"/>
                <w:sz w:val="21"/>
                <w:szCs w:val="21"/>
              </w:rPr>
              <w:t>10-¹</w:t>
            </w:r>
            <w:r>
              <w:rPr>
                <w:rFonts w:ascii="Calibri" w:hAnsi="Calibri" w:eastAsia="Calibri" w:cs="Calibri"/>
                <w:spacing w:val="4"/>
                <w:sz w:val="21"/>
                <w:szCs w:val="21"/>
              </w:rPr>
              <w:t>⁰</w:t>
            </w:r>
            <w:r>
              <w:rPr>
                <w:sz w:val="21"/>
                <w:szCs w:val="21"/>
              </w:rPr>
              <w:t>cm</w:t>
            </w:r>
            <w:r>
              <w:rPr>
                <w:spacing w:val="4"/>
                <w:sz w:val="21"/>
                <w:szCs w:val="21"/>
              </w:rPr>
              <w:t>/s),或其他防渗性能等效的材料。事故油池、集油</w:t>
            </w:r>
            <w:r>
              <w:rPr>
                <w:sz w:val="21"/>
                <w:szCs w:val="21"/>
              </w:rPr>
              <w:t xml:space="preserve"> </w:t>
            </w:r>
            <w:r>
              <w:rPr>
                <w:spacing w:val="1"/>
                <w:sz w:val="21"/>
                <w:szCs w:val="21"/>
              </w:rPr>
              <w:t>坑按照《环境影响评价技术导则地下水环境》(</w:t>
            </w:r>
            <w:r>
              <w:rPr>
                <w:sz w:val="21"/>
                <w:szCs w:val="21"/>
              </w:rPr>
              <w:t>HJ</w:t>
            </w:r>
            <w:r>
              <w:rPr>
                <w:spacing w:val="1"/>
                <w:sz w:val="21"/>
                <w:szCs w:val="21"/>
              </w:rPr>
              <w:t>610-2016)</w:t>
            </w:r>
            <w:r>
              <w:rPr>
                <w:spacing w:val="2"/>
                <w:sz w:val="21"/>
                <w:szCs w:val="21"/>
              </w:rPr>
              <w:t xml:space="preserve"> </w:t>
            </w:r>
            <w:r>
              <w:rPr>
                <w:spacing w:val="5"/>
                <w:sz w:val="21"/>
                <w:szCs w:val="21"/>
              </w:rPr>
              <w:t>表7重点防渗区要求进行防渗：等效黏土防渗层</w:t>
            </w:r>
            <w:r>
              <w:rPr>
                <w:sz w:val="21"/>
                <w:szCs w:val="21"/>
              </w:rPr>
              <w:t>Mb</w:t>
            </w:r>
            <w:r>
              <w:rPr>
                <w:spacing w:val="5"/>
                <w:sz w:val="21"/>
                <w:szCs w:val="21"/>
              </w:rPr>
              <w:t>≥6.0m,</w:t>
            </w:r>
            <w:r>
              <w:rPr>
                <w:spacing w:val="8"/>
                <w:sz w:val="21"/>
                <w:szCs w:val="21"/>
              </w:rPr>
              <w:t xml:space="preserve">  </w:t>
            </w:r>
            <w:r>
              <w:rPr>
                <w:spacing w:val="3"/>
                <w:sz w:val="21"/>
                <w:szCs w:val="21"/>
              </w:rPr>
              <w:t>K≤1×10-</w:t>
            </w:r>
            <w:r>
              <w:rPr>
                <w:rFonts w:ascii="Calibri" w:hAnsi="Calibri" w:eastAsia="Calibri" w:cs="Calibri"/>
                <w:spacing w:val="3"/>
                <w:sz w:val="21"/>
                <w:szCs w:val="21"/>
              </w:rPr>
              <w:t>⁷</w:t>
            </w:r>
            <w:r>
              <w:rPr>
                <w:sz w:val="21"/>
                <w:szCs w:val="21"/>
              </w:rPr>
              <w:t>cm</w:t>
            </w:r>
            <w:r>
              <w:rPr>
                <w:spacing w:val="3"/>
                <w:sz w:val="21"/>
                <w:szCs w:val="21"/>
              </w:rPr>
              <w:t>/s。升压站内其余区域作为简单防</w:t>
            </w:r>
            <w:r>
              <w:rPr>
                <w:spacing w:val="2"/>
                <w:sz w:val="21"/>
                <w:szCs w:val="21"/>
              </w:rPr>
              <w:t>渗区，进行</w:t>
            </w:r>
            <w:r>
              <w:rPr>
                <w:sz w:val="21"/>
                <w:szCs w:val="21"/>
              </w:rPr>
              <w:t xml:space="preserve"> </w:t>
            </w:r>
            <w:r>
              <w:rPr>
                <w:spacing w:val="3"/>
                <w:sz w:val="21"/>
                <w:szCs w:val="21"/>
              </w:rPr>
              <w:t>地面硬化处理即可。</w:t>
            </w:r>
          </w:p>
        </w:tc>
        <w:tc>
          <w:tcPr>
            <w:tcW w:w="365" w:type="dxa"/>
            <w:vMerge w:val="restart"/>
            <w:tcBorders>
              <w:bottom w:val="nil"/>
            </w:tcBorders>
            <w:vAlign w:val="top"/>
          </w:tcPr>
          <w:p w14:paraId="24219B27">
            <w:pPr>
              <w:rPr>
                <w:rFonts w:ascii="Arial"/>
                <w:sz w:val="21"/>
              </w:rPr>
            </w:pPr>
          </w:p>
        </w:tc>
      </w:tr>
      <w:tr w14:paraId="62620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424" w:type="dxa"/>
            <w:vMerge w:val="continue"/>
            <w:tcBorders>
              <w:top w:val="nil"/>
              <w:bottom w:val="nil"/>
            </w:tcBorders>
            <w:vAlign w:val="top"/>
          </w:tcPr>
          <w:p w14:paraId="76F30795">
            <w:pPr>
              <w:rPr>
                <w:rFonts w:ascii="Arial"/>
                <w:sz w:val="21"/>
              </w:rPr>
            </w:pPr>
          </w:p>
        </w:tc>
        <w:tc>
          <w:tcPr>
            <w:tcW w:w="130" w:type="dxa"/>
            <w:vMerge w:val="continue"/>
            <w:tcBorders>
              <w:top w:val="nil"/>
            </w:tcBorders>
            <w:vAlign w:val="top"/>
          </w:tcPr>
          <w:p w14:paraId="11CB2E2D">
            <w:pPr>
              <w:rPr>
                <w:rFonts w:ascii="Arial"/>
                <w:sz w:val="21"/>
              </w:rPr>
            </w:pPr>
          </w:p>
        </w:tc>
        <w:tc>
          <w:tcPr>
            <w:tcW w:w="2576" w:type="dxa"/>
            <w:gridSpan w:val="3"/>
            <w:vAlign w:val="top"/>
          </w:tcPr>
          <w:p w14:paraId="4E2A8E39">
            <w:pPr>
              <w:pStyle w:val="6"/>
              <w:spacing w:before="304" w:line="219" w:lineRule="auto"/>
              <w:ind w:left="640"/>
              <w:rPr>
                <w:sz w:val="21"/>
                <w:szCs w:val="21"/>
              </w:rPr>
            </w:pPr>
            <w:r>
              <w:rPr>
                <w:spacing w:val="-2"/>
                <w:sz w:val="21"/>
                <w:szCs w:val="21"/>
              </w:rPr>
              <w:t>农光互补方案</w:t>
            </w:r>
          </w:p>
        </w:tc>
        <w:tc>
          <w:tcPr>
            <w:tcW w:w="5574" w:type="dxa"/>
            <w:vAlign w:val="top"/>
          </w:tcPr>
          <w:p w14:paraId="3B1B8BEB">
            <w:pPr>
              <w:pStyle w:val="6"/>
              <w:spacing w:before="33" w:line="219" w:lineRule="auto"/>
              <w:ind w:left="54"/>
              <w:rPr>
                <w:sz w:val="21"/>
                <w:szCs w:val="21"/>
              </w:rPr>
            </w:pPr>
            <w:r>
              <w:rPr>
                <w:spacing w:val="4"/>
                <w:sz w:val="21"/>
                <w:szCs w:val="21"/>
              </w:rPr>
              <w:t>光伏板阵列下方种植金银花，种植规模166.0263</w:t>
            </w:r>
            <w:r>
              <w:rPr>
                <w:sz w:val="21"/>
                <w:szCs w:val="21"/>
              </w:rPr>
              <w:t>hm</w:t>
            </w:r>
            <w:r>
              <w:rPr>
                <w:spacing w:val="4"/>
                <w:sz w:val="21"/>
                <w:szCs w:val="21"/>
              </w:rPr>
              <w:t>²。</w:t>
            </w:r>
            <w:r>
              <w:rPr>
                <w:spacing w:val="3"/>
                <w:sz w:val="21"/>
                <w:szCs w:val="21"/>
              </w:rPr>
              <w:t>株行</w:t>
            </w:r>
          </w:p>
          <w:p w14:paraId="640211FA">
            <w:pPr>
              <w:pStyle w:val="6"/>
              <w:spacing w:before="19" w:line="216" w:lineRule="auto"/>
              <w:ind w:left="264"/>
              <w:rPr>
                <w:sz w:val="21"/>
                <w:szCs w:val="21"/>
              </w:rPr>
            </w:pPr>
            <w:r>
              <w:rPr>
                <w:sz w:val="21"/>
                <w:szCs w:val="21"/>
              </w:rPr>
              <w:t>距均为1.5～2m,每亩株树为167～296株，种植金银花后</w:t>
            </w:r>
          </w:p>
          <w:p w14:paraId="7971BE3B">
            <w:pPr>
              <w:pStyle w:val="6"/>
              <w:spacing w:before="26" w:line="196" w:lineRule="auto"/>
              <w:ind w:left="1735"/>
              <w:rPr>
                <w:sz w:val="21"/>
                <w:szCs w:val="21"/>
              </w:rPr>
            </w:pPr>
            <w:r>
              <w:rPr>
                <w:spacing w:val="-1"/>
                <w:sz w:val="21"/>
                <w:szCs w:val="21"/>
              </w:rPr>
              <w:t>阵列区绿化率达到80%。</w:t>
            </w:r>
          </w:p>
        </w:tc>
        <w:tc>
          <w:tcPr>
            <w:tcW w:w="365" w:type="dxa"/>
            <w:vMerge w:val="continue"/>
            <w:tcBorders>
              <w:top w:val="nil"/>
            </w:tcBorders>
            <w:vAlign w:val="top"/>
          </w:tcPr>
          <w:p w14:paraId="09CC6E81">
            <w:pPr>
              <w:rPr>
                <w:rFonts w:ascii="Arial"/>
                <w:sz w:val="21"/>
              </w:rPr>
            </w:pPr>
          </w:p>
        </w:tc>
      </w:tr>
      <w:tr w14:paraId="49F13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424" w:type="dxa"/>
            <w:vMerge w:val="continue"/>
            <w:tcBorders>
              <w:top w:val="nil"/>
            </w:tcBorders>
            <w:vAlign w:val="top"/>
          </w:tcPr>
          <w:p w14:paraId="30AA5BEA">
            <w:pPr>
              <w:rPr>
                <w:rFonts w:ascii="Arial"/>
                <w:sz w:val="21"/>
              </w:rPr>
            </w:pPr>
          </w:p>
        </w:tc>
        <w:tc>
          <w:tcPr>
            <w:tcW w:w="8645" w:type="dxa"/>
            <w:gridSpan w:val="6"/>
            <w:vAlign w:val="top"/>
          </w:tcPr>
          <w:p w14:paraId="32F2621A">
            <w:pPr>
              <w:pStyle w:val="6"/>
              <w:spacing w:before="54" w:line="210" w:lineRule="auto"/>
              <w:ind w:left="583"/>
              <w:rPr>
                <w:sz w:val="21"/>
                <w:szCs w:val="21"/>
              </w:rPr>
            </w:pPr>
            <w:r>
              <w:rPr>
                <w:b/>
                <w:bCs/>
                <w:spacing w:val="-4"/>
                <w:sz w:val="21"/>
                <w:szCs w:val="21"/>
              </w:rPr>
              <w:t>2、光伏发电系统</w:t>
            </w:r>
          </w:p>
        </w:tc>
      </w:tr>
    </w:tbl>
    <w:p w14:paraId="39A6ED15">
      <w:pPr>
        <w:spacing w:before="182" w:line="357" w:lineRule="auto"/>
        <w:ind w:left="514" w:right="132" w:firstLine="489"/>
        <w:rPr>
          <w:rFonts w:ascii="宋体" w:hAnsi="宋体" w:eastAsia="宋体" w:cs="宋体"/>
          <w:sz w:val="24"/>
          <w:szCs w:val="24"/>
        </w:rPr>
      </w:pPr>
      <w:r>
        <w:rPr>
          <w:rFonts w:ascii="宋体" w:hAnsi="宋体" w:eastAsia="宋体" w:cs="宋体"/>
          <w:spacing w:val="1"/>
          <w:sz w:val="24"/>
          <w:szCs w:val="24"/>
        </w:rPr>
        <w:t>本光伏电站属于大型并网光伏电站工程，主要由</w:t>
      </w:r>
      <w:r>
        <w:rPr>
          <w:rFonts w:ascii="宋体" w:hAnsi="宋体" w:eastAsia="宋体" w:cs="宋体"/>
          <w:sz w:val="24"/>
          <w:szCs w:val="24"/>
        </w:rPr>
        <w:t xml:space="preserve">光伏阵列、箱逆变单元、升 </w:t>
      </w:r>
      <w:r>
        <w:rPr>
          <w:rFonts w:ascii="宋体" w:hAnsi="宋体" w:eastAsia="宋体" w:cs="宋体"/>
          <w:spacing w:val="-2"/>
          <w:sz w:val="24"/>
          <w:szCs w:val="24"/>
        </w:rPr>
        <w:t>压集电系统等部分组成。</w:t>
      </w:r>
    </w:p>
    <w:p w14:paraId="405EC16D">
      <w:pPr>
        <w:spacing w:line="218" w:lineRule="auto"/>
        <w:ind w:left="1128"/>
        <w:rPr>
          <w:rFonts w:ascii="宋体" w:hAnsi="宋体" w:eastAsia="宋体" w:cs="宋体"/>
          <w:sz w:val="26"/>
          <w:szCs w:val="26"/>
        </w:rPr>
      </w:pPr>
      <w:r>
        <w:rPr>
          <w:rFonts w:ascii="宋体" w:hAnsi="宋体" w:eastAsia="宋体" w:cs="宋体"/>
          <w:b/>
          <w:bCs/>
          <w:spacing w:val="-1"/>
          <w:sz w:val="26"/>
          <w:szCs w:val="26"/>
        </w:rPr>
        <w:t>(1)光伏阵列</w:t>
      </w:r>
    </w:p>
    <w:p w14:paraId="65183535">
      <w:pPr>
        <w:spacing w:before="164" w:line="219" w:lineRule="auto"/>
        <w:ind w:left="1004"/>
        <w:rPr>
          <w:rFonts w:ascii="宋体" w:hAnsi="宋体" w:eastAsia="宋体" w:cs="宋体"/>
          <w:sz w:val="24"/>
          <w:szCs w:val="24"/>
        </w:rPr>
      </w:pPr>
      <w:r>
        <w:rPr>
          <w:rFonts w:ascii="宋体" w:hAnsi="宋体" w:eastAsia="宋体" w:cs="宋体"/>
          <w:spacing w:val="18"/>
          <w:sz w:val="24"/>
          <w:szCs w:val="24"/>
        </w:rPr>
        <w:t>1)光伏方阵</w:t>
      </w:r>
    </w:p>
    <w:p w14:paraId="5F9A475B">
      <w:pPr>
        <w:spacing w:before="170" w:line="358" w:lineRule="auto"/>
        <w:ind w:left="514" w:right="131" w:firstLine="489"/>
        <w:rPr>
          <w:rFonts w:ascii="宋体" w:hAnsi="宋体" w:eastAsia="宋体" w:cs="宋体"/>
          <w:sz w:val="24"/>
          <w:szCs w:val="24"/>
        </w:rPr>
      </w:pPr>
      <w:r>
        <w:rPr>
          <w:rFonts w:ascii="宋体" w:hAnsi="宋体" w:eastAsia="宋体" w:cs="宋体"/>
          <w:spacing w:val="3"/>
          <w:sz w:val="24"/>
          <w:szCs w:val="24"/>
        </w:rPr>
        <w:t>本光伏电站额定容量135</w:t>
      </w:r>
      <w:r>
        <w:rPr>
          <w:rFonts w:ascii="Times New Roman" w:hAnsi="Times New Roman" w:eastAsia="Times New Roman" w:cs="Times New Roman"/>
          <w:sz w:val="24"/>
          <w:szCs w:val="24"/>
        </w:rPr>
        <w:t>MW</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AC</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安装容量165.1759</w:t>
      </w:r>
      <w:r>
        <w:rPr>
          <w:rFonts w:ascii="Times New Roman" w:hAnsi="Times New Roman" w:eastAsia="Times New Roman" w:cs="Times New Roman"/>
          <w:sz w:val="24"/>
          <w:szCs w:val="24"/>
        </w:rPr>
        <w:t>MWp</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DC</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共布</w:t>
      </w:r>
      <w:r>
        <w:rPr>
          <w:rFonts w:ascii="宋体" w:hAnsi="宋体" w:eastAsia="宋体" w:cs="宋体"/>
          <w:sz w:val="24"/>
          <w:szCs w:val="24"/>
        </w:rPr>
        <w:t xml:space="preserve"> </w:t>
      </w:r>
      <w:r>
        <w:rPr>
          <w:rFonts w:ascii="宋体" w:hAnsi="宋体" w:eastAsia="宋体" w:cs="宋体"/>
          <w:spacing w:val="14"/>
          <w:sz w:val="24"/>
          <w:szCs w:val="24"/>
        </w:rPr>
        <w:t>置630</w:t>
      </w:r>
      <w:r>
        <w:rPr>
          <w:rFonts w:ascii="Times New Roman" w:hAnsi="Times New Roman" w:eastAsia="Times New Roman" w:cs="Times New Roman"/>
          <w:sz w:val="24"/>
          <w:szCs w:val="24"/>
        </w:rPr>
        <w:t xml:space="preserve">Wp </w:t>
      </w:r>
      <w:r>
        <w:rPr>
          <w:rFonts w:ascii="宋体" w:hAnsi="宋体" w:eastAsia="宋体" w:cs="宋体"/>
          <w:spacing w:val="14"/>
          <w:sz w:val="24"/>
          <w:szCs w:val="24"/>
        </w:rPr>
        <w:t>双面单晶硅</w:t>
      </w:r>
      <w:r>
        <w:rPr>
          <w:rFonts w:ascii="Times New Roman" w:hAnsi="Times New Roman" w:eastAsia="Times New Roman" w:cs="Times New Roman"/>
          <w:spacing w:val="14"/>
          <w:sz w:val="24"/>
          <w:szCs w:val="24"/>
        </w:rPr>
        <w:t>N</w:t>
      </w:r>
      <w:r>
        <w:rPr>
          <w:rFonts w:ascii="Times New Roman" w:hAnsi="Times New Roman" w:eastAsia="Times New Roman" w:cs="Times New Roman"/>
          <w:spacing w:val="44"/>
          <w:sz w:val="24"/>
          <w:szCs w:val="24"/>
        </w:rPr>
        <w:t xml:space="preserve"> </w:t>
      </w:r>
      <w:r>
        <w:rPr>
          <w:rFonts w:ascii="宋体" w:hAnsi="宋体" w:eastAsia="宋体" w:cs="宋体"/>
          <w:spacing w:val="14"/>
          <w:sz w:val="24"/>
          <w:szCs w:val="24"/>
        </w:rPr>
        <w:t>型电池组件262184块，共10084串组串，共有51个光</w:t>
      </w:r>
      <w:r>
        <w:rPr>
          <w:rFonts w:ascii="宋体" w:hAnsi="宋体" w:eastAsia="宋体" w:cs="宋体"/>
          <w:sz w:val="24"/>
          <w:szCs w:val="24"/>
        </w:rPr>
        <w:t xml:space="preserve"> </w:t>
      </w:r>
      <w:r>
        <w:rPr>
          <w:rFonts w:ascii="宋体" w:hAnsi="宋体" w:eastAsia="宋体" w:cs="宋体"/>
          <w:spacing w:val="9"/>
          <w:sz w:val="24"/>
          <w:szCs w:val="24"/>
        </w:rPr>
        <w:t>伏方阵，通过5回集电35</w:t>
      </w:r>
      <w:r>
        <w:rPr>
          <w:rFonts w:ascii="Times New Roman" w:hAnsi="Times New Roman" w:eastAsia="Times New Roman" w:cs="Times New Roman"/>
          <w:sz w:val="24"/>
          <w:szCs w:val="24"/>
        </w:rPr>
        <w:t xml:space="preserve">kV </w:t>
      </w:r>
      <w:r>
        <w:rPr>
          <w:rFonts w:ascii="宋体" w:hAnsi="宋体" w:eastAsia="宋体" w:cs="宋体"/>
          <w:spacing w:val="9"/>
          <w:sz w:val="24"/>
          <w:szCs w:val="24"/>
        </w:rPr>
        <w:t>集电线路汇集到220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rFonts w:ascii="宋体" w:hAnsi="宋体" w:eastAsia="宋体" w:cs="宋体"/>
          <w:spacing w:val="9"/>
          <w:sz w:val="24"/>
          <w:szCs w:val="24"/>
        </w:rPr>
        <w:t>升压站，管理区设在升压站</w:t>
      </w:r>
      <w:r>
        <w:rPr>
          <w:rFonts w:ascii="宋体" w:hAnsi="宋体" w:eastAsia="宋体" w:cs="宋体"/>
          <w:sz w:val="24"/>
          <w:szCs w:val="24"/>
        </w:rPr>
        <w:t xml:space="preserve"> </w:t>
      </w:r>
      <w:r>
        <w:rPr>
          <w:rFonts w:ascii="宋体" w:hAnsi="宋体" w:eastAsia="宋体" w:cs="宋体"/>
          <w:spacing w:val="-28"/>
          <w:sz w:val="24"/>
          <w:szCs w:val="24"/>
        </w:rPr>
        <w:t>内。详见平面布置图。</w:t>
      </w:r>
    </w:p>
    <w:p w14:paraId="4E08A3F7">
      <w:pPr>
        <w:spacing w:before="24" w:line="219" w:lineRule="auto"/>
        <w:ind w:left="1004"/>
        <w:rPr>
          <w:rFonts w:ascii="宋体" w:hAnsi="宋体" w:eastAsia="宋体" w:cs="宋体"/>
          <w:sz w:val="24"/>
          <w:szCs w:val="24"/>
        </w:rPr>
      </w:pPr>
      <w:r>
        <w:rPr>
          <w:rFonts w:ascii="宋体" w:hAnsi="宋体" w:eastAsia="宋体" w:cs="宋体"/>
          <w:spacing w:val="22"/>
          <w:sz w:val="24"/>
          <w:szCs w:val="24"/>
        </w:rPr>
        <w:t>2)光伏组串</w:t>
      </w:r>
    </w:p>
    <w:p w14:paraId="1F7C73BB">
      <w:pPr>
        <w:spacing w:before="151" w:line="366" w:lineRule="auto"/>
        <w:ind w:left="514" w:right="44" w:firstLine="489"/>
        <w:rPr>
          <w:rFonts w:ascii="宋体" w:hAnsi="宋体" w:eastAsia="宋体" w:cs="宋体"/>
          <w:sz w:val="24"/>
          <w:szCs w:val="24"/>
        </w:rPr>
      </w:pPr>
      <w:r>
        <w:rPr>
          <w:rFonts w:ascii="宋体" w:hAnsi="宋体" w:eastAsia="宋体" w:cs="宋体"/>
          <w:spacing w:val="14"/>
          <w:sz w:val="24"/>
          <w:szCs w:val="24"/>
        </w:rPr>
        <w:t>每个光伏组串采用28块(按2行×14列的布置方式)6</w:t>
      </w:r>
      <w:r>
        <w:rPr>
          <w:rFonts w:ascii="宋体" w:hAnsi="宋体" w:eastAsia="宋体" w:cs="宋体"/>
          <w:spacing w:val="13"/>
          <w:sz w:val="24"/>
          <w:szCs w:val="24"/>
        </w:rPr>
        <w:t>30</w:t>
      </w:r>
      <w:r>
        <w:rPr>
          <w:rFonts w:ascii="Times New Roman" w:hAnsi="Times New Roman" w:eastAsia="Times New Roman" w:cs="Times New Roman"/>
          <w:sz w:val="24"/>
          <w:szCs w:val="24"/>
        </w:rPr>
        <w:t>Wp</w:t>
      </w:r>
      <w:r>
        <w:rPr>
          <w:rFonts w:ascii="Times New Roman" w:hAnsi="Times New Roman" w:eastAsia="Times New Roman" w:cs="Times New Roman"/>
          <w:spacing w:val="-13"/>
          <w:sz w:val="24"/>
          <w:szCs w:val="24"/>
        </w:rPr>
        <w:t xml:space="preserve"> </w:t>
      </w:r>
      <w:r>
        <w:rPr>
          <w:rFonts w:ascii="宋体" w:hAnsi="宋体" w:eastAsia="宋体" w:cs="宋体"/>
          <w:spacing w:val="13"/>
          <w:sz w:val="24"/>
          <w:szCs w:val="24"/>
        </w:rPr>
        <w:t>双面单晶硅</w:t>
      </w:r>
      <w:r>
        <w:rPr>
          <w:rFonts w:ascii="Times New Roman" w:hAnsi="Times New Roman" w:eastAsia="Times New Roman" w:cs="Times New Roman"/>
          <w:spacing w:val="13"/>
          <w:sz w:val="24"/>
          <w:szCs w:val="24"/>
        </w:rPr>
        <w:t>N</w:t>
      </w:r>
      <w:r>
        <w:rPr>
          <w:rFonts w:ascii="Times New Roman" w:hAnsi="Times New Roman" w:eastAsia="Times New Roman" w:cs="Times New Roman"/>
          <w:sz w:val="24"/>
          <w:szCs w:val="24"/>
        </w:rPr>
        <w:t xml:space="preserve">     </w:t>
      </w:r>
      <w:r>
        <w:rPr>
          <w:rFonts w:ascii="宋体" w:hAnsi="宋体" w:eastAsia="宋体" w:cs="宋体"/>
          <w:sz w:val="24"/>
          <w:szCs w:val="24"/>
        </w:rPr>
        <w:t xml:space="preserve">型电池组件串联成串，即每28块电池组件之间采用组件自带电缆串联成1个组串。 </w:t>
      </w:r>
      <w:r>
        <w:rPr>
          <w:rFonts w:ascii="宋体" w:hAnsi="宋体" w:eastAsia="宋体" w:cs="宋体"/>
          <w:spacing w:val="1"/>
          <w:sz w:val="24"/>
          <w:szCs w:val="24"/>
        </w:rPr>
        <w:t>630</w:t>
      </w:r>
      <w:r>
        <w:rPr>
          <w:rFonts w:ascii="Times New Roman" w:hAnsi="Times New Roman" w:eastAsia="Times New Roman" w:cs="Times New Roman"/>
          <w:sz w:val="24"/>
          <w:szCs w:val="24"/>
        </w:rPr>
        <w:t>Wp</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单晶硅</w:t>
      </w:r>
      <w:r>
        <w:rPr>
          <w:rFonts w:ascii="Times New Roman" w:hAnsi="Times New Roman" w:eastAsia="Times New Roman" w:cs="Times New Roman"/>
          <w:spacing w:val="1"/>
          <w:sz w:val="24"/>
          <w:szCs w:val="24"/>
        </w:rPr>
        <w:t>N</w:t>
      </w:r>
      <w:r>
        <w:rPr>
          <w:rFonts w:ascii="Times New Roman" w:hAnsi="Times New Roman" w:eastAsia="Times New Roman" w:cs="Times New Roman"/>
          <w:spacing w:val="35"/>
          <w:sz w:val="24"/>
          <w:szCs w:val="24"/>
        </w:rPr>
        <w:t xml:space="preserve"> </w:t>
      </w:r>
      <w:r>
        <w:rPr>
          <w:rFonts w:ascii="宋体" w:hAnsi="宋体" w:eastAsia="宋体" w:cs="宋体"/>
          <w:spacing w:val="1"/>
          <w:sz w:val="24"/>
          <w:szCs w:val="24"/>
        </w:rPr>
        <w:t>型光伏组件主要性能参数表2-2。</w:t>
      </w:r>
    </w:p>
    <w:p w14:paraId="769B6C49">
      <w:pPr>
        <w:spacing w:line="212" w:lineRule="auto"/>
        <w:ind w:left="2188"/>
        <w:rPr>
          <w:rFonts w:ascii="宋体" w:hAnsi="宋体" w:eastAsia="宋体" w:cs="宋体"/>
          <w:sz w:val="26"/>
          <w:szCs w:val="26"/>
        </w:rPr>
      </w:pPr>
      <w:r>
        <w:rPr>
          <w:rFonts w:ascii="宋体" w:hAnsi="宋体" w:eastAsia="宋体" w:cs="宋体"/>
          <w:b/>
          <w:bCs/>
          <w:spacing w:val="-2"/>
          <w:sz w:val="26"/>
          <w:szCs w:val="26"/>
        </w:rPr>
        <w:t>表2-2630</w:t>
      </w:r>
      <w:r>
        <w:rPr>
          <w:rFonts w:ascii="Times New Roman" w:hAnsi="Times New Roman" w:eastAsia="Times New Roman" w:cs="Times New Roman"/>
          <w:b/>
          <w:bCs/>
          <w:spacing w:val="-2"/>
          <w:sz w:val="26"/>
          <w:szCs w:val="26"/>
        </w:rPr>
        <w:t>Wp</w:t>
      </w:r>
      <w:r>
        <w:rPr>
          <w:rFonts w:ascii="宋体" w:hAnsi="宋体" w:eastAsia="宋体" w:cs="宋体"/>
          <w:b/>
          <w:bCs/>
          <w:spacing w:val="-2"/>
          <w:sz w:val="26"/>
          <w:szCs w:val="26"/>
        </w:rPr>
        <w:t>单晶硅</w:t>
      </w:r>
      <w:r>
        <w:rPr>
          <w:rFonts w:ascii="Times New Roman" w:hAnsi="Times New Roman" w:eastAsia="Times New Roman" w:cs="Times New Roman"/>
          <w:b/>
          <w:bCs/>
          <w:spacing w:val="-2"/>
          <w:sz w:val="26"/>
          <w:szCs w:val="26"/>
        </w:rPr>
        <w:t xml:space="preserve">N </w:t>
      </w:r>
      <w:r>
        <w:rPr>
          <w:rFonts w:ascii="宋体" w:hAnsi="宋体" w:eastAsia="宋体" w:cs="宋体"/>
          <w:b/>
          <w:bCs/>
          <w:spacing w:val="-2"/>
          <w:sz w:val="26"/>
          <w:szCs w:val="26"/>
        </w:rPr>
        <w:t>型电池组件主要性能参数表</w:t>
      </w:r>
    </w:p>
    <w:p w14:paraId="227A261A">
      <w:pPr>
        <w:spacing w:line="145"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30"/>
        <w:gridCol w:w="2707"/>
        <w:gridCol w:w="2727"/>
        <w:gridCol w:w="2707"/>
        <w:gridCol w:w="364"/>
      </w:tblGrid>
      <w:tr w14:paraId="595D1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424" w:type="dxa"/>
            <w:vMerge w:val="restart"/>
            <w:tcBorders>
              <w:bottom w:val="nil"/>
            </w:tcBorders>
            <w:vAlign w:val="top"/>
          </w:tcPr>
          <w:p w14:paraId="59C51713">
            <w:pPr>
              <w:rPr>
                <w:rFonts w:ascii="Arial"/>
                <w:sz w:val="21"/>
              </w:rPr>
            </w:pPr>
          </w:p>
        </w:tc>
        <w:tc>
          <w:tcPr>
            <w:tcW w:w="130" w:type="dxa"/>
            <w:vMerge w:val="restart"/>
            <w:tcBorders>
              <w:bottom w:val="nil"/>
            </w:tcBorders>
            <w:vAlign w:val="top"/>
          </w:tcPr>
          <w:p w14:paraId="344B8817">
            <w:pPr>
              <w:rPr>
                <w:rFonts w:ascii="Arial"/>
                <w:sz w:val="21"/>
              </w:rPr>
            </w:pPr>
          </w:p>
        </w:tc>
        <w:tc>
          <w:tcPr>
            <w:tcW w:w="2707" w:type="dxa"/>
            <w:vAlign w:val="top"/>
          </w:tcPr>
          <w:p w14:paraId="4C872BA9">
            <w:pPr>
              <w:pStyle w:val="6"/>
              <w:spacing w:before="25" w:line="192" w:lineRule="auto"/>
              <w:ind w:left="1131"/>
              <w:rPr>
                <w:sz w:val="21"/>
                <w:szCs w:val="21"/>
              </w:rPr>
            </w:pPr>
            <w:r>
              <w:rPr>
                <w:spacing w:val="5"/>
                <w:sz w:val="21"/>
                <w:szCs w:val="21"/>
              </w:rPr>
              <w:t>名称</w:t>
            </w:r>
          </w:p>
        </w:tc>
        <w:tc>
          <w:tcPr>
            <w:tcW w:w="2727" w:type="dxa"/>
            <w:vAlign w:val="top"/>
          </w:tcPr>
          <w:p w14:paraId="4EF33F4D">
            <w:pPr>
              <w:pStyle w:val="6"/>
              <w:spacing w:before="24" w:line="193" w:lineRule="auto"/>
              <w:ind w:left="1143"/>
              <w:rPr>
                <w:sz w:val="21"/>
                <w:szCs w:val="21"/>
              </w:rPr>
            </w:pPr>
            <w:r>
              <w:rPr>
                <w:spacing w:val="-3"/>
                <w:sz w:val="21"/>
                <w:szCs w:val="21"/>
              </w:rPr>
              <w:t>单位</w:t>
            </w:r>
          </w:p>
        </w:tc>
        <w:tc>
          <w:tcPr>
            <w:tcW w:w="2707" w:type="dxa"/>
            <w:vAlign w:val="top"/>
          </w:tcPr>
          <w:p w14:paraId="33208938">
            <w:pPr>
              <w:pStyle w:val="6"/>
              <w:spacing w:before="23" w:line="194" w:lineRule="auto"/>
              <w:ind w:left="926"/>
              <w:rPr>
                <w:sz w:val="21"/>
                <w:szCs w:val="21"/>
              </w:rPr>
            </w:pPr>
            <w:r>
              <w:rPr>
                <w:spacing w:val="-3"/>
                <w:sz w:val="21"/>
                <w:szCs w:val="21"/>
              </w:rPr>
              <w:t>性能参数</w:t>
            </w:r>
          </w:p>
        </w:tc>
        <w:tc>
          <w:tcPr>
            <w:tcW w:w="364" w:type="dxa"/>
            <w:vMerge w:val="restart"/>
            <w:tcBorders>
              <w:bottom w:val="nil"/>
            </w:tcBorders>
            <w:vAlign w:val="top"/>
          </w:tcPr>
          <w:p w14:paraId="1082624D">
            <w:pPr>
              <w:rPr>
                <w:rFonts w:ascii="Arial"/>
                <w:sz w:val="21"/>
              </w:rPr>
            </w:pPr>
          </w:p>
        </w:tc>
      </w:tr>
      <w:tr w14:paraId="42DD3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424" w:type="dxa"/>
            <w:vMerge w:val="continue"/>
            <w:tcBorders>
              <w:top w:val="nil"/>
              <w:bottom w:val="nil"/>
            </w:tcBorders>
            <w:vAlign w:val="top"/>
          </w:tcPr>
          <w:p w14:paraId="46493E28">
            <w:pPr>
              <w:rPr>
                <w:rFonts w:ascii="Arial"/>
                <w:sz w:val="21"/>
              </w:rPr>
            </w:pPr>
          </w:p>
        </w:tc>
        <w:tc>
          <w:tcPr>
            <w:tcW w:w="130" w:type="dxa"/>
            <w:vMerge w:val="continue"/>
            <w:tcBorders>
              <w:top w:val="nil"/>
              <w:bottom w:val="nil"/>
            </w:tcBorders>
            <w:vAlign w:val="top"/>
          </w:tcPr>
          <w:p w14:paraId="773F54FB">
            <w:pPr>
              <w:rPr>
                <w:rFonts w:ascii="Arial"/>
                <w:sz w:val="21"/>
              </w:rPr>
            </w:pPr>
          </w:p>
        </w:tc>
        <w:tc>
          <w:tcPr>
            <w:tcW w:w="2707" w:type="dxa"/>
            <w:vAlign w:val="top"/>
          </w:tcPr>
          <w:p w14:paraId="6FF346B6">
            <w:pPr>
              <w:pStyle w:val="6"/>
              <w:spacing w:before="29" w:line="193" w:lineRule="auto"/>
              <w:ind w:left="920"/>
              <w:rPr>
                <w:sz w:val="21"/>
                <w:szCs w:val="21"/>
              </w:rPr>
            </w:pPr>
            <w:r>
              <w:rPr>
                <w:spacing w:val="2"/>
                <w:sz w:val="21"/>
                <w:szCs w:val="21"/>
              </w:rPr>
              <w:t>峰值功率</w:t>
            </w:r>
          </w:p>
        </w:tc>
        <w:tc>
          <w:tcPr>
            <w:tcW w:w="2727" w:type="dxa"/>
            <w:vAlign w:val="top"/>
          </w:tcPr>
          <w:p w14:paraId="13DC9E4C">
            <w:pPr>
              <w:pStyle w:val="6"/>
              <w:spacing w:before="57" w:line="168" w:lineRule="auto"/>
              <w:ind w:left="1253"/>
              <w:rPr>
                <w:sz w:val="21"/>
                <w:szCs w:val="21"/>
              </w:rPr>
            </w:pPr>
            <w:r>
              <w:rPr>
                <w:spacing w:val="-1"/>
                <w:sz w:val="21"/>
                <w:szCs w:val="21"/>
              </w:rPr>
              <w:t>Wp</w:t>
            </w:r>
          </w:p>
        </w:tc>
        <w:tc>
          <w:tcPr>
            <w:tcW w:w="2707" w:type="dxa"/>
            <w:vAlign w:val="top"/>
          </w:tcPr>
          <w:p w14:paraId="3404D7E5">
            <w:pPr>
              <w:pStyle w:val="6"/>
              <w:spacing w:before="51" w:line="174" w:lineRule="auto"/>
              <w:ind w:left="1186"/>
              <w:rPr>
                <w:sz w:val="21"/>
                <w:szCs w:val="21"/>
              </w:rPr>
            </w:pPr>
            <w:r>
              <w:rPr>
                <w:spacing w:val="-3"/>
                <w:sz w:val="21"/>
                <w:szCs w:val="21"/>
              </w:rPr>
              <w:t>630</w:t>
            </w:r>
          </w:p>
        </w:tc>
        <w:tc>
          <w:tcPr>
            <w:tcW w:w="364" w:type="dxa"/>
            <w:vMerge w:val="continue"/>
            <w:tcBorders>
              <w:top w:val="nil"/>
              <w:bottom w:val="nil"/>
            </w:tcBorders>
            <w:vAlign w:val="top"/>
          </w:tcPr>
          <w:p w14:paraId="218E00EF">
            <w:pPr>
              <w:rPr>
                <w:rFonts w:ascii="Arial"/>
                <w:sz w:val="21"/>
              </w:rPr>
            </w:pPr>
          </w:p>
        </w:tc>
      </w:tr>
      <w:tr w14:paraId="7F1D7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424" w:type="dxa"/>
            <w:vMerge w:val="continue"/>
            <w:tcBorders>
              <w:top w:val="nil"/>
              <w:bottom w:val="nil"/>
            </w:tcBorders>
            <w:vAlign w:val="top"/>
          </w:tcPr>
          <w:p w14:paraId="5CC02856">
            <w:pPr>
              <w:rPr>
                <w:rFonts w:ascii="Arial"/>
                <w:sz w:val="21"/>
              </w:rPr>
            </w:pPr>
          </w:p>
        </w:tc>
        <w:tc>
          <w:tcPr>
            <w:tcW w:w="130" w:type="dxa"/>
            <w:vMerge w:val="continue"/>
            <w:tcBorders>
              <w:top w:val="nil"/>
              <w:bottom w:val="nil"/>
            </w:tcBorders>
            <w:vAlign w:val="top"/>
          </w:tcPr>
          <w:p w14:paraId="3ED59E79">
            <w:pPr>
              <w:rPr>
                <w:rFonts w:ascii="Arial"/>
                <w:sz w:val="21"/>
              </w:rPr>
            </w:pPr>
          </w:p>
        </w:tc>
        <w:tc>
          <w:tcPr>
            <w:tcW w:w="2707" w:type="dxa"/>
            <w:vAlign w:val="top"/>
          </w:tcPr>
          <w:p w14:paraId="07C0BE2A">
            <w:pPr>
              <w:pStyle w:val="6"/>
              <w:spacing w:before="20" w:line="192" w:lineRule="auto"/>
              <w:ind w:left="1030"/>
              <w:rPr>
                <w:sz w:val="21"/>
                <w:szCs w:val="21"/>
              </w:rPr>
            </w:pPr>
            <w:r>
              <w:rPr>
                <w:spacing w:val="3"/>
                <w:sz w:val="21"/>
                <w:szCs w:val="21"/>
              </w:rPr>
              <w:t>组件长</w:t>
            </w:r>
          </w:p>
        </w:tc>
        <w:tc>
          <w:tcPr>
            <w:tcW w:w="2727" w:type="dxa"/>
            <w:vAlign w:val="top"/>
          </w:tcPr>
          <w:p w14:paraId="3BBC058B">
            <w:pPr>
              <w:pStyle w:val="6"/>
              <w:spacing w:before="41" w:line="174" w:lineRule="auto"/>
              <w:ind w:left="1253"/>
              <w:rPr>
                <w:sz w:val="21"/>
                <w:szCs w:val="21"/>
              </w:rPr>
            </w:pPr>
            <w:r>
              <w:rPr>
                <w:spacing w:val="-1"/>
                <w:sz w:val="21"/>
                <w:szCs w:val="21"/>
              </w:rPr>
              <w:t>mm</w:t>
            </w:r>
          </w:p>
        </w:tc>
        <w:tc>
          <w:tcPr>
            <w:tcW w:w="2707" w:type="dxa"/>
            <w:vAlign w:val="top"/>
          </w:tcPr>
          <w:p w14:paraId="11DC354C">
            <w:pPr>
              <w:pStyle w:val="6"/>
              <w:spacing w:before="41" w:line="174" w:lineRule="auto"/>
              <w:ind w:left="1136"/>
              <w:rPr>
                <w:sz w:val="21"/>
                <w:szCs w:val="21"/>
              </w:rPr>
            </w:pPr>
            <w:r>
              <w:rPr>
                <w:spacing w:val="-3"/>
                <w:sz w:val="21"/>
                <w:szCs w:val="21"/>
              </w:rPr>
              <w:t>2278</w:t>
            </w:r>
          </w:p>
        </w:tc>
        <w:tc>
          <w:tcPr>
            <w:tcW w:w="364" w:type="dxa"/>
            <w:vMerge w:val="continue"/>
            <w:tcBorders>
              <w:top w:val="nil"/>
              <w:bottom w:val="nil"/>
            </w:tcBorders>
            <w:vAlign w:val="top"/>
          </w:tcPr>
          <w:p w14:paraId="04AF6283">
            <w:pPr>
              <w:rPr>
                <w:rFonts w:ascii="Arial"/>
                <w:sz w:val="21"/>
              </w:rPr>
            </w:pPr>
          </w:p>
        </w:tc>
      </w:tr>
      <w:tr w14:paraId="340D3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424" w:type="dxa"/>
            <w:vMerge w:val="continue"/>
            <w:tcBorders>
              <w:top w:val="nil"/>
              <w:bottom w:val="nil"/>
            </w:tcBorders>
            <w:vAlign w:val="top"/>
          </w:tcPr>
          <w:p w14:paraId="73717D08">
            <w:pPr>
              <w:rPr>
                <w:rFonts w:ascii="Arial"/>
                <w:sz w:val="21"/>
              </w:rPr>
            </w:pPr>
          </w:p>
        </w:tc>
        <w:tc>
          <w:tcPr>
            <w:tcW w:w="130" w:type="dxa"/>
            <w:vMerge w:val="continue"/>
            <w:tcBorders>
              <w:top w:val="nil"/>
              <w:bottom w:val="nil"/>
            </w:tcBorders>
            <w:vAlign w:val="top"/>
          </w:tcPr>
          <w:p w14:paraId="0FD0EB4B">
            <w:pPr>
              <w:rPr>
                <w:rFonts w:ascii="Arial"/>
                <w:sz w:val="21"/>
              </w:rPr>
            </w:pPr>
          </w:p>
        </w:tc>
        <w:tc>
          <w:tcPr>
            <w:tcW w:w="2707" w:type="dxa"/>
            <w:vAlign w:val="top"/>
          </w:tcPr>
          <w:p w14:paraId="6329AE7E">
            <w:pPr>
              <w:pStyle w:val="6"/>
              <w:spacing w:before="31" w:line="191" w:lineRule="auto"/>
              <w:ind w:left="1030"/>
              <w:rPr>
                <w:sz w:val="21"/>
                <w:szCs w:val="21"/>
              </w:rPr>
            </w:pPr>
            <w:r>
              <w:rPr>
                <w:spacing w:val="5"/>
                <w:sz w:val="21"/>
                <w:szCs w:val="21"/>
              </w:rPr>
              <w:t>组件宽</w:t>
            </w:r>
          </w:p>
        </w:tc>
        <w:tc>
          <w:tcPr>
            <w:tcW w:w="2727" w:type="dxa"/>
            <w:vAlign w:val="top"/>
          </w:tcPr>
          <w:p w14:paraId="7368D5D7">
            <w:pPr>
              <w:pStyle w:val="6"/>
              <w:spacing w:before="52" w:line="173" w:lineRule="auto"/>
              <w:ind w:left="1253"/>
              <w:rPr>
                <w:sz w:val="21"/>
                <w:szCs w:val="21"/>
              </w:rPr>
            </w:pPr>
            <w:r>
              <w:rPr>
                <w:spacing w:val="-1"/>
                <w:sz w:val="21"/>
                <w:szCs w:val="21"/>
              </w:rPr>
              <w:t>mm</w:t>
            </w:r>
          </w:p>
        </w:tc>
        <w:tc>
          <w:tcPr>
            <w:tcW w:w="2707" w:type="dxa"/>
            <w:vAlign w:val="top"/>
          </w:tcPr>
          <w:p w14:paraId="2E01FA28">
            <w:pPr>
              <w:pStyle w:val="6"/>
              <w:spacing w:before="52" w:line="173" w:lineRule="auto"/>
              <w:ind w:left="1136"/>
              <w:rPr>
                <w:sz w:val="21"/>
                <w:szCs w:val="21"/>
              </w:rPr>
            </w:pPr>
            <w:r>
              <w:rPr>
                <w:spacing w:val="-5"/>
                <w:sz w:val="21"/>
                <w:szCs w:val="21"/>
              </w:rPr>
              <w:t>1134</w:t>
            </w:r>
          </w:p>
        </w:tc>
        <w:tc>
          <w:tcPr>
            <w:tcW w:w="364" w:type="dxa"/>
            <w:vMerge w:val="continue"/>
            <w:tcBorders>
              <w:top w:val="nil"/>
              <w:bottom w:val="nil"/>
            </w:tcBorders>
            <w:vAlign w:val="top"/>
          </w:tcPr>
          <w:p w14:paraId="483B4364">
            <w:pPr>
              <w:rPr>
                <w:rFonts w:ascii="Arial"/>
                <w:sz w:val="21"/>
              </w:rPr>
            </w:pPr>
          </w:p>
        </w:tc>
      </w:tr>
      <w:tr w14:paraId="36715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24" w:type="dxa"/>
            <w:vMerge w:val="continue"/>
            <w:tcBorders>
              <w:top w:val="nil"/>
              <w:bottom w:val="nil"/>
            </w:tcBorders>
            <w:vAlign w:val="top"/>
          </w:tcPr>
          <w:p w14:paraId="4E87753F">
            <w:pPr>
              <w:rPr>
                <w:rFonts w:ascii="Arial"/>
                <w:sz w:val="21"/>
              </w:rPr>
            </w:pPr>
          </w:p>
        </w:tc>
        <w:tc>
          <w:tcPr>
            <w:tcW w:w="130" w:type="dxa"/>
            <w:vMerge w:val="continue"/>
            <w:tcBorders>
              <w:top w:val="nil"/>
              <w:bottom w:val="nil"/>
            </w:tcBorders>
            <w:vAlign w:val="top"/>
          </w:tcPr>
          <w:p w14:paraId="09F64C5E">
            <w:pPr>
              <w:rPr>
                <w:rFonts w:ascii="Arial"/>
                <w:sz w:val="21"/>
              </w:rPr>
            </w:pPr>
          </w:p>
        </w:tc>
        <w:tc>
          <w:tcPr>
            <w:tcW w:w="2707" w:type="dxa"/>
            <w:vAlign w:val="top"/>
          </w:tcPr>
          <w:p w14:paraId="62ADB6F3">
            <w:pPr>
              <w:pStyle w:val="6"/>
              <w:spacing w:before="22" w:line="191" w:lineRule="auto"/>
              <w:ind w:left="1030"/>
              <w:rPr>
                <w:sz w:val="21"/>
                <w:szCs w:val="21"/>
              </w:rPr>
            </w:pPr>
            <w:r>
              <w:rPr>
                <w:spacing w:val="-3"/>
                <w:sz w:val="21"/>
                <w:szCs w:val="21"/>
              </w:rPr>
              <w:t>组件高</w:t>
            </w:r>
          </w:p>
        </w:tc>
        <w:tc>
          <w:tcPr>
            <w:tcW w:w="2727" w:type="dxa"/>
            <w:vAlign w:val="top"/>
          </w:tcPr>
          <w:p w14:paraId="2EDD3FD7">
            <w:pPr>
              <w:pStyle w:val="6"/>
              <w:spacing w:before="43" w:line="173" w:lineRule="auto"/>
              <w:ind w:left="1253"/>
              <w:rPr>
                <w:sz w:val="21"/>
                <w:szCs w:val="21"/>
              </w:rPr>
            </w:pPr>
            <w:r>
              <w:rPr>
                <w:spacing w:val="-1"/>
                <w:sz w:val="21"/>
                <w:szCs w:val="21"/>
              </w:rPr>
              <w:t>mm</w:t>
            </w:r>
          </w:p>
        </w:tc>
        <w:tc>
          <w:tcPr>
            <w:tcW w:w="2707" w:type="dxa"/>
            <w:vAlign w:val="top"/>
          </w:tcPr>
          <w:p w14:paraId="1AE592CD">
            <w:pPr>
              <w:pStyle w:val="6"/>
              <w:spacing w:before="43" w:line="173" w:lineRule="auto"/>
              <w:ind w:left="1246"/>
              <w:rPr>
                <w:sz w:val="21"/>
                <w:szCs w:val="21"/>
              </w:rPr>
            </w:pPr>
            <w:r>
              <w:rPr>
                <w:spacing w:val="-4"/>
                <w:sz w:val="21"/>
                <w:szCs w:val="21"/>
              </w:rPr>
              <w:t>35</w:t>
            </w:r>
          </w:p>
        </w:tc>
        <w:tc>
          <w:tcPr>
            <w:tcW w:w="364" w:type="dxa"/>
            <w:vMerge w:val="continue"/>
            <w:tcBorders>
              <w:top w:val="nil"/>
              <w:bottom w:val="nil"/>
            </w:tcBorders>
            <w:vAlign w:val="top"/>
          </w:tcPr>
          <w:p w14:paraId="7504BE7A">
            <w:pPr>
              <w:rPr>
                <w:rFonts w:ascii="Arial"/>
                <w:sz w:val="21"/>
              </w:rPr>
            </w:pPr>
          </w:p>
        </w:tc>
      </w:tr>
      <w:tr w14:paraId="2B028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424" w:type="dxa"/>
            <w:vMerge w:val="continue"/>
            <w:tcBorders>
              <w:top w:val="nil"/>
              <w:bottom w:val="nil"/>
            </w:tcBorders>
            <w:vAlign w:val="top"/>
          </w:tcPr>
          <w:p w14:paraId="3BEC255F">
            <w:pPr>
              <w:rPr>
                <w:rFonts w:ascii="Arial"/>
                <w:sz w:val="21"/>
              </w:rPr>
            </w:pPr>
          </w:p>
        </w:tc>
        <w:tc>
          <w:tcPr>
            <w:tcW w:w="130" w:type="dxa"/>
            <w:vMerge w:val="continue"/>
            <w:tcBorders>
              <w:top w:val="nil"/>
              <w:bottom w:val="nil"/>
            </w:tcBorders>
            <w:vAlign w:val="top"/>
          </w:tcPr>
          <w:p w14:paraId="4C6A8FC3">
            <w:pPr>
              <w:rPr>
                <w:rFonts w:ascii="Arial"/>
                <w:sz w:val="21"/>
              </w:rPr>
            </w:pPr>
          </w:p>
        </w:tc>
        <w:tc>
          <w:tcPr>
            <w:tcW w:w="2707" w:type="dxa"/>
            <w:vAlign w:val="top"/>
          </w:tcPr>
          <w:p w14:paraId="60F6EFCC">
            <w:pPr>
              <w:pStyle w:val="6"/>
              <w:spacing w:before="21" w:line="183" w:lineRule="auto"/>
              <w:ind w:left="400"/>
              <w:rPr>
                <w:sz w:val="21"/>
                <w:szCs w:val="21"/>
              </w:rPr>
            </w:pPr>
            <w:r>
              <w:rPr>
                <w:spacing w:val="-1"/>
                <w:sz w:val="21"/>
                <w:szCs w:val="21"/>
              </w:rPr>
              <w:t>光伏组件的开路电压</w:t>
            </w:r>
          </w:p>
        </w:tc>
        <w:tc>
          <w:tcPr>
            <w:tcW w:w="2727" w:type="dxa"/>
            <w:vAlign w:val="top"/>
          </w:tcPr>
          <w:p w14:paraId="385C2E67">
            <w:pPr>
              <w:pStyle w:val="6"/>
              <w:spacing w:before="78" w:line="151" w:lineRule="exact"/>
              <w:ind w:left="1303"/>
              <w:rPr>
                <w:sz w:val="21"/>
                <w:szCs w:val="21"/>
              </w:rPr>
            </w:pPr>
            <w:r>
              <w:rPr>
                <w:position w:val="-3"/>
                <w:sz w:val="21"/>
                <w:szCs w:val="21"/>
              </w:rPr>
              <w:t>V</w:t>
            </w:r>
          </w:p>
        </w:tc>
        <w:tc>
          <w:tcPr>
            <w:tcW w:w="2707" w:type="dxa"/>
            <w:vAlign w:val="top"/>
          </w:tcPr>
          <w:p w14:paraId="516C4E17">
            <w:pPr>
              <w:pStyle w:val="6"/>
              <w:spacing w:before="43" w:line="164" w:lineRule="auto"/>
              <w:ind w:left="1087"/>
              <w:rPr>
                <w:sz w:val="21"/>
                <w:szCs w:val="21"/>
              </w:rPr>
            </w:pPr>
            <w:r>
              <w:rPr>
                <w:spacing w:val="-2"/>
                <w:sz w:val="21"/>
                <w:szCs w:val="21"/>
              </w:rPr>
              <w:t>51.27</w:t>
            </w:r>
          </w:p>
        </w:tc>
        <w:tc>
          <w:tcPr>
            <w:tcW w:w="364" w:type="dxa"/>
            <w:vMerge w:val="continue"/>
            <w:tcBorders>
              <w:top w:val="nil"/>
              <w:bottom w:val="nil"/>
            </w:tcBorders>
            <w:vAlign w:val="top"/>
          </w:tcPr>
          <w:p w14:paraId="46446B81">
            <w:pPr>
              <w:rPr>
                <w:rFonts w:ascii="Arial"/>
                <w:sz w:val="21"/>
              </w:rPr>
            </w:pPr>
          </w:p>
        </w:tc>
      </w:tr>
      <w:tr w14:paraId="5EE35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24" w:type="dxa"/>
            <w:vMerge w:val="continue"/>
            <w:tcBorders>
              <w:top w:val="nil"/>
              <w:bottom w:val="nil"/>
            </w:tcBorders>
            <w:vAlign w:val="top"/>
          </w:tcPr>
          <w:p w14:paraId="29E6B4A9">
            <w:pPr>
              <w:rPr>
                <w:rFonts w:ascii="Arial"/>
                <w:sz w:val="21"/>
              </w:rPr>
            </w:pPr>
          </w:p>
        </w:tc>
        <w:tc>
          <w:tcPr>
            <w:tcW w:w="130" w:type="dxa"/>
            <w:vMerge w:val="continue"/>
            <w:tcBorders>
              <w:top w:val="nil"/>
              <w:bottom w:val="nil"/>
            </w:tcBorders>
            <w:vAlign w:val="top"/>
          </w:tcPr>
          <w:p w14:paraId="6011C86D">
            <w:pPr>
              <w:rPr>
                <w:rFonts w:ascii="Arial"/>
                <w:sz w:val="21"/>
              </w:rPr>
            </w:pPr>
          </w:p>
        </w:tc>
        <w:tc>
          <w:tcPr>
            <w:tcW w:w="2707" w:type="dxa"/>
            <w:vAlign w:val="top"/>
          </w:tcPr>
          <w:p w14:paraId="42657376">
            <w:pPr>
              <w:pStyle w:val="6"/>
              <w:spacing w:before="31" w:line="200" w:lineRule="auto"/>
              <w:ind w:left="400"/>
              <w:rPr>
                <w:sz w:val="21"/>
                <w:szCs w:val="21"/>
              </w:rPr>
            </w:pPr>
            <w:r>
              <w:rPr>
                <w:spacing w:val="-1"/>
                <w:sz w:val="21"/>
                <w:szCs w:val="21"/>
              </w:rPr>
              <w:t>光伏组件的工作电压</w:t>
            </w:r>
          </w:p>
        </w:tc>
        <w:tc>
          <w:tcPr>
            <w:tcW w:w="2727" w:type="dxa"/>
            <w:vAlign w:val="top"/>
          </w:tcPr>
          <w:p w14:paraId="776841D0">
            <w:pPr>
              <w:pStyle w:val="6"/>
              <w:spacing w:before="88" w:line="170" w:lineRule="exact"/>
              <w:ind w:left="1303"/>
              <w:rPr>
                <w:sz w:val="21"/>
                <w:szCs w:val="21"/>
              </w:rPr>
            </w:pPr>
            <w:r>
              <w:rPr>
                <w:position w:val="-2"/>
                <w:sz w:val="21"/>
                <w:szCs w:val="21"/>
              </w:rPr>
              <w:t>V</w:t>
            </w:r>
          </w:p>
        </w:tc>
        <w:tc>
          <w:tcPr>
            <w:tcW w:w="2707" w:type="dxa"/>
            <w:vAlign w:val="top"/>
          </w:tcPr>
          <w:p w14:paraId="1621CA84">
            <w:pPr>
              <w:pStyle w:val="6"/>
              <w:spacing w:before="53" w:line="181" w:lineRule="auto"/>
              <w:ind w:left="1087"/>
              <w:rPr>
                <w:sz w:val="21"/>
                <w:szCs w:val="21"/>
              </w:rPr>
            </w:pPr>
            <w:r>
              <w:rPr>
                <w:spacing w:val="-2"/>
                <w:sz w:val="21"/>
                <w:szCs w:val="21"/>
              </w:rPr>
              <w:t>42.44</w:t>
            </w:r>
          </w:p>
        </w:tc>
        <w:tc>
          <w:tcPr>
            <w:tcW w:w="364" w:type="dxa"/>
            <w:vMerge w:val="continue"/>
            <w:tcBorders>
              <w:top w:val="nil"/>
              <w:bottom w:val="nil"/>
            </w:tcBorders>
            <w:vAlign w:val="top"/>
          </w:tcPr>
          <w:p w14:paraId="4F1AF228">
            <w:pPr>
              <w:rPr>
                <w:rFonts w:ascii="Arial"/>
                <w:sz w:val="21"/>
              </w:rPr>
            </w:pPr>
          </w:p>
        </w:tc>
      </w:tr>
      <w:tr w14:paraId="61E8C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24" w:type="dxa"/>
            <w:vMerge w:val="continue"/>
            <w:tcBorders>
              <w:top w:val="nil"/>
              <w:bottom w:val="nil"/>
            </w:tcBorders>
            <w:vAlign w:val="top"/>
          </w:tcPr>
          <w:p w14:paraId="21603DC2">
            <w:pPr>
              <w:rPr>
                <w:rFonts w:ascii="Arial"/>
                <w:sz w:val="21"/>
              </w:rPr>
            </w:pPr>
          </w:p>
        </w:tc>
        <w:tc>
          <w:tcPr>
            <w:tcW w:w="130" w:type="dxa"/>
            <w:vMerge w:val="continue"/>
            <w:tcBorders>
              <w:top w:val="nil"/>
              <w:bottom w:val="nil"/>
            </w:tcBorders>
            <w:vAlign w:val="top"/>
          </w:tcPr>
          <w:p w14:paraId="40EBD7F4">
            <w:pPr>
              <w:rPr>
                <w:rFonts w:ascii="Arial"/>
                <w:sz w:val="21"/>
              </w:rPr>
            </w:pPr>
          </w:p>
        </w:tc>
        <w:tc>
          <w:tcPr>
            <w:tcW w:w="2707" w:type="dxa"/>
            <w:vAlign w:val="top"/>
          </w:tcPr>
          <w:p w14:paraId="7D1D560B">
            <w:pPr>
              <w:pStyle w:val="6"/>
              <w:spacing w:before="22" w:line="205" w:lineRule="auto"/>
              <w:ind w:left="1130" w:right="183" w:hanging="940"/>
              <w:rPr>
                <w:sz w:val="21"/>
                <w:szCs w:val="21"/>
              </w:rPr>
            </w:pPr>
            <w:r>
              <w:rPr>
                <w:spacing w:val="1"/>
                <w:sz w:val="21"/>
                <w:szCs w:val="21"/>
              </w:rPr>
              <w:t>光伏组件的开路电压温度</w:t>
            </w:r>
            <w:r>
              <w:rPr>
                <w:sz w:val="21"/>
                <w:szCs w:val="21"/>
              </w:rPr>
              <w:t xml:space="preserve"> </w:t>
            </w:r>
            <w:r>
              <w:rPr>
                <w:spacing w:val="4"/>
                <w:sz w:val="21"/>
                <w:szCs w:val="21"/>
              </w:rPr>
              <w:t>系数</w:t>
            </w:r>
          </w:p>
        </w:tc>
        <w:tc>
          <w:tcPr>
            <w:tcW w:w="2727" w:type="dxa"/>
            <w:vAlign w:val="top"/>
          </w:tcPr>
          <w:p w14:paraId="03D65976">
            <w:pPr>
              <w:pStyle w:val="6"/>
              <w:spacing w:before="159" w:line="224" w:lineRule="auto"/>
              <w:ind w:left="1143"/>
              <w:rPr>
                <w:sz w:val="21"/>
                <w:szCs w:val="21"/>
              </w:rPr>
            </w:pPr>
            <w:r>
              <w:rPr>
                <w:spacing w:val="-1"/>
                <w:sz w:val="21"/>
                <w:szCs w:val="21"/>
              </w:rPr>
              <w:t>%/℃</w:t>
            </w:r>
          </w:p>
        </w:tc>
        <w:tc>
          <w:tcPr>
            <w:tcW w:w="2707" w:type="dxa"/>
            <w:vAlign w:val="top"/>
          </w:tcPr>
          <w:p w14:paraId="71A7ED36">
            <w:pPr>
              <w:pStyle w:val="6"/>
              <w:spacing w:before="174" w:line="239" w:lineRule="auto"/>
              <w:ind w:left="1087"/>
              <w:rPr>
                <w:sz w:val="21"/>
                <w:szCs w:val="21"/>
              </w:rPr>
            </w:pPr>
            <w:r>
              <w:rPr>
                <w:spacing w:val="-2"/>
                <w:sz w:val="21"/>
                <w:szCs w:val="21"/>
              </w:rPr>
              <w:t>-0.25</w:t>
            </w:r>
          </w:p>
        </w:tc>
        <w:tc>
          <w:tcPr>
            <w:tcW w:w="364" w:type="dxa"/>
            <w:vMerge w:val="continue"/>
            <w:tcBorders>
              <w:top w:val="nil"/>
              <w:bottom w:val="nil"/>
            </w:tcBorders>
            <w:vAlign w:val="top"/>
          </w:tcPr>
          <w:p w14:paraId="344DC29B">
            <w:pPr>
              <w:rPr>
                <w:rFonts w:ascii="Arial"/>
                <w:sz w:val="21"/>
              </w:rPr>
            </w:pPr>
          </w:p>
        </w:tc>
      </w:tr>
      <w:tr w14:paraId="6712C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24" w:type="dxa"/>
            <w:vMerge w:val="continue"/>
            <w:tcBorders>
              <w:top w:val="nil"/>
              <w:bottom w:val="nil"/>
            </w:tcBorders>
            <w:vAlign w:val="top"/>
          </w:tcPr>
          <w:p w14:paraId="50B31F9A">
            <w:pPr>
              <w:rPr>
                <w:rFonts w:ascii="Arial"/>
                <w:sz w:val="21"/>
              </w:rPr>
            </w:pPr>
          </w:p>
        </w:tc>
        <w:tc>
          <w:tcPr>
            <w:tcW w:w="130" w:type="dxa"/>
            <w:vMerge w:val="continue"/>
            <w:tcBorders>
              <w:top w:val="nil"/>
              <w:bottom w:val="nil"/>
            </w:tcBorders>
            <w:vAlign w:val="top"/>
          </w:tcPr>
          <w:p w14:paraId="4541B5C7">
            <w:pPr>
              <w:rPr>
                <w:rFonts w:ascii="Arial"/>
                <w:sz w:val="21"/>
              </w:rPr>
            </w:pPr>
          </w:p>
        </w:tc>
        <w:tc>
          <w:tcPr>
            <w:tcW w:w="2707" w:type="dxa"/>
            <w:vAlign w:val="top"/>
          </w:tcPr>
          <w:p w14:paraId="7BBF6C6F">
            <w:pPr>
              <w:pStyle w:val="6"/>
              <w:spacing w:before="33" w:line="200" w:lineRule="auto"/>
              <w:ind w:left="1130" w:right="183" w:hanging="940"/>
              <w:rPr>
                <w:sz w:val="21"/>
                <w:szCs w:val="21"/>
              </w:rPr>
            </w:pPr>
            <w:r>
              <w:rPr>
                <w:spacing w:val="1"/>
                <w:sz w:val="21"/>
                <w:szCs w:val="21"/>
              </w:rPr>
              <w:t>光伏组件的工作电压温度</w:t>
            </w:r>
            <w:r>
              <w:rPr>
                <w:sz w:val="21"/>
                <w:szCs w:val="21"/>
              </w:rPr>
              <w:t xml:space="preserve"> </w:t>
            </w:r>
            <w:r>
              <w:rPr>
                <w:spacing w:val="4"/>
                <w:sz w:val="21"/>
                <w:szCs w:val="21"/>
              </w:rPr>
              <w:t>系数</w:t>
            </w:r>
          </w:p>
        </w:tc>
        <w:tc>
          <w:tcPr>
            <w:tcW w:w="2727" w:type="dxa"/>
            <w:vAlign w:val="top"/>
          </w:tcPr>
          <w:p w14:paraId="5529846F">
            <w:pPr>
              <w:pStyle w:val="6"/>
              <w:spacing w:before="160" w:line="224" w:lineRule="auto"/>
              <w:ind w:left="1143"/>
              <w:rPr>
                <w:sz w:val="21"/>
                <w:szCs w:val="21"/>
              </w:rPr>
            </w:pPr>
            <w:r>
              <w:rPr>
                <w:spacing w:val="-1"/>
                <w:sz w:val="21"/>
                <w:szCs w:val="21"/>
              </w:rPr>
              <w:t>%/℃</w:t>
            </w:r>
          </w:p>
        </w:tc>
        <w:tc>
          <w:tcPr>
            <w:tcW w:w="2707" w:type="dxa"/>
            <w:vAlign w:val="top"/>
          </w:tcPr>
          <w:p w14:paraId="281B5173">
            <w:pPr>
              <w:pStyle w:val="6"/>
              <w:spacing w:before="175" w:line="239" w:lineRule="auto"/>
              <w:ind w:left="1087"/>
              <w:rPr>
                <w:sz w:val="21"/>
                <w:szCs w:val="21"/>
              </w:rPr>
            </w:pPr>
            <w:r>
              <w:rPr>
                <w:spacing w:val="-2"/>
                <w:sz w:val="21"/>
                <w:szCs w:val="21"/>
              </w:rPr>
              <w:t>-0.29</w:t>
            </w:r>
          </w:p>
        </w:tc>
        <w:tc>
          <w:tcPr>
            <w:tcW w:w="364" w:type="dxa"/>
            <w:vMerge w:val="continue"/>
            <w:tcBorders>
              <w:top w:val="nil"/>
              <w:bottom w:val="nil"/>
            </w:tcBorders>
            <w:vAlign w:val="top"/>
          </w:tcPr>
          <w:p w14:paraId="4E22AB32">
            <w:pPr>
              <w:rPr>
                <w:rFonts w:ascii="Arial"/>
                <w:sz w:val="21"/>
              </w:rPr>
            </w:pPr>
          </w:p>
        </w:tc>
      </w:tr>
      <w:tr w14:paraId="557B6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24" w:type="dxa"/>
            <w:vMerge w:val="continue"/>
            <w:tcBorders>
              <w:top w:val="nil"/>
              <w:bottom w:val="nil"/>
            </w:tcBorders>
            <w:vAlign w:val="top"/>
          </w:tcPr>
          <w:p w14:paraId="54A1BF35">
            <w:pPr>
              <w:rPr>
                <w:rFonts w:ascii="Arial"/>
                <w:sz w:val="21"/>
              </w:rPr>
            </w:pPr>
          </w:p>
        </w:tc>
        <w:tc>
          <w:tcPr>
            <w:tcW w:w="130" w:type="dxa"/>
            <w:vMerge w:val="continue"/>
            <w:tcBorders>
              <w:top w:val="nil"/>
              <w:bottom w:val="nil"/>
            </w:tcBorders>
            <w:vAlign w:val="top"/>
          </w:tcPr>
          <w:p w14:paraId="6E993CD0">
            <w:pPr>
              <w:rPr>
                <w:rFonts w:ascii="Arial"/>
                <w:sz w:val="21"/>
              </w:rPr>
            </w:pPr>
          </w:p>
        </w:tc>
        <w:tc>
          <w:tcPr>
            <w:tcW w:w="2707" w:type="dxa"/>
            <w:vAlign w:val="top"/>
          </w:tcPr>
          <w:p w14:paraId="340B3A03">
            <w:pPr>
              <w:pStyle w:val="6"/>
              <w:spacing w:before="35" w:line="208" w:lineRule="auto"/>
              <w:ind w:left="1030" w:right="205" w:hanging="840"/>
              <w:rPr>
                <w:sz w:val="21"/>
                <w:szCs w:val="21"/>
              </w:rPr>
            </w:pPr>
            <w:r>
              <w:rPr>
                <w:spacing w:val="-1"/>
                <w:sz w:val="21"/>
                <w:szCs w:val="21"/>
              </w:rPr>
              <w:t>光伏组件工作条件下的极</w:t>
            </w:r>
            <w:r>
              <w:rPr>
                <w:sz w:val="21"/>
                <w:szCs w:val="21"/>
              </w:rPr>
              <w:t xml:space="preserve"> </w:t>
            </w:r>
            <w:r>
              <w:rPr>
                <w:spacing w:val="2"/>
                <w:sz w:val="21"/>
                <w:szCs w:val="21"/>
              </w:rPr>
              <w:t>限低温</w:t>
            </w:r>
          </w:p>
        </w:tc>
        <w:tc>
          <w:tcPr>
            <w:tcW w:w="2727" w:type="dxa"/>
            <w:vAlign w:val="top"/>
          </w:tcPr>
          <w:p w14:paraId="443EACB0">
            <w:pPr>
              <w:pStyle w:val="6"/>
              <w:spacing w:before="186" w:line="237" w:lineRule="auto"/>
              <w:ind w:left="1253"/>
              <w:rPr>
                <w:sz w:val="21"/>
                <w:szCs w:val="21"/>
              </w:rPr>
            </w:pPr>
            <w:r>
              <w:rPr>
                <w:sz w:val="21"/>
                <w:szCs w:val="21"/>
              </w:rPr>
              <w:t>℃</w:t>
            </w:r>
          </w:p>
        </w:tc>
        <w:tc>
          <w:tcPr>
            <w:tcW w:w="2707" w:type="dxa"/>
            <w:vAlign w:val="top"/>
          </w:tcPr>
          <w:p w14:paraId="1803DB3D">
            <w:pPr>
              <w:pStyle w:val="6"/>
              <w:spacing w:before="186"/>
              <w:ind w:left="1186"/>
              <w:rPr>
                <w:sz w:val="21"/>
                <w:szCs w:val="21"/>
              </w:rPr>
            </w:pPr>
            <w:r>
              <w:rPr>
                <w:spacing w:val="-2"/>
                <w:sz w:val="21"/>
                <w:szCs w:val="21"/>
              </w:rPr>
              <w:t>-40</w:t>
            </w:r>
          </w:p>
        </w:tc>
        <w:tc>
          <w:tcPr>
            <w:tcW w:w="364" w:type="dxa"/>
            <w:vMerge w:val="continue"/>
            <w:tcBorders>
              <w:top w:val="nil"/>
              <w:bottom w:val="nil"/>
            </w:tcBorders>
            <w:vAlign w:val="top"/>
          </w:tcPr>
          <w:p w14:paraId="4ACB0741">
            <w:pPr>
              <w:rPr>
                <w:rFonts w:ascii="Arial"/>
                <w:sz w:val="21"/>
              </w:rPr>
            </w:pPr>
          </w:p>
        </w:tc>
      </w:tr>
      <w:tr w14:paraId="24B31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24" w:type="dxa"/>
            <w:vMerge w:val="continue"/>
            <w:tcBorders>
              <w:top w:val="nil"/>
              <w:bottom w:val="nil"/>
            </w:tcBorders>
            <w:vAlign w:val="top"/>
          </w:tcPr>
          <w:p w14:paraId="6920C4F0">
            <w:pPr>
              <w:rPr>
                <w:rFonts w:ascii="Arial"/>
                <w:sz w:val="21"/>
              </w:rPr>
            </w:pPr>
          </w:p>
        </w:tc>
        <w:tc>
          <w:tcPr>
            <w:tcW w:w="130" w:type="dxa"/>
            <w:vMerge w:val="continue"/>
            <w:tcBorders>
              <w:top w:val="nil"/>
              <w:bottom w:val="nil"/>
            </w:tcBorders>
            <w:vAlign w:val="top"/>
          </w:tcPr>
          <w:p w14:paraId="5D3B4EDB">
            <w:pPr>
              <w:rPr>
                <w:rFonts w:ascii="Arial"/>
                <w:sz w:val="21"/>
              </w:rPr>
            </w:pPr>
          </w:p>
        </w:tc>
        <w:tc>
          <w:tcPr>
            <w:tcW w:w="2707" w:type="dxa"/>
            <w:vAlign w:val="top"/>
          </w:tcPr>
          <w:p w14:paraId="498FA399">
            <w:pPr>
              <w:pStyle w:val="6"/>
              <w:spacing w:before="24" w:line="204" w:lineRule="auto"/>
              <w:ind w:left="1030" w:right="205" w:hanging="840"/>
              <w:rPr>
                <w:sz w:val="21"/>
                <w:szCs w:val="21"/>
              </w:rPr>
            </w:pPr>
            <w:r>
              <w:rPr>
                <w:spacing w:val="-1"/>
                <w:sz w:val="21"/>
                <w:szCs w:val="21"/>
              </w:rPr>
              <w:t>光伏组件工作条件下的极</w:t>
            </w:r>
            <w:r>
              <w:rPr>
                <w:sz w:val="21"/>
                <w:szCs w:val="21"/>
              </w:rPr>
              <w:t xml:space="preserve"> </w:t>
            </w:r>
            <w:r>
              <w:rPr>
                <w:spacing w:val="2"/>
                <w:sz w:val="21"/>
                <w:szCs w:val="21"/>
              </w:rPr>
              <w:t>限高温</w:t>
            </w:r>
          </w:p>
        </w:tc>
        <w:tc>
          <w:tcPr>
            <w:tcW w:w="2727" w:type="dxa"/>
            <w:vAlign w:val="top"/>
          </w:tcPr>
          <w:p w14:paraId="492BACAD">
            <w:pPr>
              <w:pStyle w:val="6"/>
              <w:spacing w:before="177" w:line="237" w:lineRule="auto"/>
              <w:ind w:left="1253"/>
              <w:rPr>
                <w:sz w:val="21"/>
                <w:szCs w:val="21"/>
              </w:rPr>
            </w:pPr>
            <w:r>
              <w:rPr>
                <w:sz w:val="21"/>
                <w:szCs w:val="21"/>
              </w:rPr>
              <w:t>℃</w:t>
            </w:r>
          </w:p>
        </w:tc>
        <w:tc>
          <w:tcPr>
            <w:tcW w:w="2707" w:type="dxa"/>
            <w:vAlign w:val="top"/>
          </w:tcPr>
          <w:p w14:paraId="500698C5">
            <w:pPr>
              <w:pStyle w:val="6"/>
              <w:spacing w:before="177"/>
              <w:ind w:left="1246"/>
              <w:rPr>
                <w:sz w:val="21"/>
                <w:szCs w:val="21"/>
              </w:rPr>
            </w:pPr>
            <w:r>
              <w:rPr>
                <w:spacing w:val="-3"/>
                <w:sz w:val="21"/>
                <w:szCs w:val="21"/>
              </w:rPr>
              <w:t>85</w:t>
            </w:r>
          </w:p>
        </w:tc>
        <w:tc>
          <w:tcPr>
            <w:tcW w:w="364" w:type="dxa"/>
            <w:vMerge w:val="continue"/>
            <w:tcBorders>
              <w:top w:val="nil"/>
              <w:bottom w:val="nil"/>
            </w:tcBorders>
            <w:vAlign w:val="top"/>
          </w:tcPr>
          <w:p w14:paraId="68B6B241">
            <w:pPr>
              <w:rPr>
                <w:rFonts w:ascii="Arial"/>
                <w:sz w:val="21"/>
              </w:rPr>
            </w:pPr>
          </w:p>
        </w:tc>
      </w:tr>
      <w:tr w14:paraId="17F98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424" w:type="dxa"/>
            <w:vMerge w:val="continue"/>
            <w:tcBorders>
              <w:top w:val="nil"/>
              <w:bottom w:val="nil"/>
            </w:tcBorders>
            <w:vAlign w:val="top"/>
          </w:tcPr>
          <w:p w14:paraId="12BFAB57">
            <w:pPr>
              <w:rPr>
                <w:rFonts w:ascii="Arial"/>
                <w:sz w:val="21"/>
              </w:rPr>
            </w:pPr>
          </w:p>
        </w:tc>
        <w:tc>
          <w:tcPr>
            <w:tcW w:w="130" w:type="dxa"/>
            <w:vMerge w:val="continue"/>
            <w:tcBorders>
              <w:top w:val="nil"/>
              <w:bottom w:val="nil"/>
            </w:tcBorders>
            <w:vAlign w:val="top"/>
          </w:tcPr>
          <w:p w14:paraId="28C8B57D">
            <w:pPr>
              <w:rPr>
                <w:rFonts w:ascii="Arial"/>
                <w:sz w:val="21"/>
              </w:rPr>
            </w:pPr>
          </w:p>
        </w:tc>
        <w:tc>
          <w:tcPr>
            <w:tcW w:w="2707" w:type="dxa"/>
            <w:vAlign w:val="top"/>
          </w:tcPr>
          <w:p w14:paraId="40F57E72">
            <w:pPr>
              <w:pStyle w:val="6"/>
              <w:spacing w:before="27" w:line="186" w:lineRule="auto"/>
              <w:ind w:left="920"/>
              <w:rPr>
                <w:sz w:val="21"/>
                <w:szCs w:val="21"/>
              </w:rPr>
            </w:pPr>
            <w:r>
              <w:rPr>
                <w:spacing w:val="-3"/>
                <w:sz w:val="21"/>
                <w:szCs w:val="21"/>
              </w:rPr>
              <w:t>组件重量</w:t>
            </w:r>
          </w:p>
        </w:tc>
        <w:tc>
          <w:tcPr>
            <w:tcW w:w="2727" w:type="dxa"/>
            <w:vAlign w:val="top"/>
          </w:tcPr>
          <w:p w14:paraId="5BC44235">
            <w:pPr>
              <w:pStyle w:val="6"/>
              <w:spacing w:before="20" w:line="192" w:lineRule="auto"/>
              <w:ind w:left="1253"/>
              <w:rPr>
                <w:sz w:val="21"/>
                <w:szCs w:val="21"/>
              </w:rPr>
            </w:pPr>
            <w:r>
              <w:rPr>
                <w:spacing w:val="-2"/>
                <w:sz w:val="21"/>
                <w:szCs w:val="21"/>
              </w:rPr>
              <w:t>kg</w:t>
            </w:r>
          </w:p>
        </w:tc>
        <w:tc>
          <w:tcPr>
            <w:tcW w:w="2707" w:type="dxa"/>
            <w:vAlign w:val="top"/>
          </w:tcPr>
          <w:p w14:paraId="2128E697">
            <w:pPr>
              <w:pStyle w:val="6"/>
              <w:spacing w:before="49" w:line="167" w:lineRule="auto"/>
              <w:ind w:left="1246"/>
              <w:rPr>
                <w:sz w:val="21"/>
                <w:szCs w:val="21"/>
              </w:rPr>
            </w:pPr>
            <w:r>
              <w:rPr>
                <w:spacing w:val="-4"/>
                <w:sz w:val="21"/>
                <w:szCs w:val="21"/>
              </w:rPr>
              <w:t>32</w:t>
            </w:r>
          </w:p>
        </w:tc>
        <w:tc>
          <w:tcPr>
            <w:tcW w:w="364" w:type="dxa"/>
            <w:vMerge w:val="continue"/>
            <w:tcBorders>
              <w:top w:val="nil"/>
              <w:bottom w:val="nil"/>
            </w:tcBorders>
            <w:vAlign w:val="top"/>
          </w:tcPr>
          <w:p w14:paraId="771B5D0D">
            <w:pPr>
              <w:rPr>
                <w:rFonts w:ascii="Arial"/>
                <w:sz w:val="21"/>
              </w:rPr>
            </w:pPr>
          </w:p>
        </w:tc>
      </w:tr>
      <w:tr w14:paraId="251B4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424" w:type="dxa"/>
            <w:vMerge w:val="continue"/>
            <w:tcBorders>
              <w:top w:val="nil"/>
              <w:bottom w:val="nil"/>
            </w:tcBorders>
            <w:vAlign w:val="top"/>
          </w:tcPr>
          <w:p w14:paraId="30319D13">
            <w:pPr>
              <w:rPr>
                <w:rFonts w:ascii="Arial"/>
                <w:sz w:val="21"/>
              </w:rPr>
            </w:pPr>
          </w:p>
        </w:tc>
        <w:tc>
          <w:tcPr>
            <w:tcW w:w="130" w:type="dxa"/>
            <w:vMerge w:val="continue"/>
            <w:tcBorders>
              <w:top w:val="nil"/>
              <w:bottom w:val="nil"/>
            </w:tcBorders>
            <w:vAlign w:val="top"/>
          </w:tcPr>
          <w:p w14:paraId="27818B45">
            <w:pPr>
              <w:rPr>
                <w:rFonts w:ascii="Arial"/>
                <w:sz w:val="21"/>
              </w:rPr>
            </w:pPr>
          </w:p>
        </w:tc>
        <w:tc>
          <w:tcPr>
            <w:tcW w:w="2707" w:type="dxa"/>
            <w:vAlign w:val="top"/>
          </w:tcPr>
          <w:p w14:paraId="0D2B2F45">
            <w:pPr>
              <w:pStyle w:val="6"/>
              <w:spacing w:before="28" w:line="177" w:lineRule="auto"/>
              <w:ind w:left="610"/>
              <w:rPr>
                <w:sz w:val="21"/>
                <w:szCs w:val="21"/>
              </w:rPr>
            </w:pPr>
            <w:r>
              <w:rPr>
                <w:spacing w:val="1"/>
                <w:sz w:val="21"/>
                <w:szCs w:val="21"/>
              </w:rPr>
              <w:t>首年功率衰减率</w:t>
            </w:r>
          </w:p>
        </w:tc>
        <w:tc>
          <w:tcPr>
            <w:tcW w:w="2727" w:type="dxa"/>
            <w:vAlign w:val="top"/>
          </w:tcPr>
          <w:p w14:paraId="7C04874E">
            <w:pPr>
              <w:pStyle w:val="6"/>
              <w:spacing w:before="49" w:line="159" w:lineRule="auto"/>
              <w:ind w:left="1303"/>
              <w:rPr>
                <w:sz w:val="21"/>
                <w:szCs w:val="21"/>
              </w:rPr>
            </w:pPr>
            <w:r>
              <w:rPr>
                <w:sz w:val="21"/>
                <w:szCs w:val="21"/>
              </w:rPr>
              <w:t>%</w:t>
            </w:r>
          </w:p>
        </w:tc>
        <w:tc>
          <w:tcPr>
            <w:tcW w:w="2707" w:type="dxa"/>
            <w:vAlign w:val="top"/>
          </w:tcPr>
          <w:p w14:paraId="00A4CC1C">
            <w:pPr>
              <w:pStyle w:val="6"/>
              <w:spacing w:before="49" w:line="159" w:lineRule="auto"/>
              <w:ind w:left="1296"/>
              <w:rPr>
                <w:sz w:val="21"/>
                <w:szCs w:val="21"/>
              </w:rPr>
            </w:pPr>
            <w:r>
              <w:rPr>
                <w:sz w:val="21"/>
                <w:szCs w:val="21"/>
              </w:rPr>
              <w:t>1</w:t>
            </w:r>
          </w:p>
        </w:tc>
        <w:tc>
          <w:tcPr>
            <w:tcW w:w="364" w:type="dxa"/>
            <w:vMerge w:val="continue"/>
            <w:tcBorders>
              <w:top w:val="nil"/>
              <w:bottom w:val="nil"/>
            </w:tcBorders>
            <w:vAlign w:val="top"/>
          </w:tcPr>
          <w:p w14:paraId="4B09F280">
            <w:pPr>
              <w:rPr>
                <w:rFonts w:ascii="Arial"/>
                <w:sz w:val="21"/>
              </w:rPr>
            </w:pPr>
          </w:p>
        </w:tc>
      </w:tr>
      <w:tr w14:paraId="122DF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424" w:type="dxa"/>
            <w:vMerge w:val="continue"/>
            <w:tcBorders>
              <w:top w:val="nil"/>
            </w:tcBorders>
            <w:vAlign w:val="top"/>
          </w:tcPr>
          <w:p w14:paraId="43CBD48A">
            <w:pPr>
              <w:rPr>
                <w:rFonts w:ascii="Arial"/>
                <w:sz w:val="21"/>
              </w:rPr>
            </w:pPr>
          </w:p>
        </w:tc>
        <w:tc>
          <w:tcPr>
            <w:tcW w:w="130" w:type="dxa"/>
            <w:vMerge w:val="continue"/>
            <w:tcBorders>
              <w:top w:val="nil"/>
            </w:tcBorders>
            <w:vAlign w:val="top"/>
          </w:tcPr>
          <w:p w14:paraId="2E484A30">
            <w:pPr>
              <w:rPr>
                <w:rFonts w:ascii="Arial"/>
                <w:sz w:val="21"/>
              </w:rPr>
            </w:pPr>
          </w:p>
        </w:tc>
        <w:tc>
          <w:tcPr>
            <w:tcW w:w="2707" w:type="dxa"/>
            <w:vAlign w:val="top"/>
          </w:tcPr>
          <w:p w14:paraId="799EE45A">
            <w:pPr>
              <w:pStyle w:val="6"/>
              <w:spacing w:before="48" w:line="198" w:lineRule="auto"/>
              <w:ind w:left="400"/>
              <w:rPr>
                <w:sz w:val="21"/>
                <w:szCs w:val="21"/>
              </w:rPr>
            </w:pPr>
            <w:r>
              <w:rPr>
                <w:spacing w:val="1"/>
                <w:sz w:val="21"/>
                <w:szCs w:val="21"/>
              </w:rPr>
              <w:t>首年后后逐年衰减率</w:t>
            </w:r>
          </w:p>
        </w:tc>
        <w:tc>
          <w:tcPr>
            <w:tcW w:w="2727" w:type="dxa"/>
            <w:vAlign w:val="top"/>
          </w:tcPr>
          <w:p w14:paraId="1BF7F065">
            <w:pPr>
              <w:pStyle w:val="6"/>
              <w:spacing w:before="69" w:line="180" w:lineRule="auto"/>
              <w:ind w:left="1303"/>
              <w:rPr>
                <w:sz w:val="21"/>
                <w:szCs w:val="21"/>
              </w:rPr>
            </w:pPr>
            <w:r>
              <w:rPr>
                <w:sz w:val="21"/>
                <w:szCs w:val="21"/>
              </w:rPr>
              <w:t>%</w:t>
            </w:r>
          </w:p>
        </w:tc>
        <w:tc>
          <w:tcPr>
            <w:tcW w:w="2707" w:type="dxa"/>
            <w:vAlign w:val="top"/>
          </w:tcPr>
          <w:p w14:paraId="3AB03835">
            <w:pPr>
              <w:pStyle w:val="6"/>
              <w:spacing w:before="69" w:line="180" w:lineRule="auto"/>
              <w:ind w:left="1186"/>
              <w:rPr>
                <w:sz w:val="21"/>
                <w:szCs w:val="21"/>
              </w:rPr>
            </w:pPr>
            <w:r>
              <w:rPr>
                <w:spacing w:val="-3"/>
                <w:sz w:val="21"/>
                <w:szCs w:val="21"/>
              </w:rPr>
              <w:t>0.4</w:t>
            </w:r>
          </w:p>
        </w:tc>
        <w:tc>
          <w:tcPr>
            <w:tcW w:w="364" w:type="dxa"/>
            <w:vMerge w:val="continue"/>
            <w:tcBorders>
              <w:top w:val="nil"/>
            </w:tcBorders>
            <w:vAlign w:val="top"/>
          </w:tcPr>
          <w:p w14:paraId="7DF6CE1F">
            <w:pPr>
              <w:rPr>
                <w:rFonts w:ascii="Arial"/>
                <w:sz w:val="21"/>
              </w:rPr>
            </w:pPr>
          </w:p>
        </w:tc>
      </w:tr>
    </w:tbl>
    <w:p w14:paraId="3B26FBF4">
      <w:pPr>
        <w:pStyle w:val="2"/>
      </w:pPr>
    </w:p>
    <w:p w14:paraId="164E9A5A">
      <w:pPr>
        <w:sectPr>
          <w:footerReference r:id="rId41" w:type="default"/>
          <w:pgSz w:w="11910" w:h="16840"/>
          <w:pgMar w:top="1431" w:right="1425" w:bottom="1269" w:left="1405" w:header="0" w:footer="1089" w:gutter="0"/>
          <w:cols w:space="720" w:num="1"/>
        </w:sectPr>
      </w:pPr>
    </w:p>
    <w:p w14:paraId="4FBA221D">
      <w:pPr>
        <w:spacing w:line="93"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45"/>
      </w:tblGrid>
      <w:tr w14:paraId="5D28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49A2C2E0">
            <w:pPr>
              <w:rPr>
                <w:rFonts w:ascii="Arial"/>
                <w:sz w:val="21"/>
              </w:rPr>
            </w:pPr>
          </w:p>
        </w:tc>
        <w:tc>
          <w:tcPr>
            <w:tcW w:w="8645" w:type="dxa"/>
            <w:vAlign w:val="top"/>
          </w:tcPr>
          <w:p w14:paraId="68FD8A8B">
            <w:pPr>
              <w:pStyle w:val="6"/>
              <w:spacing w:before="23" w:line="219" w:lineRule="auto"/>
              <w:ind w:left="590"/>
            </w:pPr>
            <w:r>
              <w:rPr>
                <w:spacing w:val="1"/>
              </w:rPr>
              <w:t>3)光伏支架及基础</w:t>
            </w:r>
          </w:p>
          <w:p w14:paraId="266E7840">
            <w:pPr>
              <w:pStyle w:val="6"/>
              <w:spacing w:before="187" w:line="356" w:lineRule="auto"/>
              <w:ind w:left="110" w:firstLine="499"/>
            </w:pPr>
            <w:r>
              <w:t>光伏组件采用固定支架安装，光伏支架由26块</w:t>
            </w:r>
            <w:r>
              <w:rPr>
                <w:spacing w:val="-1"/>
              </w:rPr>
              <w:t>光伏组件按2(行)×13(列)的布</w:t>
            </w:r>
            <w:r>
              <w:t xml:space="preserve"> 置方式组成一个支架单元，共有支架10084个，光伏支架倾角采用22</w:t>
            </w:r>
            <w:r>
              <w:rPr>
                <w:spacing w:val="-1"/>
              </w:rPr>
              <w:t>°南向倾角，</w:t>
            </w:r>
            <w:r>
              <w:t xml:space="preserve"> 光伏组件最低端离地距离2.5m,支架东西向柱距为4.0m每个支架上安装26块光</w:t>
            </w:r>
          </w:p>
          <w:p w14:paraId="2A9D1F36">
            <w:pPr>
              <w:pStyle w:val="6"/>
              <w:spacing w:before="3" w:line="361" w:lineRule="auto"/>
              <w:ind w:left="110" w:right="63" w:firstLine="119"/>
            </w:pPr>
            <w:r>
              <w:t>伏组件构成1个组串，平面尺寸约为14982mm×4950mm。光伏支架采用单列柱支</w:t>
            </w:r>
            <w:r>
              <w:rPr>
                <w:spacing w:val="6"/>
              </w:rPr>
              <w:t xml:space="preserve">  </w:t>
            </w:r>
            <w:r>
              <w:t>架结构，主要由斜梁、横梁、前斜撑、后斜撑、钢柱、抱箍和单桩基础等关键构</w:t>
            </w:r>
            <w:r>
              <w:rPr>
                <w:spacing w:val="14"/>
              </w:rPr>
              <w:t xml:space="preserve"> </w:t>
            </w:r>
            <w:r>
              <w:rPr>
                <w:spacing w:val="1"/>
              </w:rPr>
              <w:t>件组成。单桩光伏支撑结构采用2个斜支撑支起斜梁、横梁，从而托起光伏电池</w:t>
            </w:r>
            <w:r>
              <w:rPr>
                <w:spacing w:val="7"/>
              </w:rPr>
              <w:t xml:space="preserve">  </w:t>
            </w:r>
            <w:r>
              <w:rPr>
                <w:spacing w:val="2"/>
              </w:rPr>
              <w:t>板，钢斜撑与钢柱之间连接通过抱箍实现。光伏组件与</w:t>
            </w:r>
            <w:r>
              <w:rPr>
                <w:spacing w:val="1"/>
              </w:rPr>
              <w:t>横梁用不锈钢螺栓连接，</w:t>
            </w:r>
            <w:r>
              <w:t xml:space="preserve"> </w:t>
            </w:r>
            <w:r>
              <w:rPr>
                <w:spacing w:val="2"/>
              </w:rPr>
              <w:t>每块光伏板用4个螺栓固定在横梁上。横梁与斜梁通过螺栓连接。固定支架采用</w:t>
            </w:r>
          </w:p>
          <w:p w14:paraId="35C750E2">
            <w:pPr>
              <w:pStyle w:val="6"/>
              <w:spacing w:line="360" w:lineRule="auto"/>
              <w:ind w:left="110" w:right="231" w:firstLine="119"/>
            </w:pPr>
            <w:r>
              <w:t>混凝土灌注桩基础，灌注桩采用现场浇筑的C30钢筋混凝土，桩径300mm。单支</w:t>
            </w:r>
            <w:r>
              <w:rPr>
                <w:spacing w:val="11"/>
              </w:rPr>
              <w:t xml:space="preserve"> </w:t>
            </w:r>
            <w:r>
              <w:rPr>
                <w:spacing w:val="1"/>
              </w:rPr>
              <w:t>架组件排列示意图详见图2-1。</w:t>
            </w:r>
          </w:p>
          <w:tbl>
            <w:tblPr>
              <w:tblStyle w:val="5"/>
              <w:tblW w:w="8209" w:type="dxa"/>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629"/>
              <w:gridCol w:w="649"/>
              <w:gridCol w:w="619"/>
              <w:gridCol w:w="630"/>
              <w:gridCol w:w="649"/>
              <w:gridCol w:w="629"/>
              <w:gridCol w:w="649"/>
              <w:gridCol w:w="620"/>
              <w:gridCol w:w="629"/>
              <w:gridCol w:w="629"/>
              <w:gridCol w:w="639"/>
              <w:gridCol w:w="624"/>
            </w:tblGrid>
            <w:tr w14:paraId="4A5DF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614" w:type="dxa"/>
                  <w:vAlign w:val="top"/>
                </w:tcPr>
                <w:p w14:paraId="34CFC33B">
                  <w:pPr>
                    <w:rPr>
                      <w:rFonts w:ascii="Arial"/>
                      <w:sz w:val="21"/>
                    </w:rPr>
                  </w:pPr>
                </w:p>
              </w:tc>
              <w:tc>
                <w:tcPr>
                  <w:tcW w:w="629" w:type="dxa"/>
                  <w:vAlign w:val="top"/>
                </w:tcPr>
                <w:p w14:paraId="31E9FA67">
                  <w:pPr>
                    <w:rPr>
                      <w:rFonts w:ascii="Arial"/>
                      <w:sz w:val="21"/>
                    </w:rPr>
                  </w:pPr>
                </w:p>
              </w:tc>
              <w:tc>
                <w:tcPr>
                  <w:tcW w:w="649" w:type="dxa"/>
                  <w:vAlign w:val="top"/>
                </w:tcPr>
                <w:p w14:paraId="7EDAD894">
                  <w:pPr>
                    <w:rPr>
                      <w:rFonts w:ascii="Arial"/>
                      <w:sz w:val="21"/>
                    </w:rPr>
                  </w:pPr>
                </w:p>
              </w:tc>
              <w:tc>
                <w:tcPr>
                  <w:tcW w:w="619" w:type="dxa"/>
                  <w:vAlign w:val="top"/>
                </w:tcPr>
                <w:p w14:paraId="20E90679">
                  <w:pPr>
                    <w:rPr>
                      <w:rFonts w:ascii="Arial"/>
                      <w:sz w:val="21"/>
                    </w:rPr>
                  </w:pPr>
                </w:p>
              </w:tc>
              <w:tc>
                <w:tcPr>
                  <w:tcW w:w="630" w:type="dxa"/>
                  <w:vAlign w:val="top"/>
                </w:tcPr>
                <w:p w14:paraId="1B4C4B0F">
                  <w:pPr>
                    <w:rPr>
                      <w:rFonts w:ascii="Arial"/>
                      <w:sz w:val="21"/>
                    </w:rPr>
                  </w:pPr>
                </w:p>
              </w:tc>
              <w:tc>
                <w:tcPr>
                  <w:tcW w:w="649" w:type="dxa"/>
                  <w:vAlign w:val="top"/>
                </w:tcPr>
                <w:p w14:paraId="53C1B05D">
                  <w:pPr>
                    <w:rPr>
                      <w:rFonts w:ascii="Arial"/>
                      <w:sz w:val="21"/>
                    </w:rPr>
                  </w:pPr>
                </w:p>
              </w:tc>
              <w:tc>
                <w:tcPr>
                  <w:tcW w:w="629" w:type="dxa"/>
                  <w:vAlign w:val="top"/>
                </w:tcPr>
                <w:p w14:paraId="716C748A">
                  <w:pPr>
                    <w:rPr>
                      <w:rFonts w:ascii="Arial"/>
                      <w:sz w:val="21"/>
                    </w:rPr>
                  </w:pPr>
                </w:p>
              </w:tc>
              <w:tc>
                <w:tcPr>
                  <w:tcW w:w="649" w:type="dxa"/>
                  <w:vAlign w:val="top"/>
                </w:tcPr>
                <w:p w14:paraId="760D54EE">
                  <w:pPr>
                    <w:rPr>
                      <w:rFonts w:ascii="Arial"/>
                      <w:sz w:val="21"/>
                    </w:rPr>
                  </w:pPr>
                </w:p>
              </w:tc>
              <w:tc>
                <w:tcPr>
                  <w:tcW w:w="620" w:type="dxa"/>
                  <w:vAlign w:val="top"/>
                </w:tcPr>
                <w:p w14:paraId="7F72FF90">
                  <w:pPr>
                    <w:rPr>
                      <w:rFonts w:ascii="Arial"/>
                      <w:sz w:val="21"/>
                    </w:rPr>
                  </w:pPr>
                </w:p>
              </w:tc>
              <w:tc>
                <w:tcPr>
                  <w:tcW w:w="629" w:type="dxa"/>
                  <w:vAlign w:val="top"/>
                </w:tcPr>
                <w:p w14:paraId="6E62B28E">
                  <w:pPr>
                    <w:rPr>
                      <w:rFonts w:ascii="Arial"/>
                      <w:sz w:val="21"/>
                    </w:rPr>
                  </w:pPr>
                </w:p>
              </w:tc>
              <w:tc>
                <w:tcPr>
                  <w:tcW w:w="629" w:type="dxa"/>
                  <w:vAlign w:val="top"/>
                </w:tcPr>
                <w:p w14:paraId="6803915C">
                  <w:pPr>
                    <w:rPr>
                      <w:rFonts w:ascii="Arial"/>
                      <w:sz w:val="21"/>
                    </w:rPr>
                  </w:pPr>
                </w:p>
              </w:tc>
              <w:tc>
                <w:tcPr>
                  <w:tcW w:w="639" w:type="dxa"/>
                  <w:vAlign w:val="top"/>
                </w:tcPr>
                <w:p w14:paraId="4F7106B2">
                  <w:pPr>
                    <w:rPr>
                      <w:rFonts w:ascii="Arial"/>
                      <w:sz w:val="21"/>
                    </w:rPr>
                  </w:pPr>
                </w:p>
              </w:tc>
              <w:tc>
                <w:tcPr>
                  <w:tcW w:w="624" w:type="dxa"/>
                  <w:vAlign w:val="top"/>
                </w:tcPr>
                <w:p w14:paraId="1E2A1F4D">
                  <w:pPr>
                    <w:rPr>
                      <w:rFonts w:ascii="Arial"/>
                      <w:sz w:val="21"/>
                    </w:rPr>
                  </w:pPr>
                </w:p>
              </w:tc>
            </w:tr>
            <w:tr w14:paraId="2C8E1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0" w:hRule="atLeast"/>
              </w:trPr>
              <w:tc>
                <w:tcPr>
                  <w:tcW w:w="614" w:type="dxa"/>
                  <w:vAlign w:val="top"/>
                </w:tcPr>
                <w:p w14:paraId="2A992E57">
                  <w:pPr>
                    <w:rPr>
                      <w:rFonts w:ascii="Arial"/>
                      <w:sz w:val="21"/>
                    </w:rPr>
                  </w:pPr>
                </w:p>
              </w:tc>
              <w:tc>
                <w:tcPr>
                  <w:tcW w:w="629" w:type="dxa"/>
                  <w:vAlign w:val="top"/>
                </w:tcPr>
                <w:p w14:paraId="71D1E60A">
                  <w:pPr>
                    <w:rPr>
                      <w:rFonts w:ascii="Arial"/>
                      <w:sz w:val="21"/>
                    </w:rPr>
                  </w:pPr>
                </w:p>
              </w:tc>
              <w:tc>
                <w:tcPr>
                  <w:tcW w:w="649" w:type="dxa"/>
                  <w:vAlign w:val="top"/>
                </w:tcPr>
                <w:p w14:paraId="7C1184F7">
                  <w:pPr>
                    <w:rPr>
                      <w:rFonts w:ascii="Arial"/>
                      <w:sz w:val="21"/>
                    </w:rPr>
                  </w:pPr>
                </w:p>
              </w:tc>
              <w:tc>
                <w:tcPr>
                  <w:tcW w:w="619" w:type="dxa"/>
                  <w:vAlign w:val="top"/>
                </w:tcPr>
                <w:p w14:paraId="1F260F9D">
                  <w:pPr>
                    <w:rPr>
                      <w:rFonts w:ascii="Arial"/>
                      <w:sz w:val="21"/>
                    </w:rPr>
                  </w:pPr>
                </w:p>
              </w:tc>
              <w:tc>
                <w:tcPr>
                  <w:tcW w:w="630" w:type="dxa"/>
                  <w:vAlign w:val="top"/>
                </w:tcPr>
                <w:p w14:paraId="34EF7586">
                  <w:pPr>
                    <w:rPr>
                      <w:rFonts w:ascii="Arial"/>
                      <w:sz w:val="21"/>
                    </w:rPr>
                  </w:pPr>
                </w:p>
              </w:tc>
              <w:tc>
                <w:tcPr>
                  <w:tcW w:w="649" w:type="dxa"/>
                  <w:vAlign w:val="top"/>
                </w:tcPr>
                <w:p w14:paraId="4562A971">
                  <w:pPr>
                    <w:rPr>
                      <w:rFonts w:ascii="Arial"/>
                      <w:sz w:val="21"/>
                    </w:rPr>
                  </w:pPr>
                </w:p>
              </w:tc>
              <w:tc>
                <w:tcPr>
                  <w:tcW w:w="629" w:type="dxa"/>
                  <w:vAlign w:val="top"/>
                </w:tcPr>
                <w:p w14:paraId="0E24665F">
                  <w:pPr>
                    <w:rPr>
                      <w:rFonts w:ascii="Arial"/>
                      <w:sz w:val="21"/>
                    </w:rPr>
                  </w:pPr>
                </w:p>
              </w:tc>
              <w:tc>
                <w:tcPr>
                  <w:tcW w:w="649" w:type="dxa"/>
                  <w:vAlign w:val="top"/>
                </w:tcPr>
                <w:p w14:paraId="6F2F5EB6">
                  <w:pPr>
                    <w:rPr>
                      <w:rFonts w:ascii="Arial"/>
                      <w:sz w:val="21"/>
                    </w:rPr>
                  </w:pPr>
                </w:p>
              </w:tc>
              <w:tc>
                <w:tcPr>
                  <w:tcW w:w="620" w:type="dxa"/>
                  <w:vAlign w:val="top"/>
                </w:tcPr>
                <w:p w14:paraId="074E7E1D">
                  <w:pPr>
                    <w:rPr>
                      <w:rFonts w:ascii="Arial"/>
                      <w:sz w:val="21"/>
                    </w:rPr>
                  </w:pPr>
                </w:p>
              </w:tc>
              <w:tc>
                <w:tcPr>
                  <w:tcW w:w="629" w:type="dxa"/>
                  <w:vAlign w:val="top"/>
                </w:tcPr>
                <w:p w14:paraId="31145F20">
                  <w:pPr>
                    <w:rPr>
                      <w:rFonts w:ascii="Arial"/>
                      <w:sz w:val="21"/>
                    </w:rPr>
                  </w:pPr>
                </w:p>
              </w:tc>
              <w:tc>
                <w:tcPr>
                  <w:tcW w:w="629" w:type="dxa"/>
                  <w:vAlign w:val="top"/>
                </w:tcPr>
                <w:p w14:paraId="0115B21E">
                  <w:pPr>
                    <w:rPr>
                      <w:rFonts w:ascii="Arial"/>
                      <w:sz w:val="21"/>
                    </w:rPr>
                  </w:pPr>
                </w:p>
              </w:tc>
              <w:tc>
                <w:tcPr>
                  <w:tcW w:w="639" w:type="dxa"/>
                  <w:vAlign w:val="top"/>
                </w:tcPr>
                <w:p w14:paraId="5F7EE409">
                  <w:pPr>
                    <w:rPr>
                      <w:rFonts w:ascii="Arial"/>
                      <w:sz w:val="21"/>
                    </w:rPr>
                  </w:pPr>
                </w:p>
              </w:tc>
              <w:tc>
                <w:tcPr>
                  <w:tcW w:w="624" w:type="dxa"/>
                  <w:vAlign w:val="top"/>
                </w:tcPr>
                <w:p w14:paraId="0500F0ED">
                  <w:pPr>
                    <w:rPr>
                      <w:rFonts w:ascii="Arial"/>
                      <w:sz w:val="21"/>
                    </w:rPr>
                  </w:pPr>
                </w:p>
              </w:tc>
            </w:tr>
          </w:tbl>
          <w:p w14:paraId="04222809">
            <w:pPr>
              <w:pStyle w:val="6"/>
              <w:spacing w:before="68"/>
              <w:ind w:left="4330"/>
            </w:pPr>
            <w:r>
              <w:rPr>
                <w:spacing w:val="-3"/>
              </w:rPr>
              <w:t>20mm</w:t>
            </w:r>
          </w:p>
          <w:p w14:paraId="7694927E">
            <w:pPr>
              <w:pStyle w:val="6"/>
              <w:spacing w:before="51" w:line="208" w:lineRule="auto"/>
              <w:ind w:left="2814"/>
            </w:pPr>
            <w:r>
              <w:rPr>
                <w:b/>
                <w:bCs/>
                <w:spacing w:val="-2"/>
              </w:rPr>
              <w:t>图2-1单支架组件排列示意图</w:t>
            </w:r>
          </w:p>
          <w:p w14:paraId="6A6250E6">
            <w:pPr>
              <w:pStyle w:val="6"/>
              <w:spacing w:line="220" w:lineRule="auto"/>
              <w:ind w:left="724"/>
            </w:pPr>
            <w:r>
              <w:rPr>
                <w:b/>
                <w:bCs/>
                <w:spacing w:val="-3"/>
              </w:rPr>
              <w:t>(2)箱逆变单元</w:t>
            </w:r>
          </w:p>
          <w:p w14:paraId="4D6A4442">
            <w:pPr>
              <w:pStyle w:val="6"/>
              <w:spacing w:before="195" w:line="219" w:lineRule="auto"/>
              <w:ind w:left="650"/>
            </w:pPr>
            <w:r>
              <w:t>选用320kW组串式逆变器，每台320kW组串式逆变器接入25路光伏组</w:t>
            </w:r>
            <w:r>
              <w:rPr>
                <w:spacing w:val="-1"/>
              </w:rPr>
              <w:t>串。</w:t>
            </w:r>
          </w:p>
          <w:p w14:paraId="53D68903">
            <w:pPr>
              <w:pStyle w:val="6"/>
              <w:spacing w:before="193" w:line="216" w:lineRule="auto"/>
              <w:ind w:left="141"/>
            </w:pPr>
            <w:r>
              <w:t>共设置51台箱式变压器，容量≥3.2MW选择华氏箱变，容量&lt;3.</w:t>
            </w:r>
            <w:r>
              <w:rPr>
                <w:spacing w:val="-1"/>
              </w:rPr>
              <w:t>2MW,选择美式</w:t>
            </w:r>
          </w:p>
          <w:p w14:paraId="66F095E6">
            <w:pPr>
              <w:pStyle w:val="6"/>
              <w:spacing w:before="202" w:line="377" w:lineRule="auto"/>
              <w:ind w:left="110" w:right="112"/>
            </w:pPr>
            <w:r>
              <w:rPr>
                <w:spacing w:val="3"/>
              </w:rPr>
              <w:t>箱变。共设置22台美式箱变，29台华氏箱变。每个箱变基础占地35.25m²。箱式</w:t>
            </w:r>
            <w:r>
              <w:rPr>
                <w:spacing w:val="8"/>
              </w:rPr>
              <w:t xml:space="preserve"> </w:t>
            </w:r>
            <w:r>
              <w:t>变压器布置在场内道路附近。各光伏方阵逆变器并联接入箱式变压器的低压侧母</w:t>
            </w:r>
            <w:r>
              <w:rPr>
                <w:spacing w:val="10"/>
              </w:rPr>
              <w:t xml:space="preserve"> </w:t>
            </w:r>
            <w:r>
              <w:rPr>
                <w:spacing w:val="14"/>
              </w:rPr>
              <w:t>线。</w:t>
            </w:r>
          </w:p>
          <w:p w14:paraId="73C030CB">
            <w:pPr>
              <w:pStyle w:val="6"/>
              <w:spacing w:line="350" w:lineRule="auto"/>
              <w:ind w:left="110" w:right="4" w:firstLine="489"/>
            </w:pPr>
            <w:r>
              <w:t>箱变布置在场内道路附近，箱变基础为框架结构，采用钻孔灌注桩基础，基</w:t>
            </w:r>
            <w:r>
              <w:rPr>
                <w:spacing w:val="9"/>
              </w:rPr>
              <w:t xml:space="preserve"> </w:t>
            </w:r>
            <w:r>
              <w:t>础埋深约1.8m,基础在朝向设备开门一侧设置踏步及操作平台，侧壁预留电缆</w:t>
            </w:r>
            <w:r>
              <w:rPr>
                <w:spacing w:val="-1"/>
              </w:rPr>
              <w:t>孔。</w:t>
            </w:r>
            <w:r>
              <w:t xml:space="preserve"> </w:t>
            </w:r>
            <w:r>
              <w:rPr>
                <w:spacing w:val="4"/>
              </w:rPr>
              <w:t>为满足环保要求，在箱变基础靠油箱一侧设集油坑，每个集油坑容积应</w:t>
            </w:r>
            <w:r>
              <w:rPr>
                <w:spacing w:val="3"/>
              </w:rPr>
              <w:t>不小于</w:t>
            </w:r>
            <w:r>
              <w:t xml:space="preserve">   </w:t>
            </w:r>
            <w:r>
              <w:rPr>
                <w:spacing w:val="5"/>
              </w:rPr>
              <w:t>1m³,应满足事故状态下箱变100%排油量。组串式逆变器不单独做基础，逆变器</w:t>
            </w:r>
            <w:r>
              <w:t xml:space="preserve">  托架采用连接件及抱箍固定于光伏支架立柱上。逆变器主要技术参数如下表2-</w:t>
            </w:r>
            <w:r>
              <w:rPr>
                <w:spacing w:val="-1"/>
              </w:rPr>
              <w:t>3。</w:t>
            </w:r>
          </w:p>
        </w:tc>
      </w:tr>
    </w:tbl>
    <w:p w14:paraId="5C8C7A5A">
      <w:pPr>
        <w:pStyle w:val="2"/>
      </w:pPr>
    </w:p>
    <w:p w14:paraId="36657DEA">
      <w:pPr>
        <w:sectPr>
          <w:footerReference r:id="rId42" w:type="default"/>
          <w:pgSz w:w="11910" w:h="16840"/>
          <w:pgMar w:top="1431" w:right="1435" w:bottom="1262" w:left="1405" w:header="0" w:footer="1091" w:gutter="0"/>
          <w:cols w:space="720" w:num="1"/>
        </w:sectPr>
      </w:pPr>
    </w:p>
    <w:p w14:paraId="537A9829">
      <w:pPr>
        <w:spacing w:line="68" w:lineRule="exact"/>
      </w:pPr>
    </w:p>
    <w:tbl>
      <w:tblPr>
        <w:tblStyle w:val="5"/>
        <w:tblW w:w="9109" w:type="dxa"/>
        <w:tblInd w:w="5" w:type="dxa"/>
        <w:tblBorders>
          <w:top w:val="none" w:color="auto" w:sz="0" w:space="0"/>
          <w:left w:val="single" w:color="000000" w:sz="4" w:space="0"/>
          <w:bottom w:val="single" w:color="000000" w:sz="2"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109"/>
      </w:tblGrid>
      <w:tr w14:paraId="1C15D86E">
        <w:tblPrEx>
          <w:tblBorders>
            <w:top w:val="none" w:color="auto" w:sz="0" w:space="0"/>
            <w:left w:val="single" w:color="000000" w:sz="4" w:space="0"/>
            <w:bottom w:val="single" w:color="000000" w:sz="2"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3375" w:hRule="atLeast"/>
        </w:trPr>
        <w:tc>
          <w:tcPr>
            <w:tcW w:w="9109" w:type="dxa"/>
            <w:vAlign w:val="top"/>
          </w:tcPr>
          <w:p w14:paraId="0D42DD64">
            <w:pPr>
              <w:pStyle w:val="6"/>
              <w:spacing w:before="96" w:line="191" w:lineRule="auto"/>
              <w:ind w:left="3283"/>
              <w:rPr>
                <w:sz w:val="26"/>
                <w:szCs w:val="26"/>
              </w:rPr>
            </w:pPr>
            <w:r>
              <w:rPr>
                <w:b/>
                <w:bCs/>
                <w:spacing w:val="-4"/>
                <w:sz w:val="26"/>
                <w:szCs w:val="26"/>
              </w:rPr>
              <w:t>表2-3逆变器主要技术参数</w:t>
            </w:r>
          </w:p>
          <w:tbl>
            <w:tblPr>
              <w:tblStyle w:val="5"/>
              <w:tblW w:w="8389" w:type="dxa"/>
              <w:tblInd w:w="5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91"/>
              <w:gridCol w:w="2797"/>
              <w:gridCol w:w="2801"/>
            </w:tblGrid>
            <w:tr w14:paraId="16DA7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5588" w:type="dxa"/>
                  <w:gridSpan w:val="2"/>
                  <w:vAlign w:val="top"/>
                </w:tcPr>
                <w:p w14:paraId="28E5CB15">
                  <w:pPr>
                    <w:pStyle w:val="6"/>
                    <w:spacing w:before="34" w:line="202" w:lineRule="auto"/>
                    <w:ind w:left="2564"/>
                    <w:rPr>
                      <w:sz w:val="21"/>
                      <w:szCs w:val="21"/>
                    </w:rPr>
                  </w:pPr>
                  <w:r>
                    <w:rPr>
                      <w:spacing w:val="-6"/>
                      <w:sz w:val="21"/>
                      <w:szCs w:val="21"/>
                    </w:rPr>
                    <w:t>项 目</w:t>
                  </w:r>
                </w:p>
              </w:tc>
              <w:tc>
                <w:tcPr>
                  <w:tcW w:w="2801" w:type="dxa"/>
                  <w:vAlign w:val="top"/>
                </w:tcPr>
                <w:p w14:paraId="4989D9A1">
                  <w:pPr>
                    <w:pStyle w:val="6"/>
                    <w:spacing w:before="35" w:line="201" w:lineRule="auto"/>
                    <w:ind w:left="677"/>
                    <w:rPr>
                      <w:sz w:val="21"/>
                      <w:szCs w:val="21"/>
                    </w:rPr>
                  </w:pPr>
                  <w:r>
                    <w:rPr>
                      <w:spacing w:val="16"/>
                      <w:w w:val="114"/>
                      <w:sz w:val="21"/>
                      <w:szCs w:val="21"/>
                    </w:rPr>
                    <w:t>320kW逆变器</w:t>
                  </w:r>
                </w:p>
              </w:tc>
            </w:tr>
            <w:tr w14:paraId="7CC25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91" w:type="dxa"/>
                  <w:vMerge w:val="restart"/>
                  <w:tcBorders>
                    <w:bottom w:val="nil"/>
                  </w:tcBorders>
                  <w:vAlign w:val="top"/>
                </w:tcPr>
                <w:p w14:paraId="005ED78C">
                  <w:pPr>
                    <w:spacing w:line="323" w:lineRule="auto"/>
                    <w:rPr>
                      <w:rFonts w:ascii="Arial"/>
                      <w:sz w:val="21"/>
                    </w:rPr>
                  </w:pPr>
                </w:p>
                <w:p w14:paraId="3DEC0019">
                  <w:pPr>
                    <w:spacing w:line="324" w:lineRule="auto"/>
                    <w:rPr>
                      <w:rFonts w:ascii="Arial"/>
                      <w:sz w:val="21"/>
                    </w:rPr>
                  </w:pPr>
                </w:p>
                <w:p w14:paraId="5396F74A">
                  <w:pPr>
                    <w:pStyle w:val="6"/>
                    <w:spacing w:before="68" w:line="219" w:lineRule="auto"/>
                    <w:ind w:left="964"/>
                    <w:rPr>
                      <w:sz w:val="21"/>
                      <w:szCs w:val="21"/>
                    </w:rPr>
                  </w:pPr>
                  <w:r>
                    <w:rPr>
                      <w:spacing w:val="-2"/>
                      <w:sz w:val="21"/>
                      <w:szCs w:val="21"/>
                    </w:rPr>
                    <w:t>输入参数</w:t>
                  </w:r>
                </w:p>
              </w:tc>
              <w:tc>
                <w:tcPr>
                  <w:tcW w:w="2797" w:type="dxa"/>
                  <w:vAlign w:val="top"/>
                </w:tcPr>
                <w:p w14:paraId="5FC7585A">
                  <w:pPr>
                    <w:pStyle w:val="6"/>
                    <w:spacing w:before="38" w:line="212" w:lineRule="auto"/>
                    <w:ind w:left="494"/>
                    <w:rPr>
                      <w:sz w:val="21"/>
                      <w:szCs w:val="21"/>
                    </w:rPr>
                  </w:pPr>
                  <w:r>
                    <w:rPr>
                      <w:spacing w:val="6"/>
                      <w:sz w:val="21"/>
                      <w:szCs w:val="21"/>
                    </w:rPr>
                    <w:t>最大输入电压(</w:t>
                  </w:r>
                  <w:r>
                    <w:rPr>
                      <w:sz w:val="21"/>
                      <w:szCs w:val="21"/>
                    </w:rPr>
                    <w:t>Vde</w:t>
                  </w:r>
                  <w:r>
                    <w:rPr>
                      <w:spacing w:val="6"/>
                      <w:sz w:val="21"/>
                      <w:szCs w:val="21"/>
                    </w:rPr>
                    <w:t>)</w:t>
                  </w:r>
                </w:p>
              </w:tc>
              <w:tc>
                <w:tcPr>
                  <w:tcW w:w="2801" w:type="dxa"/>
                  <w:vAlign w:val="top"/>
                </w:tcPr>
                <w:p w14:paraId="67F9C8E3">
                  <w:pPr>
                    <w:pStyle w:val="6"/>
                    <w:spacing w:before="60" w:line="193" w:lineRule="auto"/>
                    <w:ind w:left="1187"/>
                    <w:rPr>
                      <w:sz w:val="21"/>
                      <w:szCs w:val="21"/>
                    </w:rPr>
                  </w:pPr>
                  <w:r>
                    <w:rPr>
                      <w:spacing w:val="-5"/>
                      <w:sz w:val="21"/>
                      <w:szCs w:val="21"/>
                    </w:rPr>
                    <w:t>1500</w:t>
                  </w:r>
                </w:p>
              </w:tc>
            </w:tr>
            <w:tr w14:paraId="78DBA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791" w:type="dxa"/>
                  <w:vMerge w:val="continue"/>
                  <w:tcBorders>
                    <w:top w:val="nil"/>
                    <w:bottom w:val="nil"/>
                  </w:tcBorders>
                  <w:vAlign w:val="top"/>
                </w:tcPr>
                <w:p w14:paraId="2720488B">
                  <w:pPr>
                    <w:rPr>
                      <w:rFonts w:ascii="Arial"/>
                      <w:sz w:val="21"/>
                    </w:rPr>
                  </w:pPr>
                </w:p>
              </w:tc>
              <w:tc>
                <w:tcPr>
                  <w:tcW w:w="2797" w:type="dxa"/>
                  <w:vAlign w:val="top"/>
                </w:tcPr>
                <w:p w14:paraId="4EC09199">
                  <w:pPr>
                    <w:pStyle w:val="6"/>
                    <w:spacing w:before="19" w:line="194" w:lineRule="auto"/>
                    <w:ind w:left="653"/>
                    <w:rPr>
                      <w:sz w:val="21"/>
                      <w:szCs w:val="21"/>
                    </w:rPr>
                  </w:pPr>
                  <w:r>
                    <w:rPr>
                      <w:spacing w:val="-2"/>
                      <w:sz w:val="21"/>
                      <w:szCs w:val="21"/>
                    </w:rPr>
                    <w:t>直流输入支路数</w:t>
                  </w:r>
                </w:p>
              </w:tc>
              <w:tc>
                <w:tcPr>
                  <w:tcW w:w="2801" w:type="dxa"/>
                  <w:vAlign w:val="top"/>
                </w:tcPr>
                <w:p w14:paraId="0B2A12DD">
                  <w:pPr>
                    <w:pStyle w:val="6"/>
                    <w:spacing w:before="40" w:line="175" w:lineRule="auto"/>
                    <w:ind w:left="1286"/>
                    <w:rPr>
                      <w:sz w:val="21"/>
                      <w:szCs w:val="21"/>
                    </w:rPr>
                  </w:pPr>
                  <w:r>
                    <w:rPr>
                      <w:spacing w:val="-4"/>
                      <w:sz w:val="21"/>
                      <w:szCs w:val="21"/>
                    </w:rPr>
                    <w:t>32</w:t>
                  </w:r>
                </w:p>
              </w:tc>
            </w:tr>
            <w:tr w14:paraId="167F5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91" w:type="dxa"/>
                  <w:vMerge w:val="continue"/>
                  <w:tcBorders>
                    <w:top w:val="nil"/>
                    <w:bottom w:val="nil"/>
                  </w:tcBorders>
                  <w:vAlign w:val="top"/>
                </w:tcPr>
                <w:p w14:paraId="19E8D543">
                  <w:pPr>
                    <w:rPr>
                      <w:rFonts w:ascii="Arial"/>
                      <w:sz w:val="21"/>
                    </w:rPr>
                  </w:pPr>
                </w:p>
              </w:tc>
              <w:tc>
                <w:tcPr>
                  <w:tcW w:w="2797" w:type="dxa"/>
                  <w:vAlign w:val="top"/>
                </w:tcPr>
                <w:p w14:paraId="6E43E0A2">
                  <w:pPr>
                    <w:pStyle w:val="6"/>
                    <w:spacing w:before="38" w:line="211" w:lineRule="auto"/>
                    <w:ind w:left="883"/>
                    <w:rPr>
                      <w:sz w:val="21"/>
                      <w:szCs w:val="21"/>
                    </w:rPr>
                  </w:pPr>
                  <w:r>
                    <w:rPr>
                      <w:spacing w:val="24"/>
                      <w:sz w:val="21"/>
                      <w:szCs w:val="21"/>
                    </w:rPr>
                    <w:t>MP</w:t>
                  </w:r>
                  <w:r>
                    <w:rPr>
                      <w:spacing w:val="-61"/>
                      <w:sz w:val="21"/>
                      <w:szCs w:val="21"/>
                    </w:rPr>
                    <w:t xml:space="preserve"> </w:t>
                  </w:r>
                  <w:r>
                    <w:rPr>
                      <w:spacing w:val="24"/>
                      <w:sz w:val="21"/>
                      <w:szCs w:val="21"/>
                    </w:rPr>
                    <w:t>PT路数</w:t>
                  </w:r>
                </w:p>
              </w:tc>
              <w:tc>
                <w:tcPr>
                  <w:tcW w:w="2801" w:type="dxa"/>
                  <w:vAlign w:val="top"/>
                </w:tcPr>
                <w:p w14:paraId="342AFE64">
                  <w:pPr>
                    <w:pStyle w:val="6"/>
                    <w:spacing w:before="60" w:line="192" w:lineRule="auto"/>
                    <w:ind w:left="1286"/>
                    <w:rPr>
                      <w:sz w:val="21"/>
                      <w:szCs w:val="21"/>
                    </w:rPr>
                  </w:pPr>
                  <w:r>
                    <w:rPr>
                      <w:spacing w:val="-6"/>
                      <w:sz w:val="21"/>
                      <w:szCs w:val="21"/>
                    </w:rPr>
                    <w:t>16</w:t>
                  </w:r>
                </w:p>
              </w:tc>
            </w:tr>
            <w:tr w14:paraId="5761F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791" w:type="dxa"/>
                  <w:vMerge w:val="continue"/>
                  <w:tcBorders>
                    <w:top w:val="nil"/>
                    <w:bottom w:val="nil"/>
                  </w:tcBorders>
                  <w:vAlign w:val="top"/>
                </w:tcPr>
                <w:p w14:paraId="19D98262">
                  <w:pPr>
                    <w:rPr>
                      <w:rFonts w:ascii="Arial"/>
                      <w:sz w:val="21"/>
                    </w:rPr>
                  </w:pPr>
                </w:p>
              </w:tc>
              <w:tc>
                <w:tcPr>
                  <w:tcW w:w="2797" w:type="dxa"/>
                  <w:vAlign w:val="top"/>
                </w:tcPr>
                <w:p w14:paraId="46A19952">
                  <w:pPr>
                    <w:pStyle w:val="6"/>
                    <w:spacing w:before="30" w:line="192" w:lineRule="auto"/>
                    <w:ind w:left="494"/>
                    <w:rPr>
                      <w:sz w:val="21"/>
                      <w:szCs w:val="21"/>
                    </w:rPr>
                  </w:pPr>
                  <w:r>
                    <w:rPr>
                      <w:spacing w:val="6"/>
                      <w:sz w:val="21"/>
                      <w:szCs w:val="21"/>
                    </w:rPr>
                    <w:t>允许电压范围(</w:t>
                  </w:r>
                  <w:r>
                    <w:rPr>
                      <w:sz w:val="21"/>
                      <w:szCs w:val="21"/>
                    </w:rPr>
                    <w:t>Vac</w:t>
                  </w:r>
                  <w:r>
                    <w:rPr>
                      <w:spacing w:val="6"/>
                      <w:sz w:val="21"/>
                      <w:szCs w:val="21"/>
                    </w:rPr>
                    <w:t>)</w:t>
                  </w:r>
                </w:p>
              </w:tc>
              <w:tc>
                <w:tcPr>
                  <w:tcW w:w="2801" w:type="dxa"/>
                  <w:vAlign w:val="top"/>
                </w:tcPr>
                <w:p w14:paraId="082FC8C8">
                  <w:pPr>
                    <w:pStyle w:val="6"/>
                    <w:spacing w:before="51" w:line="174" w:lineRule="auto"/>
                    <w:ind w:left="917"/>
                    <w:rPr>
                      <w:sz w:val="21"/>
                      <w:szCs w:val="21"/>
                    </w:rPr>
                  </w:pPr>
                  <w:r>
                    <w:rPr>
                      <w:spacing w:val="-2"/>
                      <w:sz w:val="21"/>
                      <w:szCs w:val="21"/>
                    </w:rPr>
                    <w:t>500～1500</w:t>
                  </w:r>
                </w:p>
              </w:tc>
            </w:tr>
            <w:tr w14:paraId="69E3E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791" w:type="dxa"/>
                  <w:vMerge w:val="continue"/>
                  <w:tcBorders>
                    <w:top w:val="nil"/>
                  </w:tcBorders>
                  <w:vAlign w:val="top"/>
                </w:tcPr>
                <w:p w14:paraId="4035B468">
                  <w:pPr>
                    <w:rPr>
                      <w:rFonts w:ascii="Arial"/>
                      <w:sz w:val="21"/>
                    </w:rPr>
                  </w:pPr>
                </w:p>
              </w:tc>
              <w:tc>
                <w:tcPr>
                  <w:tcW w:w="2797" w:type="dxa"/>
                  <w:vAlign w:val="top"/>
                </w:tcPr>
                <w:p w14:paraId="035D8F86">
                  <w:pPr>
                    <w:pStyle w:val="6"/>
                    <w:spacing w:before="61" w:line="196" w:lineRule="auto"/>
                    <w:ind w:left="343"/>
                    <w:rPr>
                      <w:sz w:val="21"/>
                      <w:szCs w:val="21"/>
                    </w:rPr>
                  </w:pPr>
                  <w:r>
                    <w:rPr>
                      <w:spacing w:val="-1"/>
                      <w:sz w:val="21"/>
                      <w:szCs w:val="21"/>
                    </w:rPr>
                    <w:t>每路MPPT最大输入电流</w:t>
                  </w:r>
                </w:p>
                <w:p w14:paraId="163DE100">
                  <w:pPr>
                    <w:pStyle w:val="6"/>
                    <w:spacing w:line="197" w:lineRule="auto"/>
                    <w:ind w:left="1123"/>
                    <w:rPr>
                      <w:sz w:val="21"/>
                      <w:szCs w:val="21"/>
                    </w:rPr>
                  </w:pPr>
                  <w:r>
                    <w:rPr>
                      <w:spacing w:val="-8"/>
                      <w:sz w:val="21"/>
                      <w:szCs w:val="21"/>
                    </w:rPr>
                    <w:t>(Adc)</w:t>
                  </w:r>
                </w:p>
              </w:tc>
              <w:tc>
                <w:tcPr>
                  <w:tcW w:w="2801" w:type="dxa"/>
                  <w:vAlign w:val="top"/>
                </w:tcPr>
                <w:p w14:paraId="243AACCA">
                  <w:pPr>
                    <w:pStyle w:val="6"/>
                    <w:spacing w:before="182"/>
                    <w:ind w:left="1286"/>
                    <w:rPr>
                      <w:sz w:val="21"/>
                      <w:szCs w:val="21"/>
                    </w:rPr>
                  </w:pPr>
                  <w:r>
                    <w:rPr>
                      <w:spacing w:val="-4"/>
                      <w:sz w:val="21"/>
                      <w:szCs w:val="21"/>
                    </w:rPr>
                    <w:t>30</w:t>
                  </w:r>
                </w:p>
              </w:tc>
            </w:tr>
            <w:tr w14:paraId="745C4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791" w:type="dxa"/>
                  <w:vMerge w:val="restart"/>
                  <w:tcBorders>
                    <w:bottom w:val="nil"/>
                  </w:tcBorders>
                  <w:vAlign w:val="top"/>
                </w:tcPr>
                <w:p w14:paraId="6F3AB826">
                  <w:pPr>
                    <w:spacing w:line="269" w:lineRule="auto"/>
                    <w:rPr>
                      <w:rFonts w:ascii="Arial"/>
                      <w:sz w:val="21"/>
                    </w:rPr>
                  </w:pPr>
                </w:p>
                <w:p w14:paraId="467B7AB2">
                  <w:pPr>
                    <w:spacing w:line="270" w:lineRule="auto"/>
                    <w:rPr>
                      <w:rFonts w:ascii="Arial"/>
                      <w:sz w:val="21"/>
                    </w:rPr>
                  </w:pPr>
                </w:p>
                <w:p w14:paraId="5929141F">
                  <w:pPr>
                    <w:spacing w:line="270" w:lineRule="auto"/>
                    <w:rPr>
                      <w:rFonts w:ascii="Arial"/>
                      <w:sz w:val="21"/>
                    </w:rPr>
                  </w:pPr>
                </w:p>
                <w:p w14:paraId="30BB9259">
                  <w:pPr>
                    <w:pStyle w:val="6"/>
                    <w:spacing w:before="68" w:line="219" w:lineRule="auto"/>
                    <w:ind w:left="964"/>
                    <w:rPr>
                      <w:sz w:val="21"/>
                      <w:szCs w:val="21"/>
                    </w:rPr>
                  </w:pPr>
                  <w:r>
                    <w:rPr>
                      <w:spacing w:val="-2"/>
                      <w:sz w:val="21"/>
                      <w:szCs w:val="21"/>
                    </w:rPr>
                    <w:t>输出参数</w:t>
                  </w:r>
                </w:p>
              </w:tc>
              <w:tc>
                <w:tcPr>
                  <w:tcW w:w="2797" w:type="dxa"/>
                  <w:vAlign w:val="top"/>
                </w:tcPr>
                <w:p w14:paraId="1568BF20">
                  <w:pPr>
                    <w:pStyle w:val="6"/>
                    <w:spacing w:before="32" w:line="199" w:lineRule="auto"/>
                    <w:ind w:left="343"/>
                    <w:rPr>
                      <w:sz w:val="21"/>
                      <w:szCs w:val="21"/>
                    </w:rPr>
                  </w:pPr>
                  <w:r>
                    <w:rPr>
                      <w:spacing w:val="4"/>
                      <w:sz w:val="21"/>
                      <w:szCs w:val="21"/>
                    </w:rPr>
                    <w:t>额定交流输出功率(</w:t>
                  </w:r>
                  <w:r>
                    <w:rPr>
                      <w:sz w:val="21"/>
                      <w:szCs w:val="21"/>
                    </w:rPr>
                    <w:t>kW</w:t>
                  </w:r>
                  <w:r>
                    <w:rPr>
                      <w:spacing w:val="4"/>
                      <w:sz w:val="21"/>
                      <w:szCs w:val="21"/>
                    </w:rPr>
                    <w:t>)</w:t>
                  </w:r>
                </w:p>
              </w:tc>
              <w:tc>
                <w:tcPr>
                  <w:tcW w:w="2801" w:type="dxa"/>
                  <w:vAlign w:val="top"/>
                </w:tcPr>
                <w:p w14:paraId="6D2A99CD">
                  <w:pPr>
                    <w:pStyle w:val="6"/>
                    <w:spacing w:before="53" w:line="181" w:lineRule="auto"/>
                    <w:ind w:left="1237"/>
                    <w:rPr>
                      <w:sz w:val="21"/>
                      <w:szCs w:val="21"/>
                    </w:rPr>
                  </w:pPr>
                  <w:r>
                    <w:rPr>
                      <w:spacing w:val="-3"/>
                      <w:sz w:val="21"/>
                      <w:szCs w:val="21"/>
                    </w:rPr>
                    <w:t>320</w:t>
                  </w:r>
                </w:p>
              </w:tc>
            </w:tr>
            <w:tr w14:paraId="1DCA5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791" w:type="dxa"/>
                  <w:vMerge w:val="continue"/>
                  <w:tcBorders>
                    <w:top w:val="nil"/>
                    <w:bottom w:val="nil"/>
                  </w:tcBorders>
                  <w:vAlign w:val="top"/>
                </w:tcPr>
                <w:p w14:paraId="76A2D02F">
                  <w:pPr>
                    <w:rPr>
                      <w:rFonts w:ascii="Arial"/>
                      <w:sz w:val="21"/>
                    </w:rPr>
                  </w:pPr>
                </w:p>
              </w:tc>
              <w:tc>
                <w:tcPr>
                  <w:tcW w:w="2797" w:type="dxa"/>
                  <w:vAlign w:val="top"/>
                </w:tcPr>
                <w:p w14:paraId="6CE121D8">
                  <w:pPr>
                    <w:pStyle w:val="6"/>
                    <w:spacing w:before="33" w:line="199" w:lineRule="auto"/>
                    <w:ind w:left="494"/>
                    <w:rPr>
                      <w:sz w:val="21"/>
                      <w:szCs w:val="21"/>
                    </w:rPr>
                  </w:pPr>
                  <w:r>
                    <w:rPr>
                      <w:spacing w:val="6"/>
                      <w:sz w:val="21"/>
                      <w:szCs w:val="21"/>
                    </w:rPr>
                    <w:t>最大输出功率(</w:t>
                  </w:r>
                  <w:r>
                    <w:rPr>
                      <w:sz w:val="21"/>
                      <w:szCs w:val="21"/>
                    </w:rPr>
                    <w:t>kVA</w:t>
                  </w:r>
                  <w:r>
                    <w:rPr>
                      <w:spacing w:val="6"/>
                      <w:sz w:val="21"/>
                      <w:szCs w:val="21"/>
                    </w:rPr>
                    <w:t>)</w:t>
                  </w:r>
                </w:p>
              </w:tc>
              <w:tc>
                <w:tcPr>
                  <w:tcW w:w="2801" w:type="dxa"/>
                  <w:vAlign w:val="top"/>
                </w:tcPr>
                <w:p w14:paraId="34141EE5">
                  <w:pPr>
                    <w:pStyle w:val="6"/>
                    <w:spacing w:before="54" w:line="181" w:lineRule="auto"/>
                    <w:ind w:left="1237"/>
                    <w:rPr>
                      <w:sz w:val="21"/>
                      <w:szCs w:val="21"/>
                    </w:rPr>
                  </w:pPr>
                  <w:r>
                    <w:rPr>
                      <w:spacing w:val="-3"/>
                      <w:sz w:val="21"/>
                      <w:szCs w:val="21"/>
                    </w:rPr>
                    <w:t>352</w:t>
                  </w:r>
                </w:p>
              </w:tc>
            </w:tr>
            <w:tr w14:paraId="5CC99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791" w:type="dxa"/>
                  <w:vMerge w:val="continue"/>
                  <w:tcBorders>
                    <w:top w:val="nil"/>
                    <w:bottom w:val="nil"/>
                  </w:tcBorders>
                  <w:vAlign w:val="top"/>
                </w:tcPr>
                <w:p w14:paraId="42BB3E17">
                  <w:pPr>
                    <w:rPr>
                      <w:rFonts w:ascii="Arial"/>
                      <w:sz w:val="21"/>
                    </w:rPr>
                  </w:pPr>
                </w:p>
              </w:tc>
              <w:tc>
                <w:tcPr>
                  <w:tcW w:w="2797" w:type="dxa"/>
                  <w:vAlign w:val="top"/>
                </w:tcPr>
                <w:p w14:paraId="50A3919F">
                  <w:pPr>
                    <w:pStyle w:val="6"/>
                    <w:spacing w:before="33" w:line="199" w:lineRule="auto"/>
                    <w:ind w:left="494"/>
                    <w:rPr>
                      <w:sz w:val="21"/>
                      <w:szCs w:val="21"/>
                    </w:rPr>
                  </w:pPr>
                  <w:r>
                    <w:rPr>
                      <w:spacing w:val="6"/>
                      <w:sz w:val="21"/>
                      <w:szCs w:val="21"/>
                    </w:rPr>
                    <w:t>最大输出电流(</w:t>
                  </w:r>
                  <w:r>
                    <w:rPr>
                      <w:sz w:val="21"/>
                      <w:szCs w:val="21"/>
                    </w:rPr>
                    <w:t>Aac</w:t>
                  </w:r>
                  <w:r>
                    <w:rPr>
                      <w:spacing w:val="6"/>
                      <w:sz w:val="21"/>
                      <w:szCs w:val="21"/>
                    </w:rPr>
                    <w:t>)</w:t>
                  </w:r>
                </w:p>
              </w:tc>
              <w:tc>
                <w:tcPr>
                  <w:tcW w:w="2801" w:type="dxa"/>
                  <w:vAlign w:val="top"/>
                </w:tcPr>
                <w:p w14:paraId="1F59B441">
                  <w:pPr>
                    <w:pStyle w:val="6"/>
                    <w:spacing w:before="54" w:line="181" w:lineRule="auto"/>
                    <w:ind w:left="1237"/>
                    <w:rPr>
                      <w:sz w:val="21"/>
                      <w:szCs w:val="21"/>
                    </w:rPr>
                  </w:pPr>
                  <w:r>
                    <w:rPr>
                      <w:spacing w:val="-3"/>
                      <w:sz w:val="21"/>
                      <w:szCs w:val="21"/>
                    </w:rPr>
                    <w:t>254</w:t>
                  </w:r>
                </w:p>
              </w:tc>
            </w:tr>
            <w:tr w14:paraId="3D22F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791" w:type="dxa"/>
                  <w:vMerge w:val="continue"/>
                  <w:tcBorders>
                    <w:top w:val="nil"/>
                    <w:bottom w:val="nil"/>
                  </w:tcBorders>
                  <w:vAlign w:val="top"/>
                </w:tcPr>
                <w:p w14:paraId="557AF742">
                  <w:pPr>
                    <w:rPr>
                      <w:rFonts w:ascii="Arial"/>
                      <w:sz w:val="21"/>
                    </w:rPr>
                  </w:pPr>
                </w:p>
              </w:tc>
              <w:tc>
                <w:tcPr>
                  <w:tcW w:w="2797" w:type="dxa"/>
                  <w:vAlign w:val="top"/>
                </w:tcPr>
                <w:p w14:paraId="7E4A880A">
                  <w:pPr>
                    <w:pStyle w:val="6"/>
                    <w:spacing w:before="33" w:line="199" w:lineRule="auto"/>
                    <w:ind w:left="553"/>
                    <w:rPr>
                      <w:sz w:val="21"/>
                      <w:szCs w:val="21"/>
                    </w:rPr>
                  </w:pPr>
                  <w:r>
                    <w:rPr>
                      <w:spacing w:val="5"/>
                      <w:sz w:val="21"/>
                      <w:szCs w:val="21"/>
                    </w:rPr>
                    <w:t>额定电网频率(</w:t>
                  </w:r>
                  <w:r>
                    <w:rPr>
                      <w:sz w:val="21"/>
                      <w:szCs w:val="21"/>
                    </w:rPr>
                    <w:t>Hz</w:t>
                  </w:r>
                  <w:r>
                    <w:rPr>
                      <w:spacing w:val="5"/>
                      <w:sz w:val="21"/>
                      <w:szCs w:val="21"/>
                    </w:rPr>
                    <w:t>)</w:t>
                  </w:r>
                </w:p>
              </w:tc>
              <w:tc>
                <w:tcPr>
                  <w:tcW w:w="2801" w:type="dxa"/>
                  <w:vAlign w:val="top"/>
                </w:tcPr>
                <w:p w14:paraId="174B51B0">
                  <w:pPr>
                    <w:pStyle w:val="6"/>
                    <w:spacing w:before="54" w:line="181" w:lineRule="auto"/>
                    <w:ind w:left="1286"/>
                    <w:rPr>
                      <w:sz w:val="21"/>
                      <w:szCs w:val="21"/>
                    </w:rPr>
                  </w:pPr>
                  <w:r>
                    <w:rPr>
                      <w:spacing w:val="-4"/>
                      <w:sz w:val="21"/>
                      <w:szCs w:val="21"/>
                    </w:rPr>
                    <w:t>50</w:t>
                  </w:r>
                </w:p>
              </w:tc>
            </w:tr>
            <w:tr w14:paraId="7640F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791" w:type="dxa"/>
                  <w:vMerge w:val="continue"/>
                  <w:tcBorders>
                    <w:top w:val="nil"/>
                    <w:bottom w:val="nil"/>
                  </w:tcBorders>
                  <w:vAlign w:val="top"/>
                </w:tcPr>
                <w:p w14:paraId="66DB5B7A">
                  <w:pPr>
                    <w:rPr>
                      <w:rFonts w:ascii="Arial"/>
                      <w:sz w:val="21"/>
                    </w:rPr>
                  </w:pPr>
                </w:p>
              </w:tc>
              <w:tc>
                <w:tcPr>
                  <w:tcW w:w="2797" w:type="dxa"/>
                  <w:vAlign w:val="top"/>
                </w:tcPr>
                <w:p w14:paraId="7637F72D">
                  <w:pPr>
                    <w:pStyle w:val="6"/>
                    <w:spacing w:before="43" w:line="199" w:lineRule="auto"/>
                    <w:ind w:left="603"/>
                    <w:rPr>
                      <w:sz w:val="21"/>
                      <w:szCs w:val="21"/>
                    </w:rPr>
                  </w:pPr>
                  <w:r>
                    <w:rPr>
                      <w:spacing w:val="4"/>
                      <w:sz w:val="21"/>
                      <w:szCs w:val="21"/>
                    </w:rPr>
                    <w:t>额定输出电压(V)</w:t>
                  </w:r>
                </w:p>
              </w:tc>
              <w:tc>
                <w:tcPr>
                  <w:tcW w:w="2801" w:type="dxa"/>
                  <w:vAlign w:val="top"/>
                </w:tcPr>
                <w:p w14:paraId="21983FA9">
                  <w:pPr>
                    <w:pStyle w:val="6"/>
                    <w:spacing w:before="64" w:line="181" w:lineRule="auto"/>
                    <w:ind w:left="1237"/>
                    <w:rPr>
                      <w:sz w:val="21"/>
                      <w:szCs w:val="21"/>
                    </w:rPr>
                  </w:pPr>
                  <w:r>
                    <w:rPr>
                      <w:spacing w:val="-3"/>
                      <w:sz w:val="21"/>
                      <w:szCs w:val="21"/>
                    </w:rPr>
                    <w:t>800</w:t>
                  </w:r>
                </w:p>
              </w:tc>
            </w:tr>
            <w:tr w14:paraId="7F355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791" w:type="dxa"/>
                  <w:vMerge w:val="continue"/>
                  <w:tcBorders>
                    <w:top w:val="nil"/>
                    <w:bottom w:val="nil"/>
                  </w:tcBorders>
                  <w:vAlign w:val="top"/>
                </w:tcPr>
                <w:p w14:paraId="6F239113">
                  <w:pPr>
                    <w:rPr>
                      <w:rFonts w:ascii="Arial"/>
                      <w:sz w:val="21"/>
                    </w:rPr>
                  </w:pPr>
                </w:p>
              </w:tc>
              <w:tc>
                <w:tcPr>
                  <w:tcW w:w="2797" w:type="dxa"/>
                  <w:vAlign w:val="top"/>
                </w:tcPr>
                <w:p w14:paraId="53A073F6">
                  <w:pPr>
                    <w:pStyle w:val="6"/>
                    <w:spacing w:before="33" w:line="198" w:lineRule="auto"/>
                    <w:ind w:left="973"/>
                    <w:rPr>
                      <w:sz w:val="21"/>
                      <w:szCs w:val="21"/>
                    </w:rPr>
                  </w:pPr>
                  <w:r>
                    <w:rPr>
                      <w:spacing w:val="2"/>
                      <w:sz w:val="21"/>
                      <w:szCs w:val="21"/>
                    </w:rPr>
                    <w:t>功率因数</w:t>
                  </w:r>
                </w:p>
              </w:tc>
              <w:tc>
                <w:tcPr>
                  <w:tcW w:w="2801" w:type="dxa"/>
                  <w:vAlign w:val="top"/>
                </w:tcPr>
                <w:p w14:paraId="205BB6D7">
                  <w:pPr>
                    <w:pStyle w:val="6"/>
                    <w:spacing w:before="33" w:line="198" w:lineRule="auto"/>
                    <w:ind w:left="346"/>
                    <w:rPr>
                      <w:sz w:val="21"/>
                      <w:szCs w:val="21"/>
                    </w:rPr>
                  </w:pPr>
                  <w:r>
                    <w:rPr>
                      <w:spacing w:val="3"/>
                      <w:sz w:val="21"/>
                      <w:szCs w:val="21"/>
                    </w:rPr>
                    <w:t>0.8(超前)～0.8(滞后)</w:t>
                  </w:r>
                </w:p>
              </w:tc>
            </w:tr>
            <w:tr w14:paraId="04978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791" w:type="dxa"/>
                  <w:vMerge w:val="continue"/>
                  <w:tcBorders>
                    <w:top w:val="nil"/>
                  </w:tcBorders>
                  <w:vAlign w:val="top"/>
                </w:tcPr>
                <w:p w14:paraId="35EB6D28">
                  <w:pPr>
                    <w:rPr>
                      <w:rFonts w:ascii="Arial"/>
                      <w:sz w:val="21"/>
                    </w:rPr>
                  </w:pPr>
                </w:p>
              </w:tc>
              <w:tc>
                <w:tcPr>
                  <w:tcW w:w="2797" w:type="dxa"/>
                  <w:vAlign w:val="top"/>
                </w:tcPr>
                <w:p w14:paraId="5D4C540E">
                  <w:pPr>
                    <w:pStyle w:val="6"/>
                    <w:spacing w:before="34" w:line="198" w:lineRule="auto"/>
                    <w:ind w:left="653"/>
                    <w:rPr>
                      <w:sz w:val="21"/>
                      <w:szCs w:val="21"/>
                    </w:rPr>
                  </w:pPr>
                  <w:r>
                    <w:rPr>
                      <w:spacing w:val="-2"/>
                      <w:sz w:val="21"/>
                      <w:szCs w:val="21"/>
                    </w:rPr>
                    <w:t>最大总谐波失真</w:t>
                  </w:r>
                </w:p>
              </w:tc>
              <w:tc>
                <w:tcPr>
                  <w:tcW w:w="2801" w:type="dxa"/>
                  <w:vAlign w:val="top"/>
                </w:tcPr>
                <w:p w14:paraId="323EC838">
                  <w:pPr>
                    <w:pStyle w:val="6"/>
                    <w:spacing w:before="55" w:line="180" w:lineRule="auto"/>
                    <w:ind w:left="1237"/>
                    <w:rPr>
                      <w:sz w:val="21"/>
                      <w:szCs w:val="21"/>
                    </w:rPr>
                  </w:pPr>
                  <w:r>
                    <w:rPr>
                      <w:spacing w:val="-3"/>
                      <w:sz w:val="21"/>
                      <w:szCs w:val="21"/>
                    </w:rPr>
                    <w:t>&lt;3%</w:t>
                  </w:r>
                </w:p>
              </w:tc>
            </w:tr>
            <w:tr w14:paraId="440AD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791" w:type="dxa"/>
                  <w:vMerge w:val="restart"/>
                  <w:tcBorders>
                    <w:bottom w:val="nil"/>
                  </w:tcBorders>
                  <w:vAlign w:val="top"/>
                </w:tcPr>
                <w:p w14:paraId="6CF6B934">
                  <w:pPr>
                    <w:spacing w:line="272" w:lineRule="auto"/>
                    <w:rPr>
                      <w:rFonts w:ascii="Arial"/>
                      <w:sz w:val="21"/>
                    </w:rPr>
                  </w:pPr>
                </w:p>
                <w:p w14:paraId="2ED29FD5">
                  <w:pPr>
                    <w:spacing w:line="272" w:lineRule="auto"/>
                    <w:rPr>
                      <w:rFonts w:ascii="Arial"/>
                      <w:sz w:val="21"/>
                    </w:rPr>
                  </w:pPr>
                </w:p>
                <w:p w14:paraId="0F0F39FE">
                  <w:pPr>
                    <w:spacing w:line="273" w:lineRule="auto"/>
                    <w:rPr>
                      <w:rFonts w:ascii="Arial"/>
                      <w:sz w:val="21"/>
                    </w:rPr>
                  </w:pPr>
                </w:p>
                <w:p w14:paraId="22D5BA93">
                  <w:pPr>
                    <w:spacing w:line="273" w:lineRule="auto"/>
                    <w:rPr>
                      <w:rFonts w:ascii="Arial"/>
                      <w:sz w:val="21"/>
                    </w:rPr>
                  </w:pPr>
                </w:p>
                <w:p w14:paraId="7E7D40B0">
                  <w:pPr>
                    <w:pStyle w:val="6"/>
                    <w:spacing w:before="68" w:line="221" w:lineRule="auto"/>
                    <w:ind w:left="964"/>
                    <w:rPr>
                      <w:sz w:val="21"/>
                      <w:szCs w:val="21"/>
                    </w:rPr>
                  </w:pPr>
                  <w:r>
                    <w:rPr>
                      <w:spacing w:val="2"/>
                      <w:sz w:val="21"/>
                      <w:szCs w:val="21"/>
                    </w:rPr>
                    <w:t>系统性能</w:t>
                  </w:r>
                </w:p>
              </w:tc>
              <w:tc>
                <w:tcPr>
                  <w:tcW w:w="2797" w:type="dxa"/>
                  <w:vAlign w:val="top"/>
                </w:tcPr>
                <w:p w14:paraId="69CE1B45">
                  <w:pPr>
                    <w:pStyle w:val="6"/>
                    <w:spacing w:before="34" w:line="198" w:lineRule="auto"/>
                    <w:ind w:left="494"/>
                    <w:rPr>
                      <w:sz w:val="21"/>
                      <w:szCs w:val="21"/>
                    </w:rPr>
                  </w:pPr>
                  <w:r>
                    <w:rPr>
                      <w:spacing w:val="5"/>
                      <w:sz w:val="21"/>
                      <w:szCs w:val="21"/>
                    </w:rPr>
                    <w:t>最大逆变器效率(%)</w:t>
                  </w:r>
                </w:p>
              </w:tc>
              <w:tc>
                <w:tcPr>
                  <w:tcW w:w="2801" w:type="dxa"/>
                  <w:vAlign w:val="top"/>
                </w:tcPr>
                <w:p w14:paraId="7DBCB543">
                  <w:pPr>
                    <w:pStyle w:val="6"/>
                    <w:spacing w:before="55" w:line="180" w:lineRule="auto"/>
                    <w:ind w:left="1126"/>
                    <w:rPr>
                      <w:sz w:val="21"/>
                      <w:szCs w:val="21"/>
                    </w:rPr>
                  </w:pPr>
                  <w:r>
                    <w:rPr>
                      <w:spacing w:val="-2"/>
                      <w:sz w:val="21"/>
                      <w:szCs w:val="21"/>
                    </w:rPr>
                    <w:t>99.02</w:t>
                  </w:r>
                </w:p>
              </w:tc>
            </w:tr>
            <w:tr w14:paraId="72553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791" w:type="dxa"/>
                  <w:vMerge w:val="continue"/>
                  <w:tcBorders>
                    <w:top w:val="nil"/>
                    <w:bottom w:val="nil"/>
                  </w:tcBorders>
                  <w:vAlign w:val="top"/>
                </w:tcPr>
                <w:p w14:paraId="66090900">
                  <w:pPr>
                    <w:rPr>
                      <w:rFonts w:ascii="Arial"/>
                      <w:sz w:val="21"/>
                    </w:rPr>
                  </w:pPr>
                </w:p>
              </w:tc>
              <w:tc>
                <w:tcPr>
                  <w:tcW w:w="2797" w:type="dxa"/>
                  <w:vAlign w:val="top"/>
                </w:tcPr>
                <w:p w14:paraId="39B78CF3">
                  <w:pPr>
                    <w:pStyle w:val="6"/>
                    <w:spacing w:before="43" w:line="198" w:lineRule="auto"/>
                    <w:ind w:left="764"/>
                    <w:rPr>
                      <w:sz w:val="21"/>
                      <w:szCs w:val="21"/>
                    </w:rPr>
                  </w:pPr>
                  <w:r>
                    <w:rPr>
                      <w:spacing w:val="2"/>
                      <w:sz w:val="21"/>
                      <w:szCs w:val="21"/>
                    </w:rPr>
                    <w:t>外壳防护等级</w:t>
                  </w:r>
                </w:p>
              </w:tc>
              <w:tc>
                <w:tcPr>
                  <w:tcW w:w="2801" w:type="dxa"/>
                  <w:vAlign w:val="top"/>
                </w:tcPr>
                <w:p w14:paraId="78AE33E5">
                  <w:pPr>
                    <w:pStyle w:val="6"/>
                    <w:spacing w:before="98" w:line="171" w:lineRule="exact"/>
                    <w:ind w:left="1187"/>
                    <w:rPr>
                      <w:sz w:val="21"/>
                      <w:szCs w:val="21"/>
                    </w:rPr>
                  </w:pPr>
                  <w:r>
                    <w:rPr>
                      <w:spacing w:val="-4"/>
                      <w:position w:val="-2"/>
                      <w:sz w:val="21"/>
                      <w:szCs w:val="21"/>
                    </w:rPr>
                    <w:t>IP66</w:t>
                  </w:r>
                </w:p>
              </w:tc>
            </w:tr>
            <w:tr w14:paraId="58D37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791" w:type="dxa"/>
                  <w:vMerge w:val="continue"/>
                  <w:tcBorders>
                    <w:top w:val="nil"/>
                    <w:bottom w:val="nil"/>
                  </w:tcBorders>
                  <w:vAlign w:val="top"/>
                </w:tcPr>
                <w:p w14:paraId="427954BE">
                  <w:pPr>
                    <w:rPr>
                      <w:rFonts w:ascii="Arial"/>
                      <w:sz w:val="21"/>
                    </w:rPr>
                  </w:pPr>
                </w:p>
              </w:tc>
              <w:tc>
                <w:tcPr>
                  <w:tcW w:w="2797" w:type="dxa"/>
                  <w:vAlign w:val="top"/>
                </w:tcPr>
                <w:p w14:paraId="036A2577">
                  <w:pPr>
                    <w:pStyle w:val="6"/>
                    <w:spacing w:before="35" w:line="197" w:lineRule="auto"/>
                    <w:ind w:left="764"/>
                    <w:rPr>
                      <w:sz w:val="21"/>
                      <w:szCs w:val="21"/>
                    </w:rPr>
                  </w:pPr>
                  <w:r>
                    <w:rPr>
                      <w:spacing w:val="6"/>
                      <w:sz w:val="21"/>
                      <w:szCs w:val="21"/>
                    </w:rPr>
                    <w:t>环境温度(℃)</w:t>
                  </w:r>
                </w:p>
              </w:tc>
              <w:tc>
                <w:tcPr>
                  <w:tcW w:w="2801" w:type="dxa"/>
                  <w:vAlign w:val="top"/>
                </w:tcPr>
                <w:p w14:paraId="2B567AB3">
                  <w:pPr>
                    <w:pStyle w:val="6"/>
                    <w:spacing w:before="56" w:line="179" w:lineRule="auto"/>
                    <w:ind w:left="1026"/>
                    <w:rPr>
                      <w:sz w:val="21"/>
                      <w:szCs w:val="21"/>
                    </w:rPr>
                  </w:pPr>
                  <w:r>
                    <w:rPr>
                      <w:spacing w:val="-2"/>
                      <w:sz w:val="21"/>
                      <w:szCs w:val="21"/>
                    </w:rPr>
                    <w:t>-30～60</w:t>
                  </w:r>
                </w:p>
              </w:tc>
            </w:tr>
            <w:tr w14:paraId="6931C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791" w:type="dxa"/>
                  <w:vMerge w:val="continue"/>
                  <w:tcBorders>
                    <w:top w:val="nil"/>
                    <w:bottom w:val="nil"/>
                  </w:tcBorders>
                  <w:vAlign w:val="top"/>
                </w:tcPr>
                <w:p w14:paraId="52447745">
                  <w:pPr>
                    <w:rPr>
                      <w:rFonts w:ascii="Arial"/>
                      <w:sz w:val="21"/>
                    </w:rPr>
                  </w:pPr>
                </w:p>
              </w:tc>
              <w:tc>
                <w:tcPr>
                  <w:tcW w:w="2797" w:type="dxa"/>
                  <w:vAlign w:val="top"/>
                </w:tcPr>
                <w:p w14:paraId="1A85BFF3">
                  <w:pPr>
                    <w:pStyle w:val="6"/>
                    <w:spacing w:before="37" w:line="195" w:lineRule="auto"/>
                    <w:ind w:left="973"/>
                    <w:rPr>
                      <w:sz w:val="21"/>
                      <w:szCs w:val="21"/>
                    </w:rPr>
                  </w:pPr>
                  <w:r>
                    <w:rPr>
                      <w:spacing w:val="-2"/>
                      <w:sz w:val="21"/>
                      <w:szCs w:val="21"/>
                    </w:rPr>
                    <w:t>冷却方式</w:t>
                  </w:r>
                </w:p>
              </w:tc>
              <w:tc>
                <w:tcPr>
                  <w:tcW w:w="2801" w:type="dxa"/>
                  <w:vAlign w:val="top"/>
                </w:tcPr>
                <w:p w14:paraId="3B607F45">
                  <w:pPr>
                    <w:pStyle w:val="6"/>
                    <w:spacing w:before="36" w:line="196" w:lineRule="auto"/>
                    <w:ind w:left="766"/>
                    <w:rPr>
                      <w:sz w:val="21"/>
                      <w:szCs w:val="21"/>
                    </w:rPr>
                  </w:pPr>
                  <w:r>
                    <w:rPr>
                      <w:spacing w:val="1"/>
                      <w:sz w:val="21"/>
                      <w:szCs w:val="21"/>
                    </w:rPr>
                    <w:t>智能强制风冷</w:t>
                  </w:r>
                </w:p>
              </w:tc>
            </w:tr>
            <w:tr w14:paraId="241F9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791" w:type="dxa"/>
                  <w:vMerge w:val="continue"/>
                  <w:tcBorders>
                    <w:top w:val="nil"/>
                    <w:bottom w:val="nil"/>
                  </w:tcBorders>
                  <w:vAlign w:val="top"/>
                </w:tcPr>
                <w:p w14:paraId="6ACEBD8D">
                  <w:pPr>
                    <w:rPr>
                      <w:rFonts w:ascii="Arial"/>
                      <w:sz w:val="21"/>
                    </w:rPr>
                  </w:pPr>
                </w:p>
              </w:tc>
              <w:tc>
                <w:tcPr>
                  <w:tcW w:w="2797" w:type="dxa"/>
                  <w:vAlign w:val="top"/>
                </w:tcPr>
                <w:p w14:paraId="25252DCF">
                  <w:pPr>
                    <w:pStyle w:val="6"/>
                    <w:spacing w:before="47" w:line="195" w:lineRule="auto"/>
                    <w:ind w:left="813"/>
                    <w:rPr>
                      <w:sz w:val="21"/>
                      <w:szCs w:val="21"/>
                    </w:rPr>
                  </w:pPr>
                  <w:r>
                    <w:rPr>
                      <w:spacing w:val="5"/>
                      <w:sz w:val="21"/>
                      <w:szCs w:val="21"/>
                    </w:rPr>
                    <w:t>相对湿度(%)</w:t>
                  </w:r>
                </w:p>
              </w:tc>
              <w:tc>
                <w:tcPr>
                  <w:tcW w:w="2801" w:type="dxa"/>
                  <w:vAlign w:val="top"/>
                </w:tcPr>
                <w:p w14:paraId="2F85CADF">
                  <w:pPr>
                    <w:pStyle w:val="6"/>
                    <w:spacing w:before="67" w:line="177" w:lineRule="auto"/>
                    <w:ind w:left="976"/>
                    <w:rPr>
                      <w:sz w:val="21"/>
                      <w:szCs w:val="21"/>
                    </w:rPr>
                  </w:pPr>
                  <w:r>
                    <w:rPr>
                      <w:spacing w:val="-2"/>
                      <w:sz w:val="21"/>
                      <w:szCs w:val="21"/>
                    </w:rPr>
                    <w:t>0%～100%</w:t>
                  </w:r>
                </w:p>
              </w:tc>
            </w:tr>
            <w:tr w14:paraId="7CFE5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791" w:type="dxa"/>
                  <w:vMerge w:val="continue"/>
                  <w:tcBorders>
                    <w:top w:val="nil"/>
                    <w:bottom w:val="nil"/>
                  </w:tcBorders>
                  <w:vAlign w:val="top"/>
                </w:tcPr>
                <w:p w14:paraId="5BACCB69">
                  <w:pPr>
                    <w:rPr>
                      <w:rFonts w:ascii="Arial"/>
                      <w:sz w:val="21"/>
                    </w:rPr>
                  </w:pPr>
                </w:p>
              </w:tc>
              <w:tc>
                <w:tcPr>
                  <w:tcW w:w="2797" w:type="dxa"/>
                  <w:vAlign w:val="top"/>
                </w:tcPr>
                <w:p w14:paraId="01ABD315">
                  <w:pPr>
                    <w:pStyle w:val="6"/>
                    <w:spacing w:before="37" w:line="187" w:lineRule="auto"/>
                    <w:ind w:left="184"/>
                    <w:rPr>
                      <w:sz w:val="21"/>
                      <w:szCs w:val="21"/>
                    </w:rPr>
                  </w:pPr>
                  <w:r>
                    <w:rPr>
                      <w:spacing w:val="3"/>
                      <w:sz w:val="21"/>
                      <w:szCs w:val="21"/>
                    </w:rPr>
                    <w:t>允许最高安装海拔高度(m)</w:t>
                  </w:r>
                </w:p>
              </w:tc>
              <w:tc>
                <w:tcPr>
                  <w:tcW w:w="2801" w:type="dxa"/>
                  <w:vAlign w:val="top"/>
                </w:tcPr>
                <w:p w14:paraId="50592F49">
                  <w:pPr>
                    <w:pStyle w:val="6"/>
                    <w:spacing w:before="37" w:line="187" w:lineRule="auto"/>
                    <w:ind w:left="606"/>
                    <w:rPr>
                      <w:sz w:val="21"/>
                      <w:szCs w:val="21"/>
                    </w:rPr>
                  </w:pPr>
                  <w:r>
                    <w:rPr>
                      <w:spacing w:val="3"/>
                      <w:sz w:val="21"/>
                      <w:szCs w:val="21"/>
                    </w:rPr>
                    <w:t>5000(&gt;4000降额)</w:t>
                  </w:r>
                </w:p>
              </w:tc>
            </w:tr>
            <w:tr w14:paraId="36F3F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791" w:type="dxa"/>
                  <w:vMerge w:val="continue"/>
                  <w:tcBorders>
                    <w:top w:val="nil"/>
                    <w:bottom w:val="nil"/>
                  </w:tcBorders>
                  <w:vAlign w:val="top"/>
                </w:tcPr>
                <w:p w14:paraId="3D976E12">
                  <w:pPr>
                    <w:rPr>
                      <w:rFonts w:ascii="Arial"/>
                      <w:sz w:val="21"/>
                    </w:rPr>
                  </w:pPr>
                </w:p>
              </w:tc>
              <w:tc>
                <w:tcPr>
                  <w:tcW w:w="2797" w:type="dxa"/>
                  <w:vAlign w:val="top"/>
                </w:tcPr>
                <w:p w14:paraId="4A02427A">
                  <w:pPr>
                    <w:pStyle w:val="6"/>
                    <w:spacing w:before="49" w:line="193" w:lineRule="auto"/>
                    <w:ind w:left="973"/>
                    <w:rPr>
                      <w:sz w:val="21"/>
                      <w:szCs w:val="21"/>
                    </w:rPr>
                  </w:pPr>
                  <w:r>
                    <w:rPr>
                      <w:spacing w:val="-2"/>
                      <w:sz w:val="21"/>
                      <w:szCs w:val="21"/>
                    </w:rPr>
                    <w:t>通讯方式</w:t>
                  </w:r>
                </w:p>
              </w:tc>
              <w:tc>
                <w:tcPr>
                  <w:tcW w:w="2801" w:type="dxa"/>
                  <w:vAlign w:val="top"/>
                </w:tcPr>
                <w:p w14:paraId="05F1496F">
                  <w:pPr>
                    <w:pStyle w:val="6"/>
                    <w:spacing w:before="101" w:line="168" w:lineRule="exact"/>
                    <w:ind w:left="1126"/>
                    <w:rPr>
                      <w:sz w:val="21"/>
                      <w:szCs w:val="21"/>
                    </w:rPr>
                  </w:pPr>
                  <w:r>
                    <w:rPr>
                      <w:spacing w:val="-2"/>
                      <w:position w:val="-2"/>
                      <w:sz w:val="21"/>
                      <w:szCs w:val="21"/>
                    </w:rPr>
                    <w:t>RS485</w:t>
                  </w:r>
                </w:p>
              </w:tc>
            </w:tr>
            <w:tr w14:paraId="7506D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791" w:type="dxa"/>
                  <w:vMerge w:val="continue"/>
                  <w:tcBorders>
                    <w:top w:val="nil"/>
                    <w:bottom w:val="nil"/>
                  </w:tcBorders>
                  <w:vAlign w:val="top"/>
                </w:tcPr>
                <w:p w14:paraId="7B7D7DEF">
                  <w:pPr>
                    <w:rPr>
                      <w:rFonts w:ascii="Arial"/>
                      <w:sz w:val="21"/>
                    </w:rPr>
                  </w:pPr>
                </w:p>
              </w:tc>
              <w:tc>
                <w:tcPr>
                  <w:tcW w:w="2797" w:type="dxa"/>
                  <w:vAlign w:val="top"/>
                </w:tcPr>
                <w:p w14:paraId="06638686">
                  <w:pPr>
                    <w:pStyle w:val="6"/>
                    <w:spacing w:before="38" w:line="194" w:lineRule="auto"/>
                    <w:ind w:left="653"/>
                    <w:rPr>
                      <w:sz w:val="21"/>
                      <w:szCs w:val="21"/>
                    </w:rPr>
                  </w:pPr>
                  <w:r>
                    <w:rPr>
                      <w:spacing w:val="6"/>
                      <w:sz w:val="21"/>
                      <w:szCs w:val="21"/>
                    </w:rPr>
                    <w:t>宽×高×深(</w:t>
                  </w:r>
                  <w:r>
                    <w:rPr>
                      <w:sz w:val="21"/>
                      <w:szCs w:val="21"/>
                    </w:rPr>
                    <w:t>mm</w:t>
                  </w:r>
                  <w:r>
                    <w:rPr>
                      <w:spacing w:val="6"/>
                      <w:sz w:val="21"/>
                      <w:szCs w:val="21"/>
                    </w:rPr>
                    <w:t>)</w:t>
                  </w:r>
                </w:p>
              </w:tc>
              <w:tc>
                <w:tcPr>
                  <w:tcW w:w="2801" w:type="dxa"/>
                  <w:vAlign w:val="top"/>
                </w:tcPr>
                <w:p w14:paraId="524AE571">
                  <w:pPr>
                    <w:pStyle w:val="6"/>
                    <w:spacing w:before="59" w:line="175" w:lineRule="auto"/>
                    <w:ind w:left="556"/>
                    <w:rPr>
                      <w:sz w:val="21"/>
                      <w:szCs w:val="21"/>
                    </w:rPr>
                  </w:pPr>
                  <w:r>
                    <w:rPr>
                      <w:spacing w:val="-2"/>
                      <w:sz w:val="21"/>
                      <w:szCs w:val="21"/>
                    </w:rPr>
                    <w:t>14982×4950×361</w:t>
                  </w:r>
                </w:p>
              </w:tc>
            </w:tr>
            <w:tr w14:paraId="15CBC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91" w:type="dxa"/>
                  <w:vMerge w:val="continue"/>
                  <w:tcBorders>
                    <w:top w:val="nil"/>
                  </w:tcBorders>
                  <w:vAlign w:val="top"/>
                </w:tcPr>
                <w:p w14:paraId="1CBD67BB">
                  <w:pPr>
                    <w:rPr>
                      <w:rFonts w:ascii="Arial"/>
                      <w:sz w:val="21"/>
                    </w:rPr>
                  </w:pPr>
                </w:p>
              </w:tc>
              <w:tc>
                <w:tcPr>
                  <w:tcW w:w="2797" w:type="dxa"/>
                  <w:vAlign w:val="top"/>
                </w:tcPr>
                <w:p w14:paraId="3685CBCD">
                  <w:pPr>
                    <w:pStyle w:val="6"/>
                    <w:spacing w:before="32" w:line="204" w:lineRule="auto"/>
                    <w:ind w:left="553"/>
                    <w:rPr>
                      <w:sz w:val="21"/>
                      <w:szCs w:val="21"/>
                    </w:rPr>
                  </w:pPr>
                  <w:r>
                    <w:rPr>
                      <w:spacing w:val="5"/>
                      <w:sz w:val="21"/>
                      <w:szCs w:val="21"/>
                    </w:rPr>
                    <w:t>重量(含挂架，</w:t>
                  </w:r>
                  <w:r>
                    <w:rPr>
                      <w:sz w:val="21"/>
                      <w:szCs w:val="21"/>
                    </w:rPr>
                    <w:t>kg</w:t>
                  </w:r>
                  <w:r>
                    <w:rPr>
                      <w:spacing w:val="5"/>
                      <w:sz w:val="21"/>
                      <w:szCs w:val="21"/>
                    </w:rPr>
                    <w:t>)</w:t>
                  </w:r>
                </w:p>
              </w:tc>
              <w:tc>
                <w:tcPr>
                  <w:tcW w:w="2801" w:type="dxa"/>
                  <w:vAlign w:val="top"/>
                </w:tcPr>
                <w:p w14:paraId="42DB4F96">
                  <w:pPr>
                    <w:pStyle w:val="6"/>
                    <w:spacing w:before="60" w:line="180" w:lineRule="auto"/>
                    <w:ind w:left="1237"/>
                    <w:rPr>
                      <w:sz w:val="21"/>
                      <w:szCs w:val="21"/>
                    </w:rPr>
                  </w:pPr>
                  <w:r>
                    <w:rPr>
                      <w:spacing w:val="-6"/>
                      <w:sz w:val="21"/>
                      <w:szCs w:val="21"/>
                    </w:rPr>
                    <w:t>116</w:t>
                  </w:r>
                </w:p>
              </w:tc>
            </w:tr>
          </w:tbl>
          <w:p w14:paraId="798CF100">
            <w:pPr>
              <w:pStyle w:val="6"/>
              <w:spacing w:before="32" w:line="219" w:lineRule="auto"/>
              <w:ind w:left="1163"/>
              <w:rPr>
                <w:sz w:val="26"/>
                <w:szCs w:val="26"/>
              </w:rPr>
            </w:pPr>
            <w:r>
              <w:rPr>
                <w:b/>
                <w:bCs/>
                <w:spacing w:val="-3"/>
                <w:sz w:val="26"/>
                <w:szCs w:val="26"/>
              </w:rPr>
              <w:t>(3)集电线路</w:t>
            </w:r>
          </w:p>
          <w:p w14:paraId="01E0A335">
            <w:pPr>
              <w:pStyle w:val="6"/>
              <w:spacing w:before="156" w:line="354" w:lineRule="auto"/>
              <w:ind w:left="540" w:right="135" w:firstLine="469"/>
            </w:pPr>
            <w:r>
              <w:rPr>
                <w:spacing w:val="8"/>
              </w:rPr>
              <w:t>本工程135</w:t>
            </w:r>
            <w:r>
              <w:rPr>
                <w:rFonts w:ascii="Times New Roman" w:hAnsi="Times New Roman" w:eastAsia="Times New Roman" w:cs="Times New Roman"/>
              </w:rPr>
              <w:t>MW</w:t>
            </w:r>
            <w:r>
              <w:rPr>
                <w:spacing w:val="8"/>
              </w:rPr>
              <w:t>容量电能的汇集采用5回集电35</w:t>
            </w:r>
            <w:r>
              <w:rPr>
                <w:rFonts w:ascii="Times New Roman" w:hAnsi="Times New Roman" w:eastAsia="Times New Roman" w:cs="Times New Roman"/>
              </w:rPr>
              <w:t>kV</w:t>
            </w:r>
            <w:r>
              <w:rPr>
                <w:spacing w:val="8"/>
              </w:rPr>
              <w:t>架空和电缆集电线路接入</w:t>
            </w:r>
            <w:r>
              <w:t xml:space="preserve"> </w:t>
            </w:r>
            <w:r>
              <w:rPr>
                <w:spacing w:val="9"/>
              </w:rPr>
              <w:t>220</w:t>
            </w:r>
            <w:r>
              <w:rPr>
                <w:rFonts w:ascii="Times New Roman" w:hAnsi="Times New Roman" w:eastAsia="Times New Roman" w:cs="Times New Roman"/>
              </w:rPr>
              <w:t>kV</w:t>
            </w:r>
            <w:r>
              <w:rPr>
                <w:rFonts w:ascii="Times New Roman" w:hAnsi="Times New Roman" w:eastAsia="Times New Roman" w:cs="Times New Roman"/>
                <w:spacing w:val="-12"/>
              </w:rPr>
              <w:t xml:space="preserve"> </w:t>
            </w:r>
            <w:r>
              <w:rPr>
                <w:spacing w:val="9"/>
              </w:rPr>
              <w:t>升压站，220</w:t>
            </w:r>
            <w:r>
              <w:rPr>
                <w:rFonts w:ascii="Times New Roman" w:hAnsi="Times New Roman" w:eastAsia="Times New Roman" w:cs="Times New Roman"/>
              </w:rPr>
              <w:t>kV</w:t>
            </w:r>
            <w:r>
              <w:rPr>
                <w:rFonts w:ascii="Times New Roman" w:hAnsi="Times New Roman" w:eastAsia="Times New Roman" w:cs="Times New Roman"/>
                <w:spacing w:val="9"/>
              </w:rPr>
              <w:t xml:space="preserve"> </w:t>
            </w:r>
            <w:r>
              <w:rPr>
                <w:spacing w:val="9"/>
              </w:rPr>
              <w:t>升压站配置5个35</w:t>
            </w:r>
            <w:r>
              <w:rPr>
                <w:rFonts w:ascii="Times New Roman" w:hAnsi="Times New Roman" w:eastAsia="Times New Roman" w:cs="Times New Roman"/>
              </w:rPr>
              <w:t>kV</w:t>
            </w:r>
            <w:r>
              <w:rPr>
                <w:rFonts w:ascii="Times New Roman" w:hAnsi="Times New Roman" w:eastAsia="Times New Roman" w:cs="Times New Roman"/>
                <w:spacing w:val="-11"/>
              </w:rPr>
              <w:t xml:space="preserve"> </w:t>
            </w:r>
            <w:r>
              <w:rPr>
                <w:spacing w:val="9"/>
              </w:rPr>
              <w:t>开关柜间</w:t>
            </w:r>
            <w:r>
              <w:rPr>
                <w:spacing w:val="8"/>
              </w:rPr>
              <w:t>隔。集电线路起于各光伏</w:t>
            </w:r>
            <w:r>
              <w:t xml:space="preserve"> </w:t>
            </w:r>
            <w:r>
              <w:rPr>
                <w:spacing w:val="2"/>
              </w:rPr>
              <w:t>阵列电缆上塔处，讫于220</w:t>
            </w:r>
            <w:r>
              <w:rPr>
                <w:rFonts w:ascii="Times New Roman" w:hAnsi="Times New Roman" w:eastAsia="Times New Roman" w:cs="Times New Roman"/>
              </w:rPr>
              <w:t>kV</w:t>
            </w:r>
            <w:r>
              <w:rPr>
                <w:rFonts w:ascii="Times New Roman" w:hAnsi="Times New Roman" w:eastAsia="Times New Roman" w:cs="Times New Roman"/>
                <w:spacing w:val="-12"/>
              </w:rPr>
              <w:t xml:space="preserve"> </w:t>
            </w:r>
            <w:r>
              <w:rPr>
                <w:spacing w:val="2"/>
              </w:rPr>
              <w:t>升压站，用35</w:t>
            </w:r>
            <w:r>
              <w:rPr>
                <w:rFonts w:ascii="Times New Roman" w:hAnsi="Times New Roman" w:eastAsia="Times New Roman" w:cs="Times New Roman"/>
              </w:rPr>
              <w:t>kV</w:t>
            </w:r>
            <w:r>
              <w:rPr>
                <w:rFonts w:ascii="Times New Roman" w:hAnsi="Times New Roman" w:eastAsia="Times New Roman" w:cs="Times New Roman"/>
                <w:spacing w:val="-11"/>
              </w:rPr>
              <w:t xml:space="preserve"> </w:t>
            </w:r>
            <w:r>
              <w:rPr>
                <w:spacing w:val="1"/>
              </w:rPr>
              <w:t>架空线路+电力电缆直埋敷设的混</w:t>
            </w:r>
            <w:r>
              <w:t xml:space="preserve"> </w:t>
            </w:r>
            <w:r>
              <w:rPr>
                <w:spacing w:val="1"/>
              </w:rPr>
              <w:t>合方案，路径总长约40.71</w:t>
            </w:r>
            <w:r>
              <w:rPr>
                <w:rFonts w:ascii="Times New Roman" w:hAnsi="Times New Roman" w:eastAsia="Times New Roman" w:cs="Times New Roman"/>
              </w:rPr>
              <w:t>km</w:t>
            </w:r>
            <w:r>
              <w:rPr>
                <w:rFonts w:ascii="Times New Roman" w:hAnsi="Times New Roman" w:eastAsia="Times New Roman" w:cs="Times New Roman"/>
                <w:spacing w:val="1"/>
              </w:rPr>
              <w:t xml:space="preserve">,   </w:t>
            </w:r>
            <w:r>
              <w:rPr>
                <w:spacing w:val="1"/>
              </w:rPr>
              <w:t>其中架空线路约38.8</w:t>
            </w:r>
            <w:r>
              <w:t>2</w:t>
            </w:r>
            <w:r>
              <w:rPr>
                <w:rFonts w:ascii="Times New Roman" w:hAnsi="Times New Roman" w:eastAsia="Times New Roman" w:cs="Times New Roman"/>
              </w:rPr>
              <w:t xml:space="preserve">km,   </w:t>
            </w:r>
            <w:r>
              <w:t>电缆线路约1.89</w:t>
            </w:r>
            <w:r>
              <w:rPr>
                <w:rFonts w:ascii="Times New Roman" w:hAnsi="Times New Roman" w:eastAsia="Times New Roman" w:cs="Times New Roman"/>
              </w:rPr>
              <w:t>km</w:t>
            </w:r>
            <w:r>
              <w:rPr>
                <w:rFonts w:ascii="Times New Roman" w:hAnsi="Times New Roman" w:eastAsia="Times New Roman" w:cs="Times New Roman"/>
                <w:spacing w:val="-27"/>
              </w:rPr>
              <w:t xml:space="preserve"> </w:t>
            </w:r>
            <w:r>
              <w:t xml:space="preserve">。 </w:t>
            </w:r>
            <w:r>
              <w:rPr>
                <w:spacing w:val="1"/>
              </w:rPr>
              <w:t>地埋电缆线路位于地块内部阵列线路的连接，地块</w:t>
            </w:r>
            <w:r>
              <w:t xml:space="preserve">至升压站的线路连接采用架空 </w:t>
            </w:r>
            <w:r>
              <w:rPr>
                <w:spacing w:val="2"/>
              </w:rPr>
              <w:t>线路，35</w:t>
            </w:r>
            <w:r>
              <w:rPr>
                <w:rFonts w:ascii="Times New Roman" w:hAnsi="Times New Roman" w:eastAsia="Times New Roman" w:cs="Times New Roman"/>
              </w:rPr>
              <w:t>kV</w:t>
            </w:r>
            <w:r>
              <w:rPr>
                <w:rFonts w:ascii="Times New Roman" w:hAnsi="Times New Roman" w:eastAsia="Times New Roman" w:cs="Times New Roman"/>
                <w:spacing w:val="-21"/>
              </w:rPr>
              <w:t xml:space="preserve"> </w:t>
            </w:r>
            <w:r>
              <w:rPr>
                <w:spacing w:val="2"/>
              </w:rPr>
              <w:t>集电线路跨越生态保护红线，跨越长度合计636</w:t>
            </w:r>
            <w:r>
              <w:rPr>
                <w:rFonts w:ascii="Times New Roman" w:hAnsi="Times New Roman" w:eastAsia="Times New Roman" w:cs="Times New Roman"/>
                <w:spacing w:val="2"/>
              </w:rPr>
              <w:t>m</w:t>
            </w:r>
            <w:r>
              <w:rPr>
                <w:rFonts w:ascii="Times New Roman" w:hAnsi="Times New Roman" w:eastAsia="Times New Roman" w:cs="Times New Roman"/>
                <w:spacing w:val="-27"/>
              </w:rPr>
              <w:t xml:space="preserve"> </w:t>
            </w:r>
            <w:r>
              <w:rPr>
                <w:spacing w:val="2"/>
              </w:rPr>
              <w:t>。跨越生态红</w:t>
            </w:r>
            <w:r>
              <w:rPr>
                <w:spacing w:val="1"/>
              </w:rPr>
              <w:t>线主</w:t>
            </w:r>
            <w:r>
              <w:t xml:space="preserve"> </w:t>
            </w:r>
            <w:r>
              <w:rPr>
                <w:spacing w:val="3"/>
              </w:rPr>
              <w:t>要功能为水土保持。集电线路共设置114个塔基，塔基基座尺寸6.9</w:t>
            </w:r>
            <w:r>
              <w:rPr>
                <w:rFonts w:ascii="Times New Roman" w:hAnsi="Times New Roman" w:eastAsia="Times New Roman" w:cs="Times New Roman"/>
                <w:spacing w:val="3"/>
              </w:rPr>
              <w:t>m*6.9m,</w:t>
            </w:r>
            <w:r>
              <w:rPr>
                <w:rFonts w:ascii="Times New Roman" w:hAnsi="Times New Roman" w:eastAsia="Times New Roman" w:cs="Times New Roman"/>
                <w:spacing w:val="76"/>
                <w:w w:val="101"/>
              </w:rPr>
              <w:t xml:space="preserve"> </w:t>
            </w:r>
            <w:r>
              <w:rPr>
                <w:spacing w:val="3"/>
              </w:rPr>
              <w:t>占</w:t>
            </w:r>
            <w:r>
              <w:t xml:space="preserve">  </w:t>
            </w:r>
            <w:r>
              <w:rPr>
                <w:spacing w:val="-1"/>
              </w:rPr>
              <w:t>地面积0.543</w:t>
            </w:r>
            <w:r>
              <w:rPr>
                <w:rFonts w:ascii="Times New Roman" w:hAnsi="Times New Roman" w:eastAsia="Times New Roman" w:cs="Times New Roman"/>
                <w:spacing w:val="-1"/>
              </w:rPr>
              <w:t>hm²</w:t>
            </w:r>
            <w:r>
              <w:rPr>
                <w:spacing w:val="-1"/>
              </w:rPr>
              <w:t>。</w:t>
            </w:r>
          </w:p>
          <w:p w14:paraId="3126EFBA">
            <w:pPr>
              <w:pStyle w:val="6"/>
              <w:spacing w:before="48" w:line="221" w:lineRule="auto"/>
              <w:ind w:left="1009"/>
              <w:rPr>
                <w:sz w:val="25"/>
                <w:szCs w:val="25"/>
              </w:rPr>
            </w:pPr>
            <w:r>
              <w:rPr>
                <w:spacing w:val="-5"/>
                <w:sz w:val="25"/>
                <w:szCs w:val="25"/>
              </w:rPr>
              <w:t>3、升压站</w:t>
            </w:r>
          </w:p>
          <w:p w14:paraId="08F6DB25">
            <w:pPr>
              <w:pStyle w:val="6"/>
              <w:spacing w:before="158" w:line="219" w:lineRule="auto"/>
              <w:ind w:left="1150"/>
              <w:rPr>
                <w:sz w:val="26"/>
                <w:szCs w:val="26"/>
              </w:rPr>
            </w:pPr>
            <w:r>
              <w:rPr>
                <w:spacing w:val="-2"/>
                <w:sz w:val="26"/>
                <w:szCs w:val="26"/>
              </w:rPr>
              <w:t>(1)升压站平面布置</w:t>
            </w:r>
          </w:p>
          <w:p w14:paraId="090F49BA">
            <w:pPr>
              <w:pStyle w:val="6"/>
              <w:spacing w:before="155" w:line="357" w:lineRule="auto"/>
              <w:ind w:left="540" w:right="136" w:firstLine="469"/>
              <w:rPr>
                <w:rFonts w:ascii="Times New Roman" w:hAnsi="Times New Roman" w:eastAsia="Times New Roman" w:cs="Times New Roman"/>
              </w:rPr>
            </w:pPr>
            <w:r>
              <w:rPr>
                <w:spacing w:val="6"/>
              </w:rPr>
              <w:t>本项目在场址中部地块三内建设一座220</w:t>
            </w:r>
            <w:r>
              <w:rPr>
                <w:rFonts w:ascii="Times New Roman" w:hAnsi="Times New Roman" w:eastAsia="Times New Roman" w:cs="Times New Roman"/>
              </w:rPr>
              <w:t>kV</w:t>
            </w:r>
            <w:r>
              <w:rPr>
                <w:rFonts w:ascii="Times New Roman" w:hAnsi="Times New Roman" w:eastAsia="Times New Roman" w:cs="Times New Roman"/>
                <w:spacing w:val="-22"/>
              </w:rPr>
              <w:t xml:space="preserve"> </w:t>
            </w:r>
            <w:r>
              <w:rPr>
                <w:spacing w:val="6"/>
              </w:rPr>
              <w:t>升压站，</w:t>
            </w:r>
            <w:r>
              <w:rPr>
                <w:spacing w:val="5"/>
              </w:rPr>
              <w:t>建设场地长105</w:t>
            </w:r>
            <w:r>
              <w:rPr>
                <w:rFonts w:ascii="Times New Roman" w:hAnsi="Times New Roman" w:eastAsia="Times New Roman" w:cs="Times New Roman"/>
                <w:spacing w:val="5"/>
              </w:rPr>
              <w:t>m,</w:t>
            </w:r>
            <w:r>
              <w:rPr>
                <w:rFonts w:ascii="Times New Roman" w:hAnsi="Times New Roman" w:eastAsia="Times New Roman" w:cs="Times New Roman"/>
                <w:spacing w:val="28"/>
              </w:rPr>
              <w:t xml:space="preserve">  </w:t>
            </w:r>
            <w:r>
              <w:rPr>
                <w:spacing w:val="5"/>
              </w:rPr>
              <w:t>宽</w:t>
            </w:r>
            <w:r>
              <w:t xml:space="preserve"> </w:t>
            </w:r>
            <w:r>
              <w:rPr>
                <w:spacing w:val="1"/>
              </w:rPr>
              <w:t>104.9</w:t>
            </w:r>
            <w:r>
              <w:rPr>
                <w:rFonts w:ascii="Times New Roman" w:hAnsi="Times New Roman" w:eastAsia="Times New Roman" w:cs="Times New Roman"/>
                <w:spacing w:val="1"/>
              </w:rPr>
              <w:t xml:space="preserve">m,   </w:t>
            </w:r>
            <w:r>
              <w:rPr>
                <w:spacing w:val="1"/>
              </w:rPr>
              <w:t>占地面积为1.1014</w:t>
            </w:r>
            <w:r>
              <w:rPr>
                <w:rFonts w:ascii="Times New Roman" w:hAnsi="Times New Roman" w:eastAsia="Times New Roman" w:cs="Times New Roman"/>
              </w:rPr>
              <w:t>hm</w:t>
            </w:r>
            <w:r>
              <w:rPr>
                <w:rFonts w:ascii="Times New Roman" w:hAnsi="Times New Roman" w:eastAsia="Times New Roman" w:cs="Times New Roman"/>
                <w:spacing w:val="1"/>
              </w:rPr>
              <w:t>²</w:t>
            </w:r>
            <w:r>
              <w:rPr>
                <w:spacing w:val="1"/>
              </w:rPr>
              <w:t>。升压站大门布置在场地东北侧，站内道路为最</w:t>
            </w:r>
            <w:r>
              <w:rPr>
                <w:spacing w:val="12"/>
              </w:rPr>
              <w:t xml:space="preserve"> </w:t>
            </w:r>
            <w:r>
              <w:t>小4.5</w:t>
            </w:r>
            <w:r>
              <w:rPr>
                <w:rFonts w:ascii="Times New Roman" w:hAnsi="Times New Roman" w:eastAsia="Times New Roman" w:cs="Times New Roman"/>
              </w:rPr>
              <w:t>m</w:t>
            </w:r>
            <w:r>
              <w:rPr>
                <w:rFonts w:ascii="Times New Roman" w:hAnsi="Times New Roman" w:eastAsia="Times New Roman" w:cs="Times New Roman"/>
                <w:spacing w:val="3"/>
              </w:rPr>
              <w:t xml:space="preserve"> </w:t>
            </w:r>
            <w:r>
              <w:t>宽混凝土路面，在站内形成环形通道，道路净高不小于4</w:t>
            </w:r>
            <w:r>
              <w:rPr>
                <w:rFonts w:ascii="Times New Roman" w:hAnsi="Times New Roman" w:eastAsia="Times New Roman" w:cs="Times New Roman"/>
              </w:rPr>
              <w:t>m</w:t>
            </w:r>
            <w:r>
              <w:t>。升压站35</w:t>
            </w:r>
            <w:r>
              <w:rPr>
                <w:rFonts w:ascii="Times New Roman" w:hAnsi="Times New Roman" w:eastAsia="Times New Roman" w:cs="Times New Roman"/>
              </w:rPr>
              <w:t>kV</w:t>
            </w:r>
          </w:p>
        </w:tc>
      </w:tr>
    </w:tbl>
    <w:p w14:paraId="52B59AFA">
      <w:pPr>
        <w:pStyle w:val="2"/>
      </w:pPr>
    </w:p>
    <w:p w14:paraId="04DB7E04">
      <w:pPr>
        <w:sectPr>
          <w:footerReference r:id="rId43" w:type="default"/>
          <w:pgSz w:w="11910" w:h="16840"/>
          <w:pgMar w:top="1431" w:right="1410" w:bottom="1269" w:left="1380" w:header="0" w:footer="1089" w:gutter="0"/>
          <w:cols w:space="720" w:num="1"/>
        </w:sectPr>
      </w:pPr>
    </w:p>
    <w:p w14:paraId="1E8B2C30">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6D4E8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5A1C72C6">
            <w:pPr>
              <w:rPr>
                <w:rFonts w:ascii="Arial"/>
                <w:sz w:val="21"/>
              </w:rPr>
            </w:pPr>
          </w:p>
        </w:tc>
        <w:tc>
          <w:tcPr>
            <w:tcW w:w="8655" w:type="dxa"/>
            <w:vAlign w:val="top"/>
          </w:tcPr>
          <w:p w14:paraId="4247FE43">
            <w:pPr>
              <w:pStyle w:val="6"/>
              <w:spacing w:before="24" w:line="219" w:lineRule="auto"/>
              <w:ind w:left="110"/>
            </w:pPr>
            <w:r>
              <w:t>进线从南侧及北侧进入，220kV出线由北侧出线，各电气设</w:t>
            </w:r>
            <w:r>
              <w:rPr>
                <w:spacing w:val="-1"/>
              </w:rPr>
              <w:t>备之间通过电缆沟连</w:t>
            </w:r>
          </w:p>
          <w:p w14:paraId="05030B9E">
            <w:pPr>
              <w:pStyle w:val="6"/>
              <w:spacing w:before="172" w:line="361" w:lineRule="auto"/>
              <w:ind w:left="100" w:firstLine="9"/>
            </w:pPr>
            <w:r>
              <w:rPr>
                <w:spacing w:val="1"/>
              </w:rPr>
              <w:t>接。变电站东北侧布置综合楼及附属用房，东南角布置面积162m²的仓库和面积</w:t>
            </w:r>
            <w:r>
              <w:rPr>
                <w:spacing w:val="2"/>
              </w:rPr>
              <w:t xml:space="preserve">  </w:t>
            </w:r>
            <w:r>
              <w:rPr>
                <w:spacing w:val="1"/>
              </w:rPr>
              <w:t>69.3m²的危废品库，中部布置35</w:t>
            </w:r>
            <w:r>
              <w:t>kV</w:t>
            </w:r>
            <w:r>
              <w:rPr>
                <w:spacing w:val="1"/>
              </w:rPr>
              <w:t>预制舱、主</w:t>
            </w:r>
            <w:r>
              <w:t xml:space="preserve">变压器、GIS、接地变及事故油池， </w:t>
            </w:r>
            <w:r>
              <w:rPr>
                <w:spacing w:val="1"/>
              </w:rPr>
              <w:t>总建筑面积为1814.24m²。西北侧布置消防水池及水泵房。升压站四周设2.5m高</w:t>
            </w:r>
            <w:r>
              <w:rPr>
                <w:spacing w:val="7"/>
              </w:rPr>
              <w:t xml:space="preserve">  </w:t>
            </w:r>
            <w:r>
              <w:rPr>
                <w:spacing w:val="5"/>
              </w:rPr>
              <w:t>砖砌围墙。绿化面积2000m²。</w:t>
            </w:r>
          </w:p>
          <w:p w14:paraId="4B6835C2">
            <w:pPr>
              <w:pStyle w:val="6"/>
              <w:spacing w:before="3" w:line="221" w:lineRule="auto"/>
              <w:ind w:left="594"/>
            </w:pPr>
            <w:r>
              <w:rPr>
                <w:b/>
                <w:bCs/>
                <w:spacing w:val="-2"/>
              </w:rPr>
              <w:t>(2)升压站电气</w:t>
            </w:r>
          </w:p>
          <w:p w14:paraId="33C9DE7D">
            <w:pPr>
              <w:pStyle w:val="6"/>
              <w:spacing w:before="172" w:line="217" w:lineRule="auto"/>
              <w:ind w:left="590"/>
            </w:pPr>
            <w:r>
              <w:rPr>
                <w:spacing w:val="-1"/>
              </w:rPr>
              <w:t>①220KV主变压器</w:t>
            </w:r>
          </w:p>
          <w:p w14:paraId="638BC8CA">
            <w:pPr>
              <w:pStyle w:val="6"/>
              <w:spacing w:before="203" w:line="221" w:lineRule="auto"/>
              <w:ind w:left="590"/>
            </w:pPr>
            <w:r>
              <w:rPr>
                <w:spacing w:val="-1"/>
              </w:rPr>
              <w:t>型</w:t>
            </w:r>
            <w:r>
              <w:rPr>
                <w:spacing w:val="17"/>
              </w:rPr>
              <w:t xml:space="preserve">    </w:t>
            </w:r>
            <w:r>
              <w:rPr>
                <w:spacing w:val="-1"/>
              </w:rPr>
              <w:t>:SFZ18-120000/220GY;</w:t>
            </w:r>
          </w:p>
          <w:p w14:paraId="324FED61">
            <w:pPr>
              <w:pStyle w:val="6"/>
              <w:spacing w:before="180" w:line="219" w:lineRule="auto"/>
              <w:ind w:left="590"/>
            </w:pPr>
            <w:r>
              <w:rPr>
                <w:spacing w:val="5"/>
              </w:rPr>
              <w:t>额定容量：120</w:t>
            </w:r>
            <w:r>
              <w:t>MVA</w:t>
            </w:r>
            <w:r>
              <w:rPr>
                <w:spacing w:val="5"/>
              </w:rPr>
              <w:t>;</w:t>
            </w:r>
          </w:p>
          <w:p w14:paraId="7D21EF3B">
            <w:pPr>
              <w:pStyle w:val="6"/>
              <w:spacing w:before="178" w:line="221" w:lineRule="auto"/>
              <w:ind w:left="590"/>
            </w:pPr>
            <w:r>
              <w:rPr>
                <w:spacing w:val="2"/>
              </w:rPr>
              <w:t>电压比：230±8×1.25%/37</w:t>
            </w:r>
            <w:r>
              <w:t>kV</w:t>
            </w:r>
            <w:r>
              <w:rPr>
                <w:spacing w:val="2"/>
              </w:rPr>
              <w:t>;</w:t>
            </w:r>
          </w:p>
          <w:p w14:paraId="40A6D00A">
            <w:pPr>
              <w:pStyle w:val="6"/>
              <w:spacing w:before="180" w:line="219" w:lineRule="auto"/>
              <w:ind w:left="590"/>
            </w:pPr>
            <w:r>
              <w:rPr>
                <w:spacing w:val="5"/>
              </w:rPr>
              <w:t>阻抗电压：</w:t>
            </w:r>
            <w:r>
              <w:t>Ud</w:t>
            </w:r>
            <w:r>
              <w:rPr>
                <w:spacing w:val="5"/>
              </w:rPr>
              <w:t>%=14;</w:t>
            </w:r>
          </w:p>
          <w:p w14:paraId="3A9A7A02">
            <w:pPr>
              <w:pStyle w:val="6"/>
              <w:spacing w:before="172" w:line="216" w:lineRule="auto"/>
              <w:ind w:left="590"/>
            </w:pPr>
            <w:r>
              <w:rPr>
                <w:spacing w:val="5"/>
              </w:rPr>
              <w:t>联接组别：</w:t>
            </w:r>
            <w:r>
              <w:t>YN</w:t>
            </w:r>
            <w:r>
              <w:rPr>
                <w:spacing w:val="5"/>
              </w:rPr>
              <w:t>,d11;</w:t>
            </w:r>
          </w:p>
          <w:p w14:paraId="64228779">
            <w:pPr>
              <w:pStyle w:val="6"/>
              <w:spacing w:before="193" w:line="220" w:lineRule="auto"/>
              <w:ind w:left="590"/>
            </w:pPr>
            <w:r>
              <w:rPr>
                <w:spacing w:val="11"/>
              </w:rPr>
              <w:t>调压方式：有载调压；</w:t>
            </w:r>
          </w:p>
          <w:p w14:paraId="6A61F5D2">
            <w:pPr>
              <w:pStyle w:val="6"/>
              <w:spacing w:before="185" w:line="221" w:lineRule="auto"/>
              <w:ind w:left="590"/>
            </w:pPr>
            <w:r>
              <w:rPr>
                <w:spacing w:val="1"/>
              </w:rPr>
              <w:t>冷却方式：</w:t>
            </w:r>
            <w:r>
              <w:t>ONAF</w:t>
            </w:r>
            <w:r>
              <w:rPr>
                <w:spacing w:val="1"/>
              </w:rPr>
              <w:t>。</w:t>
            </w:r>
          </w:p>
          <w:p w14:paraId="2F60D30E">
            <w:pPr>
              <w:pStyle w:val="6"/>
              <w:spacing w:before="187" w:line="351" w:lineRule="auto"/>
              <w:ind w:left="121" w:firstLine="485"/>
            </w:pPr>
            <w:r>
              <w:t>主变排油系统包括主变场油池围堰、事故油池。油池围堰排油坡度不小于</w:t>
            </w:r>
            <w:r>
              <w:rPr>
                <w:spacing w:val="-1"/>
              </w:rPr>
              <w:t>1%,</w:t>
            </w:r>
            <w:r>
              <w:t xml:space="preserve"> </w:t>
            </w:r>
            <w:r>
              <w:rPr>
                <w:spacing w:val="-2"/>
              </w:rPr>
              <w:t>事故油池容量满足主变最大油量100%的容积。</w:t>
            </w:r>
          </w:p>
          <w:p w14:paraId="1E18716B">
            <w:pPr>
              <w:pStyle w:val="6"/>
              <w:spacing w:before="9" w:line="217" w:lineRule="auto"/>
              <w:ind w:left="590"/>
            </w:pPr>
            <w:r>
              <w:rPr>
                <w:spacing w:val="-1"/>
              </w:rPr>
              <w:t>②220kV配电装置</w:t>
            </w:r>
          </w:p>
          <w:p w14:paraId="06448103">
            <w:pPr>
              <w:pStyle w:val="6"/>
              <w:spacing w:before="176" w:line="362" w:lineRule="auto"/>
              <w:ind w:left="110" w:right="593" w:firstLine="489"/>
            </w:pPr>
            <w:r>
              <w:t>本项目升压站220kV配电装置选用六氟化硫组合电器(GIS),线路~变压器</w:t>
            </w:r>
            <w:r>
              <w:rPr>
                <w:spacing w:val="9"/>
              </w:rPr>
              <w:t xml:space="preserve"> </w:t>
            </w:r>
            <w:r>
              <w:t>组接线。</w:t>
            </w:r>
          </w:p>
          <w:p w14:paraId="4F1D386D">
            <w:pPr>
              <w:pStyle w:val="6"/>
              <w:spacing w:line="217" w:lineRule="auto"/>
              <w:ind w:left="590"/>
            </w:pPr>
            <w:r>
              <w:rPr>
                <w:spacing w:val="-1"/>
              </w:rPr>
              <w:t>③35kV高压开关柜配置</w:t>
            </w:r>
          </w:p>
          <w:p w14:paraId="4D8FFACD">
            <w:pPr>
              <w:pStyle w:val="6"/>
              <w:spacing w:before="189" w:line="362" w:lineRule="auto"/>
              <w:ind w:left="121" w:right="350" w:firstLine="479"/>
            </w:pPr>
            <w:r>
              <w:t>光伏电站升压站35kV配电装置采用金属的六氟化硫气体绝缘开关柜，本工</w:t>
            </w:r>
            <w:r>
              <w:rPr>
                <w:spacing w:val="12"/>
              </w:rPr>
              <w:t xml:space="preserve"> </w:t>
            </w:r>
            <w:r>
              <w:t>程升压站按如下配置：主变进线柜1面，集电线路进线柜</w:t>
            </w:r>
            <w:r>
              <w:rPr>
                <w:spacing w:val="-1"/>
              </w:rPr>
              <w:t>4面，母线电压互感器</w:t>
            </w:r>
            <w:r>
              <w:t xml:space="preserve"> 柜1面，动态无功补偿柜1面，站用变柜1面，接地变柜1面共计开关柜9</w:t>
            </w:r>
            <w:r>
              <w:rPr>
                <w:spacing w:val="-1"/>
              </w:rPr>
              <w:t>面，</w:t>
            </w:r>
          </w:p>
          <w:p w14:paraId="699F5171">
            <w:pPr>
              <w:pStyle w:val="6"/>
              <w:spacing w:line="219" w:lineRule="auto"/>
              <w:ind w:left="121"/>
            </w:pPr>
            <w:r>
              <w:t>均配置真空断路器。</w:t>
            </w:r>
          </w:p>
          <w:p w14:paraId="036A87E5">
            <w:pPr>
              <w:pStyle w:val="6"/>
              <w:spacing w:before="183" w:line="220" w:lineRule="auto"/>
              <w:ind w:left="724"/>
            </w:pPr>
            <w:r>
              <w:rPr>
                <w:b/>
                <w:bCs/>
                <w:spacing w:val="-3"/>
              </w:rPr>
              <w:t>(3)升压站建筑设计</w:t>
            </w:r>
          </w:p>
          <w:p w14:paraId="45174868">
            <w:pPr>
              <w:pStyle w:val="6"/>
              <w:spacing w:before="173" w:line="216" w:lineRule="auto"/>
              <w:ind w:left="600"/>
            </w:pPr>
            <w:r>
              <w:rPr>
                <w:spacing w:val="3"/>
              </w:rPr>
              <w:t>综合楼长27.3m,宽15.1m,建筑面积为836.5m²,为地上双层建筑，一层层</w:t>
            </w:r>
          </w:p>
          <w:p w14:paraId="109D92E5">
            <w:pPr>
              <w:pStyle w:val="6"/>
              <w:spacing w:before="189" w:line="343" w:lineRule="auto"/>
              <w:ind w:left="121" w:right="110"/>
            </w:pPr>
            <w:r>
              <w:t>高3.9m,二层层高3.6m。综合楼一层右侧布置中控室一间、宿舍两间、公共卫生</w:t>
            </w:r>
            <w:r>
              <w:rPr>
                <w:spacing w:val="5"/>
              </w:rPr>
              <w:t xml:space="preserve">  </w:t>
            </w:r>
            <w:r>
              <w:t>间、工具间各一间。右侧布置活动室、厨房、餐厅各一间。建筑物中部设门</w:t>
            </w:r>
            <w:r>
              <w:rPr>
                <w:spacing w:val="-1"/>
              </w:rPr>
              <w:t>厅，</w:t>
            </w:r>
            <w:r>
              <w:t xml:space="preserve"> 两侧设疏散出口。综合楼二层布置宿舍四间、办公室四间、会议室、资料室各一</w:t>
            </w:r>
          </w:p>
        </w:tc>
      </w:tr>
    </w:tbl>
    <w:p w14:paraId="4E830417">
      <w:pPr>
        <w:pStyle w:val="2"/>
      </w:pPr>
    </w:p>
    <w:p w14:paraId="0E7278D7">
      <w:pPr>
        <w:sectPr>
          <w:footerReference r:id="rId44" w:type="default"/>
          <w:pgSz w:w="11910" w:h="16840"/>
          <w:pgMar w:top="1431" w:right="1425" w:bottom="1269" w:left="1405" w:header="0" w:footer="1089" w:gutter="0"/>
          <w:cols w:space="720" w:num="1"/>
        </w:sectPr>
      </w:pPr>
    </w:p>
    <w:p w14:paraId="0F10575F">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5B4F5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73308079">
            <w:pPr>
              <w:rPr>
                <w:rFonts w:ascii="Arial"/>
                <w:sz w:val="21"/>
              </w:rPr>
            </w:pPr>
          </w:p>
        </w:tc>
        <w:tc>
          <w:tcPr>
            <w:tcW w:w="8655" w:type="dxa"/>
            <w:vAlign w:val="top"/>
          </w:tcPr>
          <w:p w14:paraId="5BA43244">
            <w:pPr>
              <w:pStyle w:val="6"/>
              <w:spacing w:before="24" w:line="219" w:lineRule="auto"/>
              <w:ind w:left="121"/>
            </w:pPr>
            <w:r>
              <w:rPr>
                <w:spacing w:val="-1"/>
              </w:rPr>
              <w:t>间。每个宿舍内设卫生间，方便员工生活。</w:t>
            </w:r>
          </w:p>
          <w:p w14:paraId="4DF2A722">
            <w:pPr>
              <w:pStyle w:val="6"/>
              <w:spacing w:before="181" w:line="219" w:lineRule="auto"/>
              <w:ind w:left="574"/>
            </w:pPr>
            <w:r>
              <w:rPr>
                <w:b/>
                <w:bCs/>
                <w:spacing w:val="-4"/>
              </w:rPr>
              <w:t>4、交通道路</w:t>
            </w:r>
          </w:p>
          <w:p w14:paraId="1C5C89EA">
            <w:pPr>
              <w:pStyle w:val="6"/>
              <w:spacing w:before="199" w:line="220" w:lineRule="auto"/>
              <w:ind w:left="701"/>
            </w:pPr>
            <w:r>
              <w:rPr>
                <w:spacing w:val="1"/>
              </w:rPr>
              <w:t>(1)对外交通</w:t>
            </w:r>
          </w:p>
          <w:p w14:paraId="320B13B7">
            <w:pPr>
              <w:pStyle w:val="6"/>
              <w:spacing w:before="161" w:line="219" w:lineRule="auto"/>
              <w:ind w:left="600"/>
            </w:pPr>
            <w:r>
              <w:t>几沃梁子农光互补光伏发电项目场址位于云南省曲靖市马龙区。距曲靖市直</w:t>
            </w:r>
          </w:p>
          <w:p w14:paraId="75F4DDB1">
            <w:pPr>
              <w:pStyle w:val="6"/>
              <w:spacing w:before="173" w:line="370" w:lineRule="auto"/>
              <w:ind w:left="90" w:right="832" w:firstLine="30"/>
            </w:pPr>
            <w:r>
              <w:t>线距离约45km,距离G56和G60高速公路直线距离7km。对外交通运输条件便</w:t>
            </w:r>
            <w:r>
              <w:rPr>
                <w:spacing w:val="10"/>
              </w:rPr>
              <w:t xml:space="preserve"> </w:t>
            </w:r>
            <w:r>
              <w:t>利。</w:t>
            </w:r>
          </w:p>
          <w:p w14:paraId="40BBD9E5">
            <w:pPr>
              <w:pStyle w:val="6"/>
              <w:spacing w:before="12" w:line="219" w:lineRule="auto"/>
              <w:ind w:left="701"/>
            </w:pPr>
            <w:r>
              <w:rPr>
                <w:spacing w:val="1"/>
              </w:rPr>
              <w:t>(2)场内道路</w:t>
            </w:r>
          </w:p>
          <w:p w14:paraId="48731098">
            <w:pPr>
              <w:pStyle w:val="6"/>
              <w:spacing w:before="164" w:line="357" w:lineRule="auto"/>
              <w:ind w:left="100" w:right="132" w:firstLine="499"/>
            </w:pPr>
            <w:r>
              <w:t>场区周边有多条乡村道路通往场区，交通便利，不进</w:t>
            </w:r>
            <w:r>
              <w:rPr>
                <w:spacing w:val="-1"/>
              </w:rPr>
              <w:t>行新建道路。对部分路</w:t>
            </w:r>
            <w:r>
              <w:t xml:space="preserve"> 面进行改造填平加宽，部分改造后的路面为20cm石渣路</w:t>
            </w:r>
            <w:r>
              <w:rPr>
                <w:spacing w:val="-1"/>
              </w:rPr>
              <w:t>面。</w:t>
            </w:r>
          </w:p>
          <w:p w14:paraId="6AB86B54">
            <w:pPr>
              <w:pStyle w:val="6"/>
              <w:spacing w:before="1" w:line="220" w:lineRule="auto"/>
              <w:ind w:left="584"/>
            </w:pPr>
            <w:r>
              <w:rPr>
                <w:b/>
                <w:bCs/>
                <w:spacing w:val="-5"/>
              </w:rPr>
              <w:t>5、公用工程</w:t>
            </w:r>
          </w:p>
          <w:p w14:paraId="63712183">
            <w:pPr>
              <w:pStyle w:val="6"/>
              <w:spacing w:before="176" w:line="219" w:lineRule="auto"/>
              <w:ind w:left="701"/>
            </w:pPr>
            <w:r>
              <w:rPr>
                <w:spacing w:val="2"/>
              </w:rPr>
              <w:t>(1)给水</w:t>
            </w:r>
          </w:p>
          <w:p w14:paraId="1E387F8E">
            <w:pPr>
              <w:pStyle w:val="6"/>
              <w:spacing w:before="185" w:line="359" w:lineRule="auto"/>
              <w:ind w:left="110" w:right="113" w:firstLine="489"/>
            </w:pPr>
            <w:r>
              <w:t>升压站生活用水于生活水池采用枝状管网供水到升压站各用水点，采用罐车</w:t>
            </w:r>
            <w:r>
              <w:rPr>
                <w:spacing w:val="9"/>
              </w:rPr>
              <w:t xml:space="preserve"> </w:t>
            </w:r>
            <w:r>
              <w:rPr>
                <w:spacing w:val="4"/>
              </w:rPr>
              <w:t>运水的方式向升压站内生活水池供水，生活水池容积200m³,</w:t>
            </w:r>
            <w:r>
              <w:rPr>
                <w:spacing w:val="3"/>
              </w:rPr>
              <w:t>兼做消防水池。直</w:t>
            </w:r>
            <w:r>
              <w:t xml:space="preserve">  饮水在附近乡镇购买桶装水。</w:t>
            </w:r>
          </w:p>
          <w:p w14:paraId="083FEFAC">
            <w:pPr>
              <w:pStyle w:val="6"/>
              <w:spacing w:line="218" w:lineRule="auto"/>
              <w:ind w:left="701"/>
            </w:pPr>
            <w:r>
              <w:t>太阳能板清洗采用罐车从附近水源运水至各用水点进行光伏板清</w:t>
            </w:r>
            <w:r>
              <w:rPr>
                <w:spacing w:val="-1"/>
              </w:rPr>
              <w:t>洗。</w:t>
            </w:r>
          </w:p>
          <w:p w14:paraId="6CFB5E8D">
            <w:pPr>
              <w:pStyle w:val="6"/>
              <w:spacing w:before="187" w:line="219" w:lineRule="auto"/>
              <w:ind w:left="701"/>
            </w:pPr>
            <w:r>
              <w:rPr>
                <w:spacing w:val="2"/>
              </w:rPr>
              <w:t>(2)排水</w:t>
            </w:r>
          </w:p>
          <w:p w14:paraId="2249934F">
            <w:pPr>
              <w:pStyle w:val="6"/>
              <w:spacing w:before="194" w:line="349" w:lineRule="auto"/>
              <w:ind w:left="121" w:firstLine="482"/>
            </w:pPr>
            <w:r>
              <w:rPr>
                <w:spacing w:val="-4"/>
              </w:rPr>
              <w:t>升压站采取雨污分流排水方式，站区雨水经沟渠收集后顺地势汇流至站址外。</w:t>
            </w:r>
            <w:r>
              <w:rPr>
                <w:spacing w:val="16"/>
              </w:rPr>
              <w:t xml:space="preserve"> </w:t>
            </w:r>
            <w:r>
              <w:rPr>
                <w:spacing w:val="-3"/>
              </w:rPr>
              <w:t>升压站员工生活污水经隔油池、化粪池预处理后再经一体化污水</w:t>
            </w:r>
            <w:r>
              <w:rPr>
                <w:spacing w:val="-4"/>
              </w:rPr>
              <w:t>处理设备处理达</w:t>
            </w:r>
          </w:p>
          <w:p w14:paraId="552D3F37">
            <w:pPr>
              <w:pStyle w:val="6"/>
              <w:spacing w:before="24" w:line="356" w:lineRule="auto"/>
              <w:ind w:left="130" w:right="471" w:hanging="10"/>
            </w:pPr>
            <w:r>
              <w:t>《城市污水再生利用城市杂用水水质》(GBT18920-2020)中绿化标准后，全部</w:t>
            </w:r>
            <w:r>
              <w:rPr>
                <w:spacing w:val="11"/>
              </w:rPr>
              <w:t xml:space="preserve"> </w:t>
            </w:r>
            <w:r>
              <w:rPr>
                <w:spacing w:val="-1"/>
              </w:rPr>
              <w:t>回用于升压站内绿化浇灌，不外排。</w:t>
            </w:r>
          </w:p>
          <w:p w14:paraId="5FD9E9F4">
            <w:pPr>
              <w:pStyle w:val="6"/>
              <w:spacing w:before="3" w:line="359" w:lineRule="auto"/>
              <w:ind w:left="110" w:right="115" w:firstLine="489"/>
              <w:jc w:val="both"/>
            </w:pPr>
            <w:r>
              <w:t>项目光伏板清洗废水直接顺着流在光伏板下面的农作物上，作为农作物灌溉</w:t>
            </w:r>
            <w:r>
              <w:rPr>
                <w:spacing w:val="7"/>
              </w:rPr>
              <w:t xml:space="preserve"> </w:t>
            </w:r>
            <w:r>
              <w:rPr>
                <w:spacing w:val="1"/>
              </w:rPr>
              <w:t>补充水，不外排；光伏板清洗频率为每年1次，清洗时</w:t>
            </w:r>
            <w:r>
              <w:t>间选择在金银花可浇灌期  进行。</w:t>
            </w:r>
          </w:p>
          <w:p w14:paraId="0372A56D">
            <w:pPr>
              <w:pStyle w:val="6"/>
              <w:spacing w:before="1" w:line="218" w:lineRule="auto"/>
              <w:ind w:left="701"/>
            </w:pPr>
            <w:r>
              <w:rPr>
                <w:spacing w:val="2"/>
              </w:rPr>
              <w:t>(3)供电</w:t>
            </w:r>
          </w:p>
          <w:p w14:paraId="2C06B064">
            <w:pPr>
              <w:pStyle w:val="6"/>
              <w:spacing w:before="185" w:line="219" w:lineRule="auto"/>
              <w:ind w:left="610"/>
            </w:pPr>
            <w:r>
              <w:t>施工期用电从附近10kV农网引接。运营期使用光伏电站供电系统自己供</w:t>
            </w:r>
            <w:r>
              <w:rPr>
                <w:spacing w:val="-1"/>
              </w:rPr>
              <w:t>给。</w:t>
            </w:r>
          </w:p>
          <w:p w14:paraId="3B5AE6EF">
            <w:pPr>
              <w:pStyle w:val="6"/>
              <w:spacing w:before="184" w:line="219" w:lineRule="auto"/>
              <w:ind w:left="704"/>
            </w:pPr>
            <w:r>
              <w:rPr>
                <w:b/>
                <w:bCs/>
                <w:spacing w:val="-4"/>
              </w:rPr>
              <w:t>6、农业项目种植方案</w:t>
            </w:r>
          </w:p>
          <w:p w14:paraId="53746CA6">
            <w:pPr>
              <w:pStyle w:val="6"/>
              <w:spacing w:before="186" w:line="356" w:lineRule="auto"/>
              <w:ind w:left="141" w:right="111" w:firstLine="459"/>
            </w:pPr>
            <w:r>
              <w:t>根据《云南省自然资源厅云南省能源局关于进一步支持光伏扶贫和规范光伏</w:t>
            </w:r>
            <w:r>
              <w:rPr>
                <w:spacing w:val="11"/>
              </w:rPr>
              <w:t xml:space="preserve"> </w:t>
            </w:r>
            <w:r>
              <w:t>发电产业用地的通知》(云自然资〔2019〕196号):“光伏复合项目架设在一般</w:t>
            </w:r>
          </w:p>
          <w:p w14:paraId="7E87C8DB">
            <w:pPr>
              <w:pStyle w:val="6"/>
              <w:spacing w:before="15" w:line="219" w:lineRule="auto"/>
              <w:ind w:left="121"/>
            </w:pPr>
            <w:r>
              <w:t>耕地或其他农用地上的光伏方阵用地，满足光伏组件最低沿高于地</w:t>
            </w:r>
            <w:r>
              <w:rPr>
                <w:spacing w:val="-1"/>
              </w:rPr>
              <w:t>面2.5米、高</w:t>
            </w:r>
          </w:p>
        </w:tc>
      </w:tr>
    </w:tbl>
    <w:p w14:paraId="41FD32DF">
      <w:pPr>
        <w:pStyle w:val="2"/>
      </w:pPr>
    </w:p>
    <w:p w14:paraId="27B2C55D">
      <w:pPr>
        <w:sectPr>
          <w:footerReference r:id="rId45" w:type="default"/>
          <w:pgSz w:w="11910" w:h="16840"/>
          <w:pgMar w:top="1431" w:right="1425" w:bottom="1255" w:left="1405" w:header="0" w:footer="1093" w:gutter="0"/>
          <w:cols w:space="720" w:num="1"/>
        </w:sectPr>
      </w:pPr>
    </w:p>
    <w:p w14:paraId="308EDEC9">
      <w:pPr>
        <w:spacing w:before="186" w:line="356" w:lineRule="auto"/>
        <w:ind w:left="163"/>
        <w:jc w:val="both"/>
        <w:rPr>
          <w:rFonts w:ascii="宋体" w:hAnsi="宋体" w:eastAsia="宋体" w:cs="宋体"/>
          <w:sz w:val="24"/>
          <w:szCs w:val="24"/>
        </w:rPr>
      </w:pPr>
      <w:r>
        <w:rPr>
          <w:rFonts w:ascii="宋体" w:hAnsi="宋体" w:eastAsia="宋体" w:cs="宋体"/>
          <w:spacing w:val="4"/>
          <w:sz w:val="24"/>
          <w:szCs w:val="24"/>
        </w:rPr>
        <w:t>于最高水位0.6米，桩基间列间距大于4米，行间距大于6.5米的架设要求；除桩</w:t>
      </w:r>
      <w:r>
        <w:rPr>
          <w:rFonts w:ascii="宋体" w:hAnsi="宋体" w:eastAsia="宋体" w:cs="宋体"/>
          <w:spacing w:val="18"/>
          <w:sz w:val="24"/>
          <w:szCs w:val="24"/>
        </w:rPr>
        <w:t xml:space="preserve"> </w:t>
      </w:r>
      <w:r>
        <w:rPr>
          <w:rFonts w:ascii="宋体" w:hAnsi="宋体" w:eastAsia="宋体" w:cs="宋体"/>
          <w:spacing w:val="1"/>
          <w:sz w:val="24"/>
          <w:szCs w:val="24"/>
        </w:rPr>
        <w:t>基用地外，严禁硬化地面(场内施工检修道路按土路设计)”。本项目的光伏支架</w:t>
      </w:r>
      <w:r>
        <w:rPr>
          <w:rFonts w:ascii="宋体" w:hAnsi="宋体" w:eastAsia="宋体" w:cs="宋体"/>
          <w:spacing w:val="15"/>
          <w:sz w:val="24"/>
          <w:szCs w:val="24"/>
        </w:rPr>
        <w:t xml:space="preserve"> </w:t>
      </w:r>
      <w:r>
        <w:rPr>
          <w:rFonts w:ascii="宋体" w:hAnsi="宋体" w:eastAsia="宋体" w:cs="宋体"/>
          <w:spacing w:val="5"/>
          <w:sz w:val="24"/>
          <w:szCs w:val="24"/>
        </w:rPr>
        <w:t>采用单列柱支架方案，组件最小离地高度2.5m,</w:t>
      </w:r>
      <w:r>
        <w:rPr>
          <w:rFonts w:ascii="宋体" w:hAnsi="宋体" w:eastAsia="宋体" w:cs="宋体"/>
          <w:spacing w:val="4"/>
          <w:sz w:val="24"/>
          <w:szCs w:val="24"/>
        </w:rPr>
        <w:t>为农业种植留有合理的空间，为</w:t>
      </w:r>
      <w:r>
        <w:rPr>
          <w:rFonts w:ascii="宋体" w:hAnsi="宋体" w:eastAsia="宋体" w:cs="宋体"/>
          <w:sz w:val="24"/>
          <w:szCs w:val="24"/>
        </w:rPr>
        <w:t xml:space="preserve"> 光伏复合项目实施提供了基本条件。</w:t>
      </w:r>
    </w:p>
    <w:p w14:paraId="30228ABC">
      <w:pPr>
        <w:spacing w:line="219" w:lineRule="auto"/>
        <w:ind w:left="653"/>
        <w:rPr>
          <w:rFonts w:ascii="宋体" w:hAnsi="宋体" w:eastAsia="宋体" w:cs="宋体"/>
          <w:sz w:val="24"/>
          <w:szCs w:val="24"/>
        </w:rPr>
      </w:pPr>
      <w:r>
        <w:rPr>
          <w:rFonts w:ascii="宋体" w:hAnsi="宋体" w:eastAsia="宋体" w:cs="宋体"/>
          <w:spacing w:val="10"/>
          <w:sz w:val="24"/>
          <w:szCs w:val="24"/>
        </w:rPr>
        <w:t>(1)农业种植地建设原则</w:t>
      </w:r>
    </w:p>
    <w:p w14:paraId="767192D4">
      <w:pPr>
        <w:spacing w:before="205" w:line="219" w:lineRule="auto"/>
        <w:ind w:left="653"/>
        <w:rPr>
          <w:rFonts w:ascii="宋体" w:hAnsi="宋体" w:eastAsia="宋体" w:cs="宋体"/>
          <w:sz w:val="24"/>
          <w:szCs w:val="24"/>
        </w:rPr>
      </w:pPr>
      <w:r>
        <w:rPr>
          <w:rFonts w:ascii="宋体" w:hAnsi="宋体" w:eastAsia="宋体" w:cs="宋体"/>
          <w:spacing w:val="5"/>
          <w:sz w:val="24"/>
          <w:szCs w:val="24"/>
        </w:rPr>
        <w:t>1)基地要建设在立地条件好，适宜农作</w:t>
      </w:r>
      <w:r>
        <w:rPr>
          <w:rFonts w:ascii="宋体" w:hAnsi="宋体" w:eastAsia="宋体" w:cs="宋体"/>
          <w:spacing w:val="4"/>
          <w:sz w:val="24"/>
          <w:szCs w:val="24"/>
        </w:rPr>
        <w:t>物生长的地方。</w:t>
      </w:r>
    </w:p>
    <w:p w14:paraId="3458B7AA">
      <w:pPr>
        <w:spacing w:before="165" w:line="219" w:lineRule="auto"/>
        <w:ind w:left="623"/>
        <w:rPr>
          <w:rFonts w:ascii="宋体" w:hAnsi="宋体" w:eastAsia="宋体" w:cs="宋体"/>
          <w:sz w:val="24"/>
          <w:szCs w:val="24"/>
        </w:rPr>
      </w:pPr>
      <w:r>
        <w:rPr>
          <w:rFonts w:ascii="宋体" w:hAnsi="宋体" w:eastAsia="宋体" w:cs="宋体"/>
          <w:spacing w:val="4"/>
          <w:sz w:val="24"/>
          <w:szCs w:val="24"/>
        </w:rPr>
        <w:t>2)尽量集中连片建设，便于实现规模化、产业化经营与管理。</w:t>
      </w:r>
    </w:p>
    <w:p w14:paraId="04B4D5D0">
      <w:pPr>
        <w:spacing w:before="196" w:line="220" w:lineRule="auto"/>
        <w:ind w:left="623"/>
        <w:rPr>
          <w:rFonts w:ascii="宋体" w:hAnsi="宋体" w:eastAsia="宋体" w:cs="宋体"/>
          <w:sz w:val="24"/>
          <w:szCs w:val="24"/>
        </w:rPr>
      </w:pPr>
      <w:r>
        <w:rPr>
          <w:rFonts w:ascii="宋体" w:hAnsi="宋体" w:eastAsia="宋体" w:cs="宋体"/>
          <w:spacing w:val="8"/>
          <w:sz w:val="24"/>
          <w:szCs w:val="24"/>
        </w:rPr>
        <w:t>3)基地要建在无公害的立地环境中。</w:t>
      </w:r>
    </w:p>
    <w:p w14:paraId="4BFAB1C9">
      <w:pPr>
        <w:spacing w:before="181" w:line="219" w:lineRule="auto"/>
        <w:ind w:left="623"/>
        <w:rPr>
          <w:rFonts w:ascii="宋体" w:hAnsi="宋体" w:eastAsia="宋体" w:cs="宋体"/>
          <w:sz w:val="24"/>
          <w:szCs w:val="24"/>
        </w:rPr>
      </w:pPr>
      <w:r>
        <w:rPr>
          <w:rFonts w:ascii="宋体" w:hAnsi="宋体" w:eastAsia="宋体" w:cs="宋体"/>
          <w:spacing w:val="9"/>
          <w:sz w:val="24"/>
          <w:szCs w:val="24"/>
        </w:rPr>
        <w:t>4)交通、供电、供水条件良好。</w:t>
      </w:r>
    </w:p>
    <w:p w14:paraId="7BA68CDA">
      <w:pPr>
        <w:spacing w:before="177" w:line="219" w:lineRule="auto"/>
        <w:ind w:left="643"/>
        <w:rPr>
          <w:rFonts w:ascii="宋体" w:hAnsi="宋体" w:eastAsia="宋体" w:cs="宋体"/>
          <w:sz w:val="24"/>
          <w:szCs w:val="24"/>
        </w:rPr>
      </w:pPr>
      <w:r>
        <w:rPr>
          <w:rFonts w:ascii="宋体" w:hAnsi="宋体" w:eastAsia="宋体" w:cs="宋体"/>
          <w:spacing w:val="17"/>
          <w:sz w:val="24"/>
          <w:szCs w:val="24"/>
        </w:rPr>
        <w:t>(2)农业种植规划</w:t>
      </w:r>
    </w:p>
    <w:p w14:paraId="6B748578">
      <w:pPr>
        <w:spacing w:before="175" w:line="219" w:lineRule="auto"/>
        <w:ind w:left="663"/>
        <w:rPr>
          <w:rFonts w:ascii="宋体" w:hAnsi="宋体" w:eastAsia="宋体" w:cs="宋体"/>
          <w:sz w:val="24"/>
          <w:szCs w:val="24"/>
        </w:rPr>
      </w:pPr>
      <w:r>
        <w:rPr>
          <w:rFonts w:ascii="宋体" w:hAnsi="宋体" w:eastAsia="宋体" w:cs="宋体"/>
          <w:spacing w:val="21"/>
          <w:sz w:val="24"/>
          <w:szCs w:val="24"/>
        </w:rPr>
        <w:t>1)建设规模</w:t>
      </w:r>
    </w:p>
    <w:p w14:paraId="604C3630">
      <w:pPr>
        <w:spacing w:before="182" w:line="355" w:lineRule="auto"/>
        <w:ind w:left="163" w:right="2" w:firstLine="489"/>
        <w:rPr>
          <w:rFonts w:ascii="宋体" w:hAnsi="宋体" w:eastAsia="宋体" w:cs="宋体"/>
          <w:sz w:val="24"/>
          <w:szCs w:val="24"/>
        </w:rPr>
      </w:pPr>
      <w:r>
        <w:rPr>
          <w:rFonts w:ascii="宋体" w:hAnsi="宋体" w:eastAsia="宋体" w:cs="宋体"/>
          <w:spacing w:val="8"/>
          <w:sz w:val="24"/>
          <w:szCs w:val="24"/>
        </w:rPr>
        <w:t>本光伏发电项目中农业产业种植规模166.0263</w:t>
      </w:r>
      <w:r>
        <w:rPr>
          <w:rFonts w:ascii="宋体" w:hAnsi="宋体" w:eastAsia="宋体" w:cs="宋体"/>
          <w:sz w:val="24"/>
          <w:szCs w:val="24"/>
        </w:rPr>
        <w:t>hm</w:t>
      </w:r>
      <w:r>
        <w:rPr>
          <w:rFonts w:ascii="宋体" w:hAnsi="宋体" w:eastAsia="宋体" w:cs="宋体"/>
          <w:spacing w:val="8"/>
          <w:sz w:val="24"/>
          <w:szCs w:val="24"/>
        </w:rPr>
        <w:t>²,主</w:t>
      </w:r>
      <w:r>
        <w:rPr>
          <w:rFonts w:ascii="宋体" w:hAnsi="宋体" w:eastAsia="宋体" w:cs="宋体"/>
          <w:spacing w:val="7"/>
          <w:sz w:val="24"/>
          <w:szCs w:val="24"/>
        </w:rPr>
        <w:t>要种植高附加值的金</w:t>
      </w:r>
      <w:r>
        <w:rPr>
          <w:rFonts w:ascii="宋体" w:hAnsi="宋体" w:eastAsia="宋体" w:cs="宋体"/>
          <w:sz w:val="24"/>
          <w:szCs w:val="24"/>
        </w:rPr>
        <w:t xml:space="preserve"> </w:t>
      </w:r>
      <w:r>
        <w:rPr>
          <w:rFonts w:ascii="宋体" w:hAnsi="宋体" w:eastAsia="宋体" w:cs="宋体"/>
          <w:spacing w:val="10"/>
          <w:sz w:val="24"/>
          <w:szCs w:val="24"/>
        </w:rPr>
        <w:t>银花。株行距均为1.5～2m,每亩株树为167～296株。</w:t>
      </w:r>
    </w:p>
    <w:p w14:paraId="6527AD50">
      <w:pPr>
        <w:spacing w:line="218" w:lineRule="auto"/>
        <w:ind w:left="643"/>
        <w:rPr>
          <w:rFonts w:ascii="宋体" w:hAnsi="宋体" w:eastAsia="宋体" w:cs="宋体"/>
          <w:sz w:val="24"/>
          <w:szCs w:val="24"/>
        </w:rPr>
      </w:pPr>
      <w:r>
        <w:rPr>
          <w:rFonts w:ascii="宋体" w:hAnsi="宋体" w:eastAsia="宋体" w:cs="宋体"/>
          <w:spacing w:val="16"/>
          <w:sz w:val="24"/>
          <w:szCs w:val="24"/>
        </w:rPr>
        <w:t>2)种子组织和供应</w:t>
      </w:r>
    </w:p>
    <w:p w14:paraId="3E69D52C">
      <w:pPr>
        <w:spacing w:before="186" w:line="219" w:lineRule="auto"/>
        <w:ind w:left="663"/>
        <w:rPr>
          <w:rFonts w:ascii="宋体" w:hAnsi="宋体" w:eastAsia="宋体" w:cs="宋体"/>
          <w:sz w:val="24"/>
          <w:szCs w:val="24"/>
        </w:rPr>
      </w:pPr>
      <w:r>
        <w:rPr>
          <w:rFonts w:ascii="宋体" w:hAnsi="宋体" w:eastAsia="宋体" w:cs="宋体"/>
          <w:spacing w:val="-3"/>
          <w:sz w:val="24"/>
          <w:szCs w:val="24"/>
        </w:rPr>
        <w:t>农业种植所有的种子和种苗由项目公司提供。</w:t>
      </w:r>
    </w:p>
    <w:p w14:paraId="49752883">
      <w:pPr>
        <w:spacing w:before="197" w:line="219" w:lineRule="auto"/>
        <w:ind w:left="643"/>
        <w:rPr>
          <w:rFonts w:ascii="宋体" w:hAnsi="宋体" w:eastAsia="宋体" w:cs="宋体"/>
          <w:sz w:val="24"/>
          <w:szCs w:val="24"/>
        </w:rPr>
      </w:pPr>
      <w:r>
        <w:rPr>
          <w:rFonts w:ascii="宋体" w:hAnsi="宋体" w:eastAsia="宋体" w:cs="宋体"/>
          <w:spacing w:val="16"/>
          <w:sz w:val="24"/>
          <w:szCs w:val="24"/>
        </w:rPr>
        <w:t>(3)农业种植方案</w:t>
      </w:r>
    </w:p>
    <w:p w14:paraId="1DE09E41">
      <w:pPr>
        <w:spacing w:before="176" w:line="362" w:lineRule="auto"/>
        <w:ind w:left="153" w:right="3" w:firstLine="509"/>
        <w:rPr>
          <w:rFonts w:ascii="宋体" w:hAnsi="宋体" w:eastAsia="宋体" w:cs="宋体"/>
          <w:sz w:val="24"/>
          <w:szCs w:val="24"/>
        </w:rPr>
      </w:pPr>
      <w:r>
        <w:rPr>
          <w:rFonts w:ascii="宋体" w:hAnsi="宋体" w:eastAsia="宋体" w:cs="宋体"/>
          <w:spacing w:val="1"/>
          <w:sz w:val="24"/>
          <w:szCs w:val="24"/>
        </w:rPr>
        <w:t>由于光伏组件有22°倾斜面，可大大降低风速，调节气温，为</w:t>
      </w:r>
      <w:r>
        <w:rPr>
          <w:rFonts w:ascii="宋体" w:hAnsi="宋体" w:eastAsia="宋体" w:cs="宋体"/>
          <w:sz w:val="24"/>
          <w:szCs w:val="24"/>
        </w:rPr>
        <w:t xml:space="preserve">农业种植营造 </w:t>
      </w:r>
      <w:r>
        <w:rPr>
          <w:rFonts w:ascii="宋体" w:hAnsi="宋体" w:eastAsia="宋体" w:cs="宋体"/>
          <w:spacing w:val="2"/>
          <w:sz w:val="24"/>
          <w:szCs w:val="24"/>
        </w:rPr>
        <w:t>一个适宜环境，板下温度较低，还可以大大减少病虫</w:t>
      </w:r>
      <w:r>
        <w:rPr>
          <w:rFonts w:ascii="宋体" w:hAnsi="宋体" w:eastAsia="宋体" w:cs="宋体"/>
          <w:spacing w:val="1"/>
          <w:sz w:val="24"/>
          <w:szCs w:val="24"/>
        </w:rPr>
        <w:t>害的发生。光伏阵列可很好</w:t>
      </w:r>
      <w:r>
        <w:rPr>
          <w:rFonts w:ascii="宋体" w:hAnsi="宋体" w:eastAsia="宋体" w:cs="宋体"/>
          <w:sz w:val="24"/>
          <w:szCs w:val="24"/>
        </w:rPr>
        <w:t xml:space="preserve"> </w:t>
      </w:r>
      <w:r>
        <w:rPr>
          <w:rFonts w:ascii="宋体" w:hAnsi="宋体" w:eastAsia="宋体" w:cs="宋体"/>
          <w:spacing w:val="2"/>
          <w:sz w:val="24"/>
          <w:szCs w:val="24"/>
        </w:rPr>
        <w:t>地控制光照强度和光照时间，减轻强光对农作物的危</w:t>
      </w:r>
      <w:r>
        <w:rPr>
          <w:rFonts w:ascii="宋体" w:hAnsi="宋体" w:eastAsia="宋体" w:cs="宋体"/>
          <w:spacing w:val="1"/>
          <w:sz w:val="24"/>
          <w:szCs w:val="24"/>
        </w:rPr>
        <w:t>害，提高农作物品质，减轻</w:t>
      </w:r>
      <w:r>
        <w:rPr>
          <w:rFonts w:ascii="宋体" w:hAnsi="宋体" w:eastAsia="宋体" w:cs="宋体"/>
          <w:sz w:val="24"/>
          <w:szCs w:val="24"/>
        </w:rPr>
        <w:t xml:space="preserve"> </w:t>
      </w:r>
      <w:r>
        <w:rPr>
          <w:rFonts w:ascii="宋体" w:hAnsi="宋体" w:eastAsia="宋体" w:cs="宋体"/>
          <w:spacing w:val="1"/>
          <w:sz w:val="24"/>
          <w:szCs w:val="24"/>
        </w:rPr>
        <w:t>老化，延长采收期和销售期，起到自然保鲜作用。单列柱斜顶支架种植采用敞开</w:t>
      </w:r>
      <w:r>
        <w:rPr>
          <w:rFonts w:ascii="宋体" w:hAnsi="宋体" w:eastAsia="宋体" w:cs="宋体"/>
          <w:spacing w:val="14"/>
          <w:sz w:val="24"/>
          <w:szCs w:val="24"/>
        </w:rPr>
        <w:t xml:space="preserve"> </w:t>
      </w:r>
      <w:r>
        <w:rPr>
          <w:rFonts w:ascii="宋体" w:hAnsi="宋体" w:eastAsia="宋体" w:cs="宋体"/>
          <w:spacing w:val="1"/>
          <w:sz w:val="24"/>
          <w:szCs w:val="24"/>
        </w:rPr>
        <w:t>式农业种植。主要考虑在自然地形上种植保水保土作用明显，又具有较高经济价</w:t>
      </w:r>
      <w:r>
        <w:rPr>
          <w:rFonts w:ascii="宋体" w:hAnsi="宋体" w:eastAsia="宋体" w:cs="宋体"/>
          <w:spacing w:val="14"/>
          <w:sz w:val="24"/>
          <w:szCs w:val="24"/>
        </w:rPr>
        <w:t xml:space="preserve"> </w:t>
      </w:r>
      <w:r>
        <w:rPr>
          <w:rFonts w:ascii="宋体" w:hAnsi="宋体" w:eastAsia="宋体" w:cs="宋体"/>
          <w:spacing w:val="1"/>
          <w:sz w:val="24"/>
          <w:szCs w:val="24"/>
        </w:rPr>
        <w:t>值的喜阴性植物。</w:t>
      </w:r>
    </w:p>
    <w:p w14:paraId="5CEF6CBC">
      <w:pPr>
        <w:spacing w:before="125" w:line="2160" w:lineRule="exact"/>
        <w:ind w:firstLine="293"/>
      </w:pPr>
      <w:r>
        <w:rPr>
          <w:position w:val="-43"/>
        </w:rPr>
        <w:drawing>
          <wp:inline distT="0" distB="0" distL="0" distR="0">
            <wp:extent cx="5213350" cy="137160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75"/>
                    <a:stretch>
                      <a:fillRect/>
                    </a:stretch>
                  </pic:blipFill>
                  <pic:spPr>
                    <a:xfrm>
                      <a:off x="0" y="0"/>
                      <a:ext cx="5213374" cy="1371642"/>
                    </a:xfrm>
                    <a:prstGeom prst="rect">
                      <a:avLst/>
                    </a:prstGeom>
                  </pic:spPr>
                </pic:pic>
              </a:graphicData>
            </a:graphic>
          </wp:inline>
        </w:drawing>
      </w:r>
    </w:p>
    <w:p w14:paraId="0995EA34">
      <w:pPr>
        <w:spacing w:before="257" w:line="219" w:lineRule="auto"/>
        <w:ind w:left="2356"/>
        <w:rPr>
          <w:rFonts w:ascii="宋体" w:hAnsi="宋体" w:eastAsia="宋体" w:cs="宋体"/>
          <w:sz w:val="24"/>
          <w:szCs w:val="24"/>
        </w:rPr>
      </w:pPr>
      <w:r>
        <w:rPr>
          <w:rFonts w:ascii="宋体" w:hAnsi="宋体" w:eastAsia="宋体" w:cs="宋体"/>
          <w:b/>
          <w:bCs/>
          <w:spacing w:val="4"/>
          <w:sz w:val="24"/>
          <w:szCs w:val="24"/>
        </w:rPr>
        <w:t>图2-2单列柱斜顶支架农业种植示意图</w:t>
      </w:r>
    </w:p>
    <w:p w14:paraId="1305F381">
      <w:pPr>
        <w:spacing w:before="9" w:line="219" w:lineRule="auto"/>
        <w:ind w:left="653"/>
        <w:rPr>
          <w:rFonts w:ascii="宋体" w:hAnsi="宋体" w:eastAsia="宋体" w:cs="宋体"/>
          <w:sz w:val="24"/>
          <w:szCs w:val="24"/>
        </w:rPr>
      </w:pPr>
      <w:r>
        <w:rPr>
          <w:rFonts w:ascii="宋体" w:hAnsi="宋体" w:eastAsia="宋体" w:cs="宋体"/>
          <w:spacing w:val="14"/>
          <w:sz w:val="24"/>
          <w:szCs w:val="24"/>
        </w:rPr>
        <w:t>(4)金银花种植方案</w:t>
      </w:r>
    </w:p>
    <w:p w14:paraId="6E382F84">
      <w:pPr>
        <w:spacing w:line="219" w:lineRule="auto"/>
        <w:rPr>
          <w:rFonts w:ascii="宋体" w:hAnsi="宋体" w:eastAsia="宋体" w:cs="宋体"/>
          <w:sz w:val="24"/>
          <w:szCs w:val="24"/>
        </w:rPr>
        <w:sectPr>
          <w:footerReference r:id="rId46" w:type="default"/>
          <w:pgSz w:w="11910" w:h="16840"/>
          <w:pgMar w:top="1431" w:right="1507" w:bottom="1253" w:left="1786" w:header="0" w:footer="1091" w:gutter="0"/>
          <w:cols w:space="720" w:num="1"/>
        </w:sectPr>
      </w:pPr>
    </w:p>
    <w:p w14:paraId="6B99B3BA">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
        <w:gridCol w:w="8635"/>
      </w:tblGrid>
      <w:tr w14:paraId="5105C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59" w:hRule="atLeast"/>
        </w:trPr>
        <w:tc>
          <w:tcPr>
            <w:tcW w:w="434" w:type="dxa"/>
            <w:vAlign w:val="top"/>
          </w:tcPr>
          <w:p w14:paraId="25705EC8">
            <w:pPr>
              <w:rPr>
                <w:rFonts w:ascii="Arial"/>
                <w:sz w:val="21"/>
              </w:rPr>
            </w:pPr>
          </w:p>
        </w:tc>
        <w:tc>
          <w:tcPr>
            <w:tcW w:w="8635" w:type="dxa"/>
            <w:vAlign w:val="top"/>
          </w:tcPr>
          <w:p w14:paraId="22053C97">
            <w:pPr>
              <w:pStyle w:val="6"/>
              <w:spacing w:before="32" w:line="358" w:lineRule="auto"/>
              <w:ind w:left="111" w:right="53" w:firstLine="479"/>
              <w:jc w:val="both"/>
            </w:pPr>
            <w:r>
              <w:t>金银花又称双花、银花、金花、二宝花，系忍冬科忍冬属忍冬种，为半常年</w:t>
            </w:r>
            <w:r>
              <w:rPr>
                <w:spacing w:val="9"/>
              </w:rPr>
              <w:t xml:space="preserve"> </w:t>
            </w:r>
            <w:r>
              <w:rPr>
                <w:spacing w:val="2"/>
              </w:rPr>
              <w:t>率多年灌木。金银花浑身都是宝，叶、蔓、花均可入药</w:t>
            </w:r>
            <w:r>
              <w:rPr>
                <w:spacing w:val="1"/>
              </w:rPr>
              <w:t>，是一种常用的中药材。</w:t>
            </w:r>
            <w:r>
              <w:t xml:space="preserve"> 金银花年生长发育阶段可分为六个生育期，即萌芽展叶期、露序期、现蕾期、开</w:t>
            </w:r>
            <w:r>
              <w:rPr>
                <w:spacing w:val="9"/>
              </w:rPr>
              <w:t xml:space="preserve"> </w:t>
            </w:r>
            <w:r>
              <w:t>花期、缓慢生长期和休眠越冬期。</w:t>
            </w:r>
          </w:p>
          <w:p w14:paraId="6796982E">
            <w:pPr>
              <w:pStyle w:val="6"/>
              <w:spacing w:before="1" w:line="361" w:lineRule="auto"/>
              <w:ind w:left="111" w:firstLine="469"/>
              <w:jc w:val="both"/>
            </w:pPr>
            <w:r>
              <w:t>对土壤的要求：金银花耐瘠薄，对土壤要求不严格。壤土，</w:t>
            </w:r>
            <w:r>
              <w:rPr>
                <w:spacing w:val="-1"/>
              </w:rPr>
              <w:t>粘土，沙壤土，</w:t>
            </w:r>
            <w:r>
              <w:t xml:space="preserve">  </w:t>
            </w:r>
            <w:r>
              <w:rPr>
                <w:spacing w:val="3"/>
              </w:rPr>
              <w:t>盐碱地等酸碱性土壤、荒薄粘重的土壤均能生长。性喜好肥沃，以疏松、深厚、</w:t>
            </w:r>
            <w:r>
              <w:rPr>
                <w:spacing w:val="7"/>
              </w:rPr>
              <w:t xml:space="preserve"> </w:t>
            </w:r>
            <w:r>
              <w:t>较肥沃的沙质壤土地生长最好。</w:t>
            </w:r>
          </w:p>
          <w:p w14:paraId="3DE1BD4B">
            <w:pPr>
              <w:pStyle w:val="6"/>
              <w:spacing w:line="359" w:lineRule="auto"/>
              <w:ind w:left="101" w:right="104" w:firstLine="469"/>
              <w:jc w:val="both"/>
            </w:pPr>
            <w:r>
              <w:t>对水分的要求：金银花耐干旱，对水分要求不十分严格。金银花喜湿润，常</w:t>
            </w:r>
            <w:r>
              <w:rPr>
                <w:spacing w:val="12"/>
              </w:rPr>
              <w:t xml:space="preserve"> </w:t>
            </w:r>
            <w:r>
              <w:t>见在阴湿的坡地和沟河旁生长，在土壤水分适宜的环境条件下，生长茂盛，产量</w:t>
            </w:r>
            <w:r>
              <w:rPr>
                <w:spacing w:val="18"/>
              </w:rPr>
              <w:t xml:space="preserve"> </w:t>
            </w:r>
            <w:r>
              <w:t>甚高。</w:t>
            </w:r>
          </w:p>
          <w:p w14:paraId="30660C37">
            <w:pPr>
              <w:pStyle w:val="6"/>
              <w:spacing w:before="3" w:line="359" w:lineRule="auto"/>
              <w:ind w:left="111" w:right="53" w:firstLine="469"/>
            </w:pPr>
            <w:r>
              <w:t>对光照的要求：金银花喜光照，但又耐庇荫，在阴坡</w:t>
            </w:r>
            <w:r>
              <w:rPr>
                <w:spacing w:val="-1"/>
              </w:rPr>
              <w:t>上或林木树下，植株生</w:t>
            </w:r>
            <w:r>
              <w:t xml:space="preserve"> 长仍然很好，但遇光照过分不足，影响花芽分化形成</w:t>
            </w:r>
            <w:r>
              <w:rPr>
                <w:spacing w:val="-1"/>
              </w:rPr>
              <w:t>，则花蕾数量明显减少。特</w:t>
            </w:r>
            <w:r>
              <w:t xml:space="preserve"> </w:t>
            </w:r>
            <w:r>
              <w:rPr>
                <w:spacing w:val="2"/>
              </w:rPr>
              <w:t>别在任其自然生长的条件下，枝稠叶密，内膛通风透光</w:t>
            </w:r>
            <w:r>
              <w:rPr>
                <w:spacing w:val="1"/>
              </w:rPr>
              <w:t>不良，易导致病害加重，</w:t>
            </w:r>
            <w:r>
              <w:t xml:space="preserve"> </w:t>
            </w:r>
            <w:r>
              <w:rPr>
                <w:spacing w:val="2"/>
              </w:rPr>
              <w:t>引起内部枝条干枯死亡，结果枝仅分布在植株外围，</w:t>
            </w:r>
            <w:r>
              <w:rPr>
                <w:spacing w:val="1"/>
              </w:rPr>
              <w:t>结果部位减少，产量低下。</w:t>
            </w:r>
          </w:p>
          <w:p w14:paraId="44C79AE3">
            <w:pPr>
              <w:pStyle w:val="6"/>
              <w:spacing w:before="9" w:line="353" w:lineRule="auto"/>
              <w:ind w:left="90" w:right="130" w:firstLine="489"/>
            </w:pPr>
            <w:r>
              <w:t>对温度的要求：金银花适生长于温暖湿润的气候条件</w:t>
            </w:r>
            <w:r>
              <w:rPr>
                <w:spacing w:val="-1"/>
              </w:rPr>
              <w:t>下。当早春日平均气温</w:t>
            </w:r>
            <w:r>
              <w:t xml:space="preserve"> </w:t>
            </w:r>
            <w:r>
              <w:rPr>
                <w:spacing w:val="3"/>
              </w:rPr>
              <w:t>上升到5℃时，越冬芽即开始萌动，随着气温的升高，芽体增大并逐渐展叶；日</w:t>
            </w:r>
            <w:r>
              <w:rPr>
                <w:spacing w:val="17"/>
              </w:rPr>
              <w:t xml:space="preserve"> </w:t>
            </w:r>
            <w:r>
              <w:t>平均气温上升到15℃时，开始现蕾；日平均气温达到20</w:t>
            </w:r>
            <w:r>
              <w:rPr>
                <w:spacing w:val="-1"/>
              </w:rPr>
              <w:t>℃时，花蕾发育成熟并</w:t>
            </w:r>
          </w:p>
          <w:p w14:paraId="04BE23FE">
            <w:pPr>
              <w:pStyle w:val="6"/>
              <w:spacing w:before="3" w:line="362" w:lineRule="auto"/>
              <w:ind w:left="101" w:right="162" w:firstLine="70"/>
            </w:pPr>
            <w:r>
              <w:t>相继开放。巨丰金银花最适宜生长温度为20-28℃,冬季气温下降到-25℃时，就</w:t>
            </w:r>
            <w:r>
              <w:rPr>
                <w:spacing w:val="10"/>
              </w:rPr>
              <w:t xml:space="preserve"> </w:t>
            </w:r>
            <w:r>
              <w:t>会遭受到严重冻害。</w:t>
            </w:r>
          </w:p>
          <w:p w14:paraId="4CED3026">
            <w:pPr>
              <w:pStyle w:val="6"/>
              <w:spacing w:line="219" w:lineRule="auto"/>
              <w:ind w:left="470"/>
            </w:pPr>
            <w:r>
              <w:t>栽植时间：金银花四季均可栽植，9月中旬~翌年3月中旬栽植成活率较高，</w:t>
            </w:r>
          </w:p>
          <w:p w14:paraId="608472DF">
            <w:pPr>
              <w:pStyle w:val="6"/>
              <w:spacing w:before="182" w:line="359" w:lineRule="auto"/>
              <w:ind w:left="50" w:firstLine="59"/>
            </w:pPr>
            <w:r>
              <w:rPr>
                <w:spacing w:val="-2"/>
              </w:rPr>
              <w:t>华北地区以南以秋季栽植为好。此期气温虽然明显下降，但低温仍在适宜根系生</w:t>
            </w:r>
            <w:r>
              <w:rPr>
                <w:spacing w:val="8"/>
              </w:rPr>
              <w:t xml:space="preserve">  </w:t>
            </w:r>
            <w:r>
              <w:rPr>
                <w:spacing w:val="-2"/>
              </w:rPr>
              <w:t>长的范围之内，新栽的金银花在士壤冻结以前伤根可以愈合，并能发出大量新根，</w:t>
            </w:r>
            <w:r>
              <w:rPr>
                <w:spacing w:val="5"/>
              </w:rPr>
              <w:t xml:space="preserve"> </w:t>
            </w:r>
            <w:r>
              <w:t>成活率高，来年春季长势旺，缓苗时间短，产花量大，翌年后定植的金银花虽然</w:t>
            </w:r>
            <w:r>
              <w:rPr>
                <w:spacing w:val="3"/>
              </w:rPr>
              <w:t xml:space="preserve">  </w:t>
            </w:r>
            <w:r>
              <w:t>可成活，但发芽和根系愈合生长同步进行，地上部和地下部争夺养分、水分矛盾</w:t>
            </w:r>
            <w:r>
              <w:rPr>
                <w:spacing w:val="6"/>
              </w:rPr>
              <w:t xml:space="preserve">  </w:t>
            </w:r>
            <w:r>
              <w:t>突出，缓苗时间长，前期长势差，当年产量小。</w:t>
            </w:r>
          </w:p>
          <w:p w14:paraId="389D32D6">
            <w:pPr>
              <w:pStyle w:val="6"/>
              <w:spacing w:before="18" w:line="221" w:lineRule="auto"/>
              <w:ind w:left="94"/>
            </w:pPr>
            <w:r>
              <w:rPr>
                <w:b/>
                <w:bCs/>
                <w:spacing w:val="-2"/>
              </w:rPr>
              <w:t>四、主要设备</w:t>
            </w:r>
          </w:p>
          <w:p w14:paraId="595BC630">
            <w:pPr>
              <w:pStyle w:val="6"/>
              <w:spacing w:before="193" w:line="219" w:lineRule="auto"/>
              <w:ind w:left="590"/>
            </w:pPr>
            <w:r>
              <w:rPr>
                <w:spacing w:val="1"/>
              </w:rPr>
              <w:t>项目拟采用的设备见表2-4。</w:t>
            </w:r>
          </w:p>
          <w:p w14:paraId="38DFD324">
            <w:pPr>
              <w:spacing w:line="271" w:lineRule="auto"/>
              <w:rPr>
                <w:rFonts w:ascii="Arial"/>
                <w:sz w:val="21"/>
              </w:rPr>
            </w:pPr>
          </w:p>
          <w:p w14:paraId="66B38679">
            <w:pPr>
              <w:spacing w:line="272" w:lineRule="auto"/>
              <w:rPr>
                <w:rFonts w:ascii="Arial"/>
                <w:sz w:val="21"/>
              </w:rPr>
            </w:pPr>
          </w:p>
          <w:p w14:paraId="4BCB7747">
            <w:pPr>
              <w:pStyle w:val="6"/>
              <w:spacing w:before="78" w:line="182" w:lineRule="auto"/>
              <w:ind w:left="2694"/>
            </w:pPr>
            <w:r>
              <w:rPr>
                <w:b/>
                <w:bCs/>
                <w:spacing w:val="-4"/>
              </w:rPr>
              <w:t>表2-4项目主要设备清单一览表</w:t>
            </w:r>
          </w:p>
        </w:tc>
      </w:tr>
    </w:tbl>
    <w:p w14:paraId="4D7488D4">
      <w:pPr>
        <w:pStyle w:val="2"/>
      </w:pPr>
    </w:p>
    <w:p w14:paraId="591BCA75">
      <w:pPr>
        <w:sectPr>
          <w:footerReference r:id="rId47" w:type="default"/>
          <w:pgSz w:w="11910" w:h="16840"/>
          <w:pgMar w:top="1431" w:right="1425" w:bottom="1268" w:left="1405" w:header="0" w:footer="1089" w:gutter="0"/>
          <w:cols w:space="720" w:num="1"/>
        </w:sectPr>
      </w:pPr>
    </w:p>
    <w:p w14:paraId="11A872E2">
      <w:pPr>
        <w:spacing w:line="93" w:lineRule="exact"/>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20"/>
        <w:gridCol w:w="539"/>
        <w:gridCol w:w="2238"/>
        <w:gridCol w:w="4065"/>
        <w:gridCol w:w="579"/>
        <w:gridCol w:w="969"/>
        <w:gridCol w:w="115"/>
      </w:tblGrid>
      <w:tr w14:paraId="553DD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424" w:type="dxa"/>
            <w:vMerge w:val="restart"/>
            <w:tcBorders>
              <w:bottom w:val="nil"/>
            </w:tcBorders>
            <w:vAlign w:val="top"/>
          </w:tcPr>
          <w:p w14:paraId="7A20AEDC">
            <w:pPr>
              <w:rPr>
                <w:rFonts w:ascii="Arial"/>
                <w:sz w:val="21"/>
              </w:rPr>
            </w:pPr>
          </w:p>
        </w:tc>
        <w:tc>
          <w:tcPr>
            <w:tcW w:w="120" w:type="dxa"/>
            <w:vMerge w:val="restart"/>
            <w:tcBorders>
              <w:bottom w:val="nil"/>
            </w:tcBorders>
            <w:vAlign w:val="top"/>
          </w:tcPr>
          <w:p w14:paraId="0CC9D044">
            <w:pPr>
              <w:rPr>
                <w:rFonts w:ascii="Arial"/>
                <w:sz w:val="21"/>
              </w:rPr>
            </w:pPr>
          </w:p>
        </w:tc>
        <w:tc>
          <w:tcPr>
            <w:tcW w:w="539" w:type="dxa"/>
            <w:textDirection w:val="tbRlV"/>
            <w:vAlign w:val="top"/>
          </w:tcPr>
          <w:p w14:paraId="1D833AC2">
            <w:pPr>
              <w:pStyle w:val="6"/>
              <w:spacing w:before="181" w:line="195" w:lineRule="auto"/>
              <w:ind w:left="244"/>
              <w:rPr>
                <w:sz w:val="21"/>
                <w:szCs w:val="21"/>
              </w:rPr>
            </w:pPr>
            <w:r>
              <w:rPr>
                <w:sz w:val="21"/>
                <w:szCs w:val="21"/>
              </w:rPr>
              <w:t>编号</w:t>
            </w:r>
          </w:p>
        </w:tc>
        <w:tc>
          <w:tcPr>
            <w:tcW w:w="2238" w:type="dxa"/>
            <w:vAlign w:val="top"/>
          </w:tcPr>
          <w:p w14:paraId="21349757">
            <w:pPr>
              <w:spacing w:line="303" w:lineRule="auto"/>
              <w:rPr>
                <w:rFonts w:ascii="Arial"/>
                <w:sz w:val="21"/>
              </w:rPr>
            </w:pPr>
          </w:p>
          <w:p w14:paraId="210BA58E">
            <w:pPr>
              <w:pStyle w:val="6"/>
              <w:spacing w:before="68" w:line="219" w:lineRule="auto"/>
              <w:ind w:left="582"/>
              <w:rPr>
                <w:sz w:val="21"/>
                <w:szCs w:val="21"/>
              </w:rPr>
            </w:pPr>
            <w:r>
              <w:rPr>
                <w:spacing w:val="-2"/>
                <w:sz w:val="21"/>
                <w:szCs w:val="21"/>
              </w:rPr>
              <w:t>名称及规格</w:t>
            </w:r>
          </w:p>
        </w:tc>
        <w:tc>
          <w:tcPr>
            <w:tcW w:w="4065" w:type="dxa"/>
            <w:vAlign w:val="top"/>
          </w:tcPr>
          <w:p w14:paraId="0C16B105">
            <w:pPr>
              <w:spacing w:line="303" w:lineRule="auto"/>
              <w:rPr>
                <w:rFonts w:ascii="Arial"/>
                <w:sz w:val="21"/>
              </w:rPr>
            </w:pPr>
          </w:p>
          <w:p w14:paraId="67AC9B3D">
            <w:pPr>
              <w:pStyle w:val="6"/>
              <w:spacing w:before="68" w:line="219" w:lineRule="auto"/>
              <w:ind w:left="1503"/>
              <w:rPr>
                <w:sz w:val="21"/>
                <w:szCs w:val="21"/>
              </w:rPr>
            </w:pPr>
            <w:r>
              <w:rPr>
                <w:spacing w:val="2"/>
                <w:sz w:val="21"/>
                <w:szCs w:val="21"/>
              </w:rPr>
              <w:t>规格及型号</w:t>
            </w:r>
          </w:p>
        </w:tc>
        <w:tc>
          <w:tcPr>
            <w:tcW w:w="579" w:type="dxa"/>
            <w:textDirection w:val="tbRlV"/>
            <w:vAlign w:val="top"/>
          </w:tcPr>
          <w:p w14:paraId="6BAD1E1C">
            <w:pPr>
              <w:pStyle w:val="6"/>
              <w:spacing w:before="187" w:line="202" w:lineRule="auto"/>
              <w:ind w:left="195"/>
              <w:rPr>
                <w:sz w:val="21"/>
                <w:szCs w:val="21"/>
              </w:rPr>
            </w:pPr>
            <w:r>
              <w:rPr>
                <w:sz w:val="21"/>
                <w:szCs w:val="21"/>
              </w:rPr>
              <w:t>单</w:t>
            </w:r>
            <w:r>
              <w:rPr>
                <w:spacing w:val="9"/>
                <w:sz w:val="21"/>
                <w:szCs w:val="21"/>
              </w:rPr>
              <w:t xml:space="preserve"> </w:t>
            </w:r>
            <w:r>
              <w:rPr>
                <w:sz w:val="21"/>
                <w:szCs w:val="21"/>
              </w:rPr>
              <w:t>位</w:t>
            </w:r>
          </w:p>
        </w:tc>
        <w:tc>
          <w:tcPr>
            <w:tcW w:w="969" w:type="dxa"/>
            <w:vAlign w:val="top"/>
          </w:tcPr>
          <w:p w14:paraId="238AC854">
            <w:pPr>
              <w:spacing w:line="303" w:lineRule="auto"/>
              <w:rPr>
                <w:rFonts w:ascii="Arial"/>
                <w:sz w:val="21"/>
              </w:rPr>
            </w:pPr>
          </w:p>
          <w:p w14:paraId="0447C97F">
            <w:pPr>
              <w:pStyle w:val="6"/>
              <w:spacing w:before="68" w:line="219" w:lineRule="auto"/>
              <w:ind w:left="269"/>
              <w:rPr>
                <w:sz w:val="21"/>
                <w:szCs w:val="21"/>
              </w:rPr>
            </w:pPr>
            <w:r>
              <w:rPr>
                <w:spacing w:val="-3"/>
                <w:sz w:val="21"/>
                <w:szCs w:val="21"/>
              </w:rPr>
              <w:t>数量</w:t>
            </w:r>
          </w:p>
        </w:tc>
        <w:tc>
          <w:tcPr>
            <w:tcW w:w="115" w:type="dxa"/>
            <w:tcBorders>
              <w:bottom w:val="nil"/>
            </w:tcBorders>
            <w:vAlign w:val="top"/>
          </w:tcPr>
          <w:p w14:paraId="0F7F9625">
            <w:pPr>
              <w:rPr>
                <w:rFonts w:ascii="Arial"/>
                <w:sz w:val="21"/>
              </w:rPr>
            </w:pPr>
          </w:p>
        </w:tc>
      </w:tr>
      <w:tr w14:paraId="4B758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24" w:type="dxa"/>
            <w:vMerge w:val="continue"/>
            <w:tcBorders>
              <w:top w:val="nil"/>
              <w:bottom w:val="nil"/>
            </w:tcBorders>
            <w:vAlign w:val="top"/>
          </w:tcPr>
          <w:p w14:paraId="087E50EC">
            <w:pPr>
              <w:rPr>
                <w:rFonts w:ascii="Arial"/>
                <w:sz w:val="21"/>
              </w:rPr>
            </w:pPr>
          </w:p>
        </w:tc>
        <w:tc>
          <w:tcPr>
            <w:tcW w:w="120" w:type="dxa"/>
            <w:vMerge w:val="continue"/>
            <w:tcBorders>
              <w:top w:val="nil"/>
              <w:bottom w:val="nil"/>
            </w:tcBorders>
            <w:vAlign w:val="top"/>
          </w:tcPr>
          <w:p w14:paraId="6954C770">
            <w:pPr>
              <w:rPr>
                <w:rFonts w:ascii="Arial"/>
                <w:sz w:val="21"/>
              </w:rPr>
            </w:pPr>
          </w:p>
        </w:tc>
        <w:tc>
          <w:tcPr>
            <w:tcW w:w="539" w:type="dxa"/>
            <w:vAlign w:val="top"/>
          </w:tcPr>
          <w:p w14:paraId="7C78988C">
            <w:pPr>
              <w:pStyle w:val="6"/>
              <w:spacing w:before="139" w:line="141" w:lineRule="exact"/>
              <w:ind w:left="150"/>
              <w:rPr>
                <w:sz w:val="21"/>
                <w:szCs w:val="21"/>
              </w:rPr>
            </w:pPr>
            <w:r>
              <w:rPr>
                <w:position w:val="-5"/>
                <w:sz w:val="21"/>
                <w:szCs w:val="21"/>
              </w:rPr>
              <w:t>一</w:t>
            </w:r>
          </w:p>
        </w:tc>
        <w:tc>
          <w:tcPr>
            <w:tcW w:w="2238" w:type="dxa"/>
            <w:vAlign w:val="top"/>
          </w:tcPr>
          <w:p w14:paraId="7F221B91">
            <w:pPr>
              <w:pStyle w:val="6"/>
              <w:spacing w:before="39" w:line="211" w:lineRule="auto"/>
              <w:ind w:left="371"/>
              <w:rPr>
                <w:sz w:val="21"/>
                <w:szCs w:val="21"/>
              </w:rPr>
            </w:pPr>
            <w:r>
              <w:rPr>
                <w:spacing w:val="-2"/>
                <w:sz w:val="21"/>
                <w:szCs w:val="21"/>
              </w:rPr>
              <w:t>设备及安装工程</w:t>
            </w:r>
          </w:p>
        </w:tc>
        <w:tc>
          <w:tcPr>
            <w:tcW w:w="4065" w:type="dxa"/>
            <w:vAlign w:val="top"/>
          </w:tcPr>
          <w:p w14:paraId="50A17162">
            <w:pPr>
              <w:rPr>
                <w:rFonts w:ascii="Arial"/>
                <w:sz w:val="21"/>
              </w:rPr>
            </w:pPr>
          </w:p>
        </w:tc>
        <w:tc>
          <w:tcPr>
            <w:tcW w:w="579" w:type="dxa"/>
            <w:vAlign w:val="top"/>
          </w:tcPr>
          <w:p w14:paraId="099B392A">
            <w:pPr>
              <w:rPr>
                <w:rFonts w:ascii="Arial"/>
                <w:sz w:val="21"/>
              </w:rPr>
            </w:pPr>
          </w:p>
        </w:tc>
        <w:tc>
          <w:tcPr>
            <w:tcW w:w="969" w:type="dxa"/>
            <w:vAlign w:val="top"/>
          </w:tcPr>
          <w:p w14:paraId="68A2AA8A">
            <w:pPr>
              <w:rPr>
                <w:rFonts w:ascii="Arial"/>
                <w:sz w:val="21"/>
              </w:rPr>
            </w:pPr>
          </w:p>
        </w:tc>
        <w:tc>
          <w:tcPr>
            <w:tcW w:w="115" w:type="dxa"/>
            <w:tcBorders>
              <w:top w:val="nil"/>
              <w:bottom w:val="nil"/>
            </w:tcBorders>
            <w:vAlign w:val="top"/>
          </w:tcPr>
          <w:p w14:paraId="38DE11CF">
            <w:pPr>
              <w:rPr>
                <w:rFonts w:ascii="Arial"/>
                <w:sz w:val="21"/>
              </w:rPr>
            </w:pPr>
          </w:p>
        </w:tc>
      </w:tr>
      <w:tr w14:paraId="1B80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24" w:type="dxa"/>
            <w:vMerge w:val="continue"/>
            <w:tcBorders>
              <w:top w:val="nil"/>
              <w:bottom w:val="nil"/>
            </w:tcBorders>
            <w:vAlign w:val="top"/>
          </w:tcPr>
          <w:p w14:paraId="442780CF">
            <w:pPr>
              <w:rPr>
                <w:rFonts w:ascii="Arial"/>
                <w:sz w:val="21"/>
              </w:rPr>
            </w:pPr>
          </w:p>
        </w:tc>
        <w:tc>
          <w:tcPr>
            <w:tcW w:w="120" w:type="dxa"/>
            <w:vMerge w:val="continue"/>
            <w:tcBorders>
              <w:top w:val="nil"/>
              <w:bottom w:val="nil"/>
            </w:tcBorders>
            <w:vAlign w:val="top"/>
          </w:tcPr>
          <w:p w14:paraId="37EE1B4B">
            <w:pPr>
              <w:rPr>
                <w:rFonts w:ascii="Arial"/>
                <w:sz w:val="21"/>
              </w:rPr>
            </w:pPr>
          </w:p>
        </w:tc>
        <w:tc>
          <w:tcPr>
            <w:tcW w:w="539" w:type="dxa"/>
            <w:vAlign w:val="top"/>
          </w:tcPr>
          <w:p w14:paraId="0A9BE0FA">
            <w:pPr>
              <w:pStyle w:val="6"/>
              <w:spacing w:before="50" w:line="184" w:lineRule="auto"/>
              <w:ind w:left="200"/>
              <w:rPr>
                <w:sz w:val="21"/>
                <w:szCs w:val="21"/>
              </w:rPr>
            </w:pPr>
            <w:r>
              <w:rPr>
                <w:sz w:val="21"/>
                <w:szCs w:val="21"/>
              </w:rPr>
              <w:t>1</w:t>
            </w:r>
          </w:p>
        </w:tc>
        <w:tc>
          <w:tcPr>
            <w:tcW w:w="2238" w:type="dxa"/>
            <w:vAlign w:val="top"/>
          </w:tcPr>
          <w:p w14:paraId="76FDA7B3">
            <w:pPr>
              <w:pStyle w:val="6"/>
              <w:spacing w:before="30" w:line="202" w:lineRule="auto"/>
              <w:ind w:left="161"/>
              <w:rPr>
                <w:sz w:val="21"/>
                <w:szCs w:val="21"/>
              </w:rPr>
            </w:pPr>
            <w:r>
              <w:rPr>
                <w:spacing w:val="-2"/>
                <w:sz w:val="21"/>
                <w:szCs w:val="21"/>
              </w:rPr>
              <w:t>发电设备及安装工程</w:t>
            </w:r>
          </w:p>
        </w:tc>
        <w:tc>
          <w:tcPr>
            <w:tcW w:w="4065" w:type="dxa"/>
            <w:vAlign w:val="top"/>
          </w:tcPr>
          <w:p w14:paraId="011126C8">
            <w:pPr>
              <w:rPr>
                <w:rFonts w:ascii="Arial"/>
                <w:sz w:val="21"/>
              </w:rPr>
            </w:pPr>
          </w:p>
        </w:tc>
        <w:tc>
          <w:tcPr>
            <w:tcW w:w="579" w:type="dxa"/>
            <w:vAlign w:val="top"/>
          </w:tcPr>
          <w:p w14:paraId="3AD49DFF">
            <w:pPr>
              <w:rPr>
                <w:rFonts w:ascii="Arial"/>
                <w:sz w:val="21"/>
              </w:rPr>
            </w:pPr>
          </w:p>
        </w:tc>
        <w:tc>
          <w:tcPr>
            <w:tcW w:w="969" w:type="dxa"/>
            <w:vAlign w:val="top"/>
          </w:tcPr>
          <w:p w14:paraId="5002BA58">
            <w:pPr>
              <w:rPr>
                <w:rFonts w:ascii="Arial"/>
                <w:sz w:val="21"/>
              </w:rPr>
            </w:pPr>
          </w:p>
        </w:tc>
        <w:tc>
          <w:tcPr>
            <w:tcW w:w="115" w:type="dxa"/>
            <w:tcBorders>
              <w:top w:val="nil"/>
              <w:bottom w:val="nil"/>
            </w:tcBorders>
            <w:vAlign w:val="top"/>
          </w:tcPr>
          <w:p w14:paraId="7F4E0FED">
            <w:pPr>
              <w:rPr>
                <w:rFonts w:ascii="Arial"/>
                <w:sz w:val="21"/>
              </w:rPr>
            </w:pPr>
          </w:p>
        </w:tc>
      </w:tr>
      <w:tr w14:paraId="10767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24" w:type="dxa"/>
            <w:vMerge w:val="continue"/>
            <w:tcBorders>
              <w:top w:val="nil"/>
              <w:bottom w:val="nil"/>
            </w:tcBorders>
            <w:vAlign w:val="top"/>
          </w:tcPr>
          <w:p w14:paraId="6B245D8E">
            <w:pPr>
              <w:rPr>
                <w:rFonts w:ascii="Arial"/>
                <w:sz w:val="21"/>
              </w:rPr>
            </w:pPr>
          </w:p>
        </w:tc>
        <w:tc>
          <w:tcPr>
            <w:tcW w:w="120" w:type="dxa"/>
            <w:vMerge w:val="continue"/>
            <w:tcBorders>
              <w:top w:val="nil"/>
              <w:bottom w:val="nil"/>
            </w:tcBorders>
            <w:vAlign w:val="top"/>
          </w:tcPr>
          <w:p w14:paraId="3A7E5AB7">
            <w:pPr>
              <w:rPr>
                <w:rFonts w:ascii="Arial"/>
                <w:sz w:val="21"/>
              </w:rPr>
            </w:pPr>
          </w:p>
        </w:tc>
        <w:tc>
          <w:tcPr>
            <w:tcW w:w="539" w:type="dxa"/>
            <w:vAlign w:val="top"/>
          </w:tcPr>
          <w:p w14:paraId="097FCB05">
            <w:pPr>
              <w:pStyle w:val="6"/>
              <w:spacing w:before="50" w:line="175" w:lineRule="auto"/>
              <w:ind w:left="100"/>
              <w:rPr>
                <w:sz w:val="21"/>
                <w:szCs w:val="21"/>
              </w:rPr>
            </w:pPr>
            <w:r>
              <w:rPr>
                <w:spacing w:val="-6"/>
                <w:sz w:val="21"/>
                <w:szCs w:val="21"/>
              </w:rPr>
              <w:t>1.1</w:t>
            </w:r>
          </w:p>
        </w:tc>
        <w:tc>
          <w:tcPr>
            <w:tcW w:w="2238" w:type="dxa"/>
            <w:vAlign w:val="top"/>
          </w:tcPr>
          <w:p w14:paraId="064D3424">
            <w:pPr>
              <w:pStyle w:val="6"/>
              <w:spacing w:before="28" w:line="195" w:lineRule="auto"/>
              <w:ind w:left="481"/>
              <w:rPr>
                <w:sz w:val="21"/>
                <w:szCs w:val="21"/>
              </w:rPr>
            </w:pPr>
            <w:r>
              <w:rPr>
                <w:spacing w:val="-2"/>
                <w:sz w:val="21"/>
                <w:szCs w:val="21"/>
              </w:rPr>
              <w:t>光伏发电设备</w:t>
            </w:r>
          </w:p>
        </w:tc>
        <w:tc>
          <w:tcPr>
            <w:tcW w:w="4065" w:type="dxa"/>
            <w:vAlign w:val="top"/>
          </w:tcPr>
          <w:p w14:paraId="6F7E7860">
            <w:pPr>
              <w:rPr>
                <w:rFonts w:ascii="Arial"/>
                <w:sz w:val="21"/>
              </w:rPr>
            </w:pPr>
          </w:p>
        </w:tc>
        <w:tc>
          <w:tcPr>
            <w:tcW w:w="579" w:type="dxa"/>
            <w:vAlign w:val="top"/>
          </w:tcPr>
          <w:p w14:paraId="6A656A60">
            <w:pPr>
              <w:rPr>
                <w:rFonts w:ascii="Arial"/>
                <w:sz w:val="21"/>
              </w:rPr>
            </w:pPr>
          </w:p>
        </w:tc>
        <w:tc>
          <w:tcPr>
            <w:tcW w:w="969" w:type="dxa"/>
            <w:vAlign w:val="top"/>
          </w:tcPr>
          <w:p w14:paraId="09DA0679">
            <w:pPr>
              <w:rPr>
                <w:rFonts w:ascii="Arial"/>
                <w:sz w:val="21"/>
              </w:rPr>
            </w:pPr>
          </w:p>
        </w:tc>
        <w:tc>
          <w:tcPr>
            <w:tcW w:w="115" w:type="dxa"/>
            <w:tcBorders>
              <w:top w:val="nil"/>
              <w:bottom w:val="nil"/>
            </w:tcBorders>
            <w:vAlign w:val="top"/>
          </w:tcPr>
          <w:p w14:paraId="5349CB23">
            <w:pPr>
              <w:rPr>
                <w:rFonts w:ascii="Arial"/>
                <w:sz w:val="21"/>
              </w:rPr>
            </w:pPr>
          </w:p>
        </w:tc>
      </w:tr>
      <w:tr w14:paraId="4C508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424" w:type="dxa"/>
            <w:vMerge w:val="continue"/>
            <w:tcBorders>
              <w:top w:val="nil"/>
              <w:bottom w:val="nil"/>
            </w:tcBorders>
            <w:vAlign w:val="top"/>
          </w:tcPr>
          <w:p w14:paraId="3EE26032">
            <w:pPr>
              <w:rPr>
                <w:rFonts w:ascii="Arial"/>
                <w:sz w:val="21"/>
              </w:rPr>
            </w:pPr>
          </w:p>
        </w:tc>
        <w:tc>
          <w:tcPr>
            <w:tcW w:w="120" w:type="dxa"/>
            <w:vMerge w:val="continue"/>
            <w:tcBorders>
              <w:top w:val="nil"/>
              <w:bottom w:val="nil"/>
            </w:tcBorders>
            <w:vAlign w:val="top"/>
          </w:tcPr>
          <w:p w14:paraId="48F9B509">
            <w:pPr>
              <w:rPr>
                <w:rFonts w:ascii="Arial"/>
                <w:sz w:val="21"/>
              </w:rPr>
            </w:pPr>
          </w:p>
        </w:tc>
        <w:tc>
          <w:tcPr>
            <w:tcW w:w="539" w:type="dxa"/>
            <w:vAlign w:val="top"/>
          </w:tcPr>
          <w:p w14:paraId="78A1F181">
            <w:pPr>
              <w:pStyle w:val="6"/>
              <w:spacing w:before="220" w:line="193" w:lineRule="auto"/>
              <w:ind w:left="51"/>
              <w:rPr>
                <w:sz w:val="21"/>
                <w:szCs w:val="21"/>
              </w:rPr>
            </w:pPr>
            <w:r>
              <w:rPr>
                <w:spacing w:val="-5"/>
                <w:sz w:val="21"/>
                <w:szCs w:val="21"/>
              </w:rPr>
              <w:t>1.1.</w:t>
            </w:r>
          </w:p>
          <w:p w14:paraId="4E1A8DC4">
            <w:pPr>
              <w:pStyle w:val="6"/>
              <w:spacing w:before="1"/>
              <w:ind w:left="200"/>
              <w:rPr>
                <w:sz w:val="21"/>
                <w:szCs w:val="21"/>
              </w:rPr>
            </w:pPr>
            <w:r>
              <w:rPr>
                <w:sz w:val="21"/>
                <w:szCs w:val="21"/>
              </w:rPr>
              <w:t>1</w:t>
            </w:r>
          </w:p>
        </w:tc>
        <w:tc>
          <w:tcPr>
            <w:tcW w:w="2238" w:type="dxa"/>
            <w:vAlign w:val="top"/>
          </w:tcPr>
          <w:p w14:paraId="21D29C15">
            <w:pPr>
              <w:pStyle w:val="6"/>
              <w:spacing w:before="172" w:line="236" w:lineRule="auto"/>
              <w:ind w:left="581" w:right="240" w:hanging="370"/>
              <w:rPr>
                <w:sz w:val="21"/>
                <w:szCs w:val="21"/>
              </w:rPr>
            </w:pPr>
            <w:r>
              <w:rPr>
                <w:spacing w:val="-1"/>
                <w:sz w:val="21"/>
                <w:szCs w:val="21"/>
              </w:rPr>
              <w:t>630Wp/双面单晶硅N</w:t>
            </w:r>
            <w:r>
              <w:rPr>
                <w:spacing w:val="1"/>
                <w:sz w:val="21"/>
                <w:szCs w:val="21"/>
              </w:rPr>
              <w:t xml:space="preserve"> 型电池组件</w:t>
            </w:r>
          </w:p>
        </w:tc>
        <w:tc>
          <w:tcPr>
            <w:tcW w:w="4065" w:type="dxa"/>
            <w:vAlign w:val="top"/>
          </w:tcPr>
          <w:p w14:paraId="2FE0A6F6">
            <w:pPr>
              <w:rPr>
                <w:rFonts w:ascii="Arial"/>
                <w:sz w:val="21"/>
              </w:rPr>
            </w:pPr>
          </w:p>
        </w:tc>
        <w:tc>
          <w:tcPr>
            <w:tcW w:w="579" w:type="dxa"/>
            <w:vAlign w:val="top"/>
          </w:tcPr>
          <w:p w14:paraId="18D535F9">
            <w:pPr>
              <w:pStyle w:val="6"/>
              <w:spacing w:before="290" w:line="220" w:lineRule="auto"/>
              <w:ind w:left="178"/>
              <w:rPr>
                <w:sz w:val="21"/>
                <w:szCs w:val="21"/>
              </w:rPr>
            </w:pPr>
            <w:r>
              <w:rPr>
                <w:sz w:val="21"/>
                <w:szCs w:val="21"/>
              </w:rPr>
              <w:t>块</w:t>
            </w:r>
          </w:p>
        </w:tc>
        <w:tc>
          <w:tcPr>
            <w:tcW w:w="969" w:type="dxa"/>
            <w:vAlign w:val="top"/>
          </w:tcPr>
          <w:p w14:paraId="50EB3F11">
            <w:pPr>
              <w:pStyle w:val="6"/>
              <w:spacing w:before="220" w:line="220" w:lineRule="auto"/>
              <w:ind w:left="109"/>
              <w:rPr>
                <w:sz w:val="21"/>
                <w:szCs w:val="21"/>
              </w:rPr>
            </w:pPr>
            <w:r>
              <w:rPr>
                <w:spacing w:val="-2"/>
                <w:sz w:val="21"/>
                <w:szCs w:val="21"/>
              </w:rPr>
              <w:t>262184.</w:t>
            </w:r>
          </w:p>
          <w:p w14:paraId="6B5A4708">
            <w:pPr>
              <w:pStyle w:val="6"/>
              <w:spacing w:line="239" w:lineRule="auto"/>
              <w:ind w:left="379"/>
              <w:rPr>
                <w:sz w:val="21"/>
                <w:szCs w:val="21"/>
              </w:rPr>
            </w:pPr>
            <w:r>
              <w:rPr>
                <w:spacing w:val="-3"/>
                <w:sz w:val="21"/>
                <w:szCs w:val="21"/>
              </w:rPr>
              <w:t>00</w:t>
            </w:r>
          </w:p>
        </w:tc>
        <w:tc>
          <w:tcPr>
            <w:tcW w:w="115" w:type="dxa"/>
            <w:tcBorders>
              <w:top w:val="nil"/>
              <w:bottom w:val="nil"/>
            </w:tcBorders>
            <w:vAlign w:val="top"/>
          </w:tcPr>
          <w:p w14:paraId="01D1768F">
            <w:pPr>
              <w:rPr>
                <w:rFonts w:ascii="Arial"/>
                <w:sz w:val="21"/>
              </w:rPr>
            </w:pPr>
          </w:p>
        </w:tc>
      </w:tr>
      <w:tr w14:paraId="164ED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24" w:type="dxa"/>
            <w:vMerge w:val="continue"/>
            <w:tcBorders>
              <w:top w:val="nil"/>
              <w:bottom w:val="nil"/>
            </w:tcBorders>
            <w:vAlign w:val="top"/>
          </w:tcPr>
          <w:p w14:paraId="3BE9AA98">
            <w:pPr>
              <w:rPr>
                <w:rFonts w:ascii="Arial"/>
                <w:sz w:val="21"/>
              </w:rPr>
            </w:pPr>
          </w:p>
        </w:tc>
        <w:tc>
          <w:tcPr>
            <w:tcW w:w="120" w:type="dxa"/>
            <w:vMerge w:val="continue"/>
            <w:tcBorders>
              <w:top w:val="nil"/>
              <w:bottom w:val="nil"/>
            </w:tcBorders>
            <w:vAlign w:val="top"/>
          </w:tcPr>
          <w:p w14:paraId="1EC136C9">
            <w:pPr>
              <w:rPr>
                <w:rFonts w:ascii="Arial"/>
                <w:sz w:val="21"/>
              </w:rPr>
            </w:pPr>
          </w:p>
        </w:tc>
        <w:tc>
          <w:tcPr>
            <w:tcW w:w="539" w:type="dxa"/>
            <w:vAlign w:val="top"/>
          </w:tcPr>
          <w:p w14:paraId="75FF16D0">
            <w:pPr>
              <w:pStyle w:val="6"/>
              <w:spacing w:before="61" w:line="193" w:lineRule="auto"/>
              <w:ind w:left="51"/>
              <w:rPr>
                <w:sz w:val="21"/>
                <w:szCs w:val="21"/>
              </w:rPr>
            </w:pPr>
            <w:r>
              <w:rPr>
                <w:spacing w:val="-5"/>
                <w:sz w:val="21"/>
                <w:szCs w:val="21"/>
              </w:rPr>
              <w:t>1.1.</w:t>
            </w:r>
          </w:p>
          <w:p w14:paraId="100107B0">
            <w:pPr>
              <w:pStyle w:val="6"/>
              <w:spacing w:line="165" w:lineRule="auto"/>
              <w:ind w:left="200"/>
              <w:rPr>
                <w:sz w:val="21"/>
                <w:szCs w:val="21"/>
              </w:rPr>
            </w:pPr>
            <w:r>
              <w:rPr>
                <w:sz w:val="21"/>
                <w:szCs w:val="21"/>
              </w:rPr>
              <w:t>2</w:t>
            </w:r>
          </w:p>
        </w:tc>
        <w:tc>
          <w:tcPr>
            <w:tcW w:w="2238" w:type="dxa"/>
            <w:vAlign w:val="top"/>
          </w:tcPr>
          <w:p w14:paraId="14728219">
            <w:pPr>
              <w:pStyle w:val="6"/>
              <w:spacing w:before="140" w:line="220" w:lineRule="auto"/>
              <w:ind w:left="691"/>
              <w:rPr>
                <w:sz w:val="21"/>
                <w:szCs w:val="21"/>
              </w:rPr>
            </w:pPr>
            <w:r>
              <w:rPr>
                <w:spacing w:val="2"/>
                <w:sz w:val="21"/>
                <w:szCs w:val="21"/>
              </w:rPr>
              <w:t>固定支架</w:t>
            </w:r>
          </w:p>
        </w:tc>
        <w:tc>
          <w:tcPr>
            <w:tcW w:w="4065" w:type="dxa"/>
            <w:vAlign w:val="top"/>
          </w:tcPr>
          <w:p w14:paraId="508C912E">
            <w:pPr>
              <w:rPr>
                <w:rFonts w:ascii="Arial"/>
                <w:sz w:val="21"/>
              </w:rPr>
            </w:pPr>
          </w:p>
        </w:tc>
        <w:tc>
          <w:tcPr>
            <w:tcW w:w="579" w:type="dxa"/>
            <w:vAlign w:val="top"/>
          </w:tcPr>
          <w:p w14:paraId="73D76E1C">
            <w:pPr>
              <w:pStyle w:val="6"/>
              <w:spacing w:before="160"/>
              <w:ind w:left="229"/>
              <w:rPr>
                <w:sz w:val="21"/>
                <w:szCs w:val="21"/>
              </w:rPr>
            </w:pPr>
            <w:r>
              <w:rPr>
                <w:sz w:val="21"/>
                <w:szCs w:val="21"/>
              </w:rPr>
              <w:t>t</w:t>
            </w:r>
          </w:p>
        </w:tc>
        <w:tc>
          <w:tcPr>
            <w:tcW w:w="969" w:type="dxa"/>
            <w:vAlign w:val="top"/>
          </w:tcPr>
          <w:p w14:paraId="4789EBC0">
            <w:pPr>
              <w:pStyle w:val="6"/>
              <w:spacing w:before="160" w:line="239" w:lineRule="auto"/>
              <w:ind w:left="109"/>
              <w:rPr>
                <w:sz w:val="21"/>
                <w:szCs w:val="21"/>
              </w:rPr>
            </w:pPr>
            <w:r>
              <w:rPr>
                <w:spacing w:val="-2"/>
                <w:sz w:val="21"/>
                <w:szCs w:val="21"/>
              </w:rPr>
              <w:t>8162.84</w:t>
            </w:r>
          </w:p>
        </w:tc>
        <w:tc>
          <w:tcPr>
            <w:tcW w:w="115" w:type="dxa"/>
            <w:tcBorders>
              <w:top w:val="nil"/>
              <w:bottom w:val="nil"/>
            </w:tcBorders>
            <w:vAlign w:val="top"/>
          </w:tcPr>
          <w:p w14:paraId="2F0A0F0D">
            <w:pPr>
              <w:rPr>
                <w:rFonts w:ascii="Arial"/>
                <w:sz w:val="21"/>
              </w:rPr>
            </w:pPr>
          </w:p>
        </w:tc>
      </w:tr>
      <w:tr w14:paraId="3BF26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24" w:type="dxa"/>
            <w:vMerge w:val="continue"/>
            <w:tcBorders>
              <w:top w:val="nil"/>
              <w:bottom w:val="nil"/>
            </w:tcBorders>
            <w:vAlign w:val="top"/>
          </w:tcPr>
          <w:p w14:paraId="732AF633">
            <w:pPr>
              <w:rPr>
                <w:rFonts w:ascii="Arial"/>
                <w:sz w:val="21"/>
              </w:rPr>
            </w:pPr>
          </w:p>
        </w:tc>
        <w:tc>
          <w:tcPr>
            <w:tcW w:w="120" w:type="dxa"/>
            <w:vMerge w:val="continue"/>
            <w:tcBorders>
              <w:top w:val="nil"/>
              <w:bottom w:val="nil"/>
            </w:tcBorders>
            <w:vAlign w:val="top"/>
          </w:tcPr>
          <w:p w14:paraId="3C336C06">
            <w:pPr>
              <w:rPr>
                <w:rFonts w:ascii="Arial"/>
                <w:sz w:val="21"/>
              </w:rPr>
            </w:pPr>
          </w:p>
        </w:tc>
        <w:tc>
          <w:tcPr>
            <w:tcW w:w="539" w:type="dxa"/>
            <w:vAlign w:val="top"/>
          </w:tcPr>
          <w:p w14:paraId="7AB21488">
            <w:pPr>
              <w:pStyle w:val="6"/>
              <w:spacing w:before="50" w:line="175" w:lineRule="auto"/>
              <w:ind w:left="100"/>
              <w:rPr>
                <w:sz w:val="21"/>
                <w:szCs w:val="21"/>
              </w:rPr>
            </w:pPr>
            <w:r>
              <w:rPr>
                <w:spacing w:val="-6"/>
                <w:sz w:val="21"/>
                <w:szCs w:val="21"/>
              </w:rPr>
              <w:t>1.2</w:t>
            </w:r>
          </w:p>
        </w:tc>
        <w:tc>
          <w:tcPr>
            <w:tcW w:w="2238" w:type="dxa"/>
            <w:vAlign w:val="top"/>
          </w:tcPr>
          <w:p w14:paraId="0E7BB5C2">
            <w:pPr>
              <w:pStyle w:val="6"/>
              <w:spacing w:before="31" w:line="192" w:lineRule="auto"/>
              <w:ind w:left="272"/>
              <w:rPr>
                <w:sz w:val="21"/>
                <w:szCs w:val="21"/>
              </w:rPr>
            </w:pPr>
            <w:r>
              <w:rPr>
                <w:spacing w:val="-1"/>
                <w:sz w:val="21"/>
                <w:szCs w:val="21"/>
              </w:rPr>
              <w:t>汇流及变配电设备</w:t>
            </w:r>
          </w:p>
        </w:tc>
        <w:tc>
          <w:tcPr>
            <w:tcW w:w="4065" w:type="dxa"/>
            <w:vAlign w:val="top"/>
          </w:tcPr>
          <w:p w14:paraId="7977AD19">
            <w:pPr>
              <w:rPr>
                <w:rFonts w:ascii="Arial"/>
                <w:sz w:val="21"/>
              </w:rPr>
            </w:pPr>
          </w:p>
        </w:tc>
        <w:tc>
          <w:tcPr>
            <w:tcW w:w="579" w:type="dxa"/>
            <w:vAlign w:val="top"/>
          </w:tcPr>
          <w:p w14:paraId="1FB2639D">
            <w:pPr>
              <w:rPr>
                <w:rFonts w:ascii="Arial"/>
                <w:sz w:val="21"/>
              </w:rPr>
            </w:pPr>
          </w:p>
        </w:tc>
        <w:tc>
          <w:tcPr>
            <w:tcW w:w="969" w:type="dxa"/>
            <w:vAlign w:val="top"/>
          </w:tcPr>
          <w:p w14:paraId="1EA64D85">
            <w:pPr>
              <w:rPr>
                <w:rFonts w:ascii="Arial"/>
                <w:sz w:val="21"/>
              </w:rPr>
            </w:pPr>
          </w:p>
        </w:tc>
        <w:tc>
          <w:tcPr>
            <w:tcW w:w="115" w:type="dxa"/>
            <w:tcBorders>
              <w:top w:val="nil"/>
              <w:bottom w:val="nil"/>
            </w:tcBorders>
            <w:vAlign w:val="top"/>
          </w:tcPr>
          <w:p w14:paraId="698E7794">
            <w:pPr>
              <w:rPr>
                <w:rFonts w:ascii="Arial"/>
                <w:sz w:val="21"/>
              </w:rPr>
            </w:pPr>
          </w:p>
        </w:tc>
      </w:tr>
      <w:tr w14:paraId="7D0E9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24" w:type="dxa"/>
            <w:vMerge w:val="continue"/>
            <w:tcBorders>
              <w:top w:val="nil"/>
              <w:bottom w:val="nil"/>
            </w:tcBorders>
            <w:vAlign w:val="top"/>
          </w:tcPr>
          <w:p w14:paraId="4EB11F82">
            <w:pPr>
              <w:rPr>
                <w:rFonts w:ascii="Arial"/>
                <w:sz w:val="21"/>
              </w:rPr>
            </w:pPr>
          </w:p>
        </w:tc>
        <w:tc>
          <w:tcPr>
            <w:tcW w:w="120" w:type="dxa"/>
            <w:vMerge w:val="continue"/>
            <w:tcBorders>
              <w:top w:val="nil"/>
              <w:bottom w:val="nil"/>
            </w:tcBorders>
            <w:vAlign w:val="top"/>
          </w:tcPr>
          <w:p w14:paraId="5EC7331F">
            <w:pPr>
              <w:rPr>
                <w:rFonts w:ascii="Arial"/>
                <w:sz w:val="21"/>
              </w:rPr>
            </w:pPr>
          </w:p>
        </w:tc>
        <w:tc>
          <w:tcPr>
            <w:tcW w:w="539" w:type="dxa"/>
            <w:vAlign w:val="top"/>
          </w:tcPr>
          <w:p w14:paraId="439A9D56">
            <w:pPr>
              <w:pStyle w:val="6"/>
              <w:spacing w:before="71" w:line="193" w:lineRule="auto"/>
              <w:ind w:left="51"/>
              <w:rPr>
                <w:sz w:val="21"/>
                <w:szCs w:val="21"/>
              </w:rPr>
            </w:pPr>
            <w:r>
              <w:rPr>
                <w:spacing w:val="-5"/>
                <w:sz w:val="21"/>
                <w:szCs w:val="21"/>
              </w:rPr>
              <w:t>1.2.</w:t>
            </w:r>
          </w:p>
          <w:p w14:paraId="5FA6883C">
            <w:pPr>
              <w:pStyle w:val="6"/>
              <w:spacing w:line="183" w:lineRule="auto"/>
              <w:ind w:left="200"/>
              <w:rPr>
                <w:sz w:val="21"/>
                <w:szCs w:val="21"/>
              </w:rPr>
            </w:pPr>
            <w:r>
              <w:rPr>
                <w:sz w:val="21"/>
                <w:szCs w:val="21"/>
              </w:rPr>
              <w:t>1</w:t>
            </w:r>
          </w:p>
        </w:tc>
        <w:tc>
          <w:tcPr>
            <w:tcW w:w="2238" w:type="dxa"/>
            <w:vAlign w:val="top"/>
          </w:tcPr>
          <w:p w14:paraId="65B27D0E">
            <w:pPr>
              <w:pStyle w:val="6"/>
              <w:spacing w:before="41" w:line="220" w:lineRule="auto"/>
              <w:ind w:left="481"/>
              <w:rPr>
                <w:sz w:val="21"/>
                <w:szCs w:val="21"/>
              </w:rPr>
            </w:pPr>
            <w:r>
              <w:rPr>
                <w:spacing w:val="-2"/>
                <w:sz w:val="21"/>
                <w:szCs w:val="21"/>
              </w:rPr>
              <w:t>组串式逆变器</w:t>
            </w:r>
          </w:p>
          <w:p w14:paraId="0C8B821C">
            <w:pPr>
              <w:pStyle w:val="6"/>
              <w:spacing w:before="2" w:line="181" w:lineRule="auto"/>
              <w:ind w:left="741"/>
              <w:rPr>
                <w:sz w:val="21"/>
                <w:szCs w:val="21"/>
              </w:rPr>
            </w:pPr>
            <w:r>
              <w:rPr>
                <w:spacing w:val="-6"/>
                <w:sz w:val="21"/>
                <w:szCs w:val="21"/>
              </w:rPr>
              <w:t>(320kW)</w:t>
            </w:r>
          </w:p>
        </w:tc>
        <w:tc>
          <w:tcPr>
            <w:tcW w:w="4065" w:type="dxa"/>
            <w:vAlign w:val="top"/>
          </w:tcPr>
          <w:p w14:paraId="11AD3DE9">
            <w:pPr>
              <w:rPr>
                <w:rFonts w:ascii="Arial"/>
                <w:sz w:val="21"/>
              </w:rPr>
            </w:pPr>
          </w:p>
        </w:tc>
        <w:tc>
          <w:tcPr>
            <w:tcW w:w="579" w:type="dxa"/>
            <w:vAlign w:val="top"/>
          </w:tcPr>
          <w:p w14:paraId="4110B57A">
            <w:pPr>
              <w:pStyle w:val="6"/>
              <w:spacing w:before="153" w:line="221" w:lineRule="auto"/>
              <w:ind w:left="178"/>
              <w:rPr>
                <w:sz w:val="21"/>
                <w:szCs w:val="21"/>
              </w:rPr>
            </w:pPr>
            <w:r>
              <w:rPr>
                <w:sz w:val="21"/>
                <w:szCs w:val="21"/>
              </w:rPr>
              <w:t>台</w:t>
            </w:r>
          </w:p>
        </w:tc>
        <w:tc>
          <w:tcPr>
            <w:tcW w:w="969" w:type="dxa"/>
            <w:vAlign w:val="top"/>
          </w:tcPr>
          <w:p w14:paraId="5449C589">
            <w:pPr>
              <w:pStyle w:val="6"/>
              <w:spacing w:before="171" w:line="239" w:lineRule="auto"/>
              <w:ind w:left="170"/>
              <w:rPr>
                <w:sz w:val="21"/>
                <w:szCs w:val="21"/>
              </w:rPr>
            </w:pPr>
            <w:r>
              <w:rPr>
                <w:spacing w:val="-2"/>
                <w:sz w:val="21"/>
                <w:szCs w:val="21"/>
              </w:rPr>
              <w:t>421.00</w:t>
            </w:r>
          </w:p>
        </w:tc>
        <w:tc>
          <w:tcPr>
            <w:tcW w:w="115" w:type="dxa"/>
            <w:tcBorders>
              <w:top w:val="nil"/>
              <w:bottom w:val="nil"/>
            </w:tcBorders>
            <w:vAlign w:val="top"/>
          </w:tcPr>
          <w:p w14:paraId="2B00053C">
            <w:pPr>
              <w:rPr>
                <w:rFonts w:ascii="Arial"/>
                <w:sz w:val="21"/>
              </w:rPr>
            </w:pPr>
          </w:p>
        </w:tc>
      </w:tr>
      <w:tr w14:paraId="7ABEE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424" w:type="dxa"/>
            <w:vMerge w:val="continue"/>
            <w:tcBorders>
              <w:top w:val="nil"/>
              <w:bottom w:val="nil"/>
            </w:tcBorders>
            <w:vAlign w:val="top"/>
          </w:tcPr>
          <w:p w14:paraId="1404DDFC">
            <w:pPr>
              <w:rPr>
                <w:rFonts w:ascii="Arial"/>
                <w:sz w:val="21"/>
              </w:rPr>
            </w:pPr>
          </w:p>
        </w:tc>
        <w:tc>
          <w:tcPr>
            <w:tcW w:w="120" w:type="dxa"/>
            <w:vMerge w:val="continue"/>
            <w:tcBorders>
              <w:top w:val="nil"/>
              <w:bottom w:val="nil"/>
            </w:tcBorders>
            <w:vAlign w:val="top"/>
          </w:tcPr>
          <w:p w14:paraId="4B8FC92F">
            <w:pPr>
              <w:rPr>
                <w:rFonts w:ascii="Arial"/>
                <w:sz w:val="21"/>
              </w:rPr>
            </w:pPr>
          </w:p>
        </w:tc>
        <w:tc>
          <w:tcPr>
            <w:tcW w:w="539" w:type="dxa"/>
            <w:vAlign w:val="top"/>
          </w:tcPr>
          <w:p w14:paraId="36801603">
            <w:pPr>
              <w:pStyle w:val="6"/>
              <w:spacing w:before="211" w:line="193" w:lineRule="auto"/>
              <w:ind w:left="51"/>
              <w:rPr>
                <w:sz w:val="21"/>
                <w:szCs w:val="21"/>
              </w:rPr>
            </w:pPr>
            <w:r>
              <w:rPr>
                <w:spacing w:val="-5"/>
                <w:sz w:val="21"/>
                <w:szCs w:val="21"/>
              </w:rPr>
              <w:t>1.2.</w:t>
            </w:r>
          </w:p>
          <w:p w14:paraId="3E71A82E">
            <w:pPr>
              <w:pStyle w:val="6"/>
              <w:spacing w:before="1"/>
              <w:ind w:left="200"/>
              <w:rPr>
                <w:sz w:val="21"/>
                <w:szCs w:val="21"/>
              </w:rPr>
            </w:pPr>
            <w:r>
              <w:rPr>
                <w:sz w:val="21"/>
                <w:szCs w:val="21"/>
              </w:rPr>
              <w:t>2</w:t>
            </w:r>
          </w:p>
        </w:tc>
        <w:tc>
          <w:tcPr>
            <w:tcW w:w="2238" w:type="dxa"/>
            <w:vAlign w:val="top"/>
          </w:tcPr>
          <w:p w14:paraId="6B834BB3">
            <w:pPr>
              <w:pStyle w:val="6"/>
              <w:spacing w:before="291" w:line="220" w:lineRule="auto"/>
              <w:ind w:left="371"/>
              <w:rPr>
                <w:sz w:val="21"/>
                <w:szCs w:val="21"/>
              </w:rPr>
            </w:pPr>
            <w:r>
              <w:rPr>
                <w:spacing w:val="5"/>
                <w:sz w:val="21"/>
                <w:szCs w:val="21"/>
              </w:rPr>
              <w:t>35</w:t>
            </w:r>
            <w:r>
              <w:rPr>
                <w:sz w:val="21"/>
                <w:szCs w:val="21"/>
              </w:rPr>
              <w:t>kV</w:t>
            </w:r>
            <w:r>
              <w:rPr>
                <w:spacing w:val="5"/>
                <w:sz w:val="21"/>
                <w:szCs w:val="21"/>
              </w:rPr>
              <w:t>箱变(美变)</w:t>
            </w:r>
          </w:p>
        </w:tc>
        <w:tc>
          <w:tcPr>
            <w:tcW w:w="4065" w:type="dxa"/>
            <w:vAlign w:val="top"/>
          </w:tcPr>
          <w:p w14:paraId="0A2D03C7">
            <w:pPr>
              <w:pStyle w:val="6"/>
              <w:spacing w:before="177" w:line="218" w:lineRule="auto"/>
              <w:ind w:left="452" w:right="186" w:hanging="269"/>
              <w:rPr>
                <w:sz w:val="21"/>
                <w:szCs w:val="21"/>
              </w:rPr>
            </w:pPr>
            <w:r>
              <w:rPr>
                <w:sz w:val="21"/>
                <w:szCs w:val="21"/>
              </w:rPr>
              <w:t>35KV双绕组箱变，S20-1000,37±2x2.5%</w:t>
            </w:r>
            <w:r>
              <w:rPr>
                <w:spacing w:val="8"/>
                <w:sz w:val="21"/>
                <w:szCs w:val="21"/>
              </w:rPr>
              <w:t xml:space="preserve"> </w:t>
            </w:r>
            <w:r>
              <w:rPr>
                <w:spacing w:val="-1"/>
                <w:sz w:val="21"/>
                <w:szCs w:val="21"/>
              </w:rPr>
              <w:t>/0.8kV,Dy11,Ud=7%,含就地通信箱</w:t>
            </w:r>
          </w:p>
        </w:tc>
        <w:tc>
          <w:tcPr>
            <w:tcW w:w="579" w:type="dxa"/>
            <w:vAlign w:val="top"/>
          </w:tcPr>
          <w:p w14:paraId="0A1FB03E">
            <w:pPr>
              <w:pStyle w:val="6"/>
              <w:spacing w:before="293" w:line="221" w:lineRule="auto"/>
              <w:ind w:left="178"/>
              <w:rPr>
                <w:sz w:val="21"/>
                <w:szCs w:val="21"/>
              </w:rPr>
            </w:pPr>
            <w:r>
              <w:rPr>
                <w:sz w:val="21"/>
                <w:szCs w:val="21"/>
              </w:rPr>
              <w:t>台</w:t>
            </w:r>
          </w:p>
        </w:tc>
        <w:tc>
          <w:tcPr>
            <w:tcW w:w="969" w:type="dxa"/>
            <w:vAlign w:val="top"/>
          </w:tcPr>
          <w:p w14:paraId="39EDA529">
            <w:pPr>
              <w:spacing w:line="241" w:lineRule="auto"/>
              <w:rPr>
                <w:rFonts w:ascii="Arial"/>
                <w:sz w:val="21"/>
              </w:rPr>
            </w:pPr>
          </w:p>
          <w:p w14:paraId="4D004C67">
            <w:pPr>
              <w:pStyle w:val="6"/>
              <w:spacing w:before="68" w:line="239" w:lineRule="auto"/>
              <w:ind w:left="269"/>
              <w:rPr>
                <w:sz w:val="21"/>
                <w:szCs w:val="21"/>
              </w:rPr>
            </w:pPr>
            <w:r>
              <w:rPr>
                <w:spacing w:val="-3"/>
                <w:sz w:val="21"/>
                <w:szCs w:val="21"/>
              </w:rPr>
              <w:t>2.00</w:t>
            </w:r>
          </w:p>
        </w:tc>
        <w:tc>
          <w:tcPr>
            <w:tcW w:w="115" w:type="dxa"/>
            <w:tcBorders>
              <w:top w:val="nil"/>
              <w:bottom w:val="nil"/>
            </w:tcBorders>
            <w:vAlign w:val="top"/>
          </w:tcPr>
          <w:p w14:paraId="69ECE047">
            <w:pPr>
              <w:rPr>
                <w:rFonts w:ascii="Arial"/>
                <w:sz w:val="21"/>
              </w:rPr>
            </w:pPr>
          </w:p>
        </w:tc>
      </w:tr>
      <w:tr w14:paraId="318F1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424" w:type="dxa"/>
            <w:vMerge w:val="continue"/>
            <w:tcBorders>
              <w:top w:val="nil"/>
              <w:bottom w:val="nil"/>
            </w:tcBorders>
            <w:vAlign w:val="top"/>
          </w:tcPr>
          <w:p w14:paraId="4B49FEF3">
            <w:pPr>
              <w:rPr>
                <w:rFonts w:ascii="Arial"/>
                <w:sz w:val="21"/>
              </w:rPr>
            </w:pPr>
          </w:p>
        </w:tc>
        <w:tc>
          <w:tcPr>
            <w:tcW w:w="120" w:type="dxa"/>
            <w:vMerge w:val="continue"/>
            <w:tcBorders>
              <w:top w:val="nil"/>
              <w:bottom w:val="nil"/>
            </w:tcBorders>
            <w:vAlign w:val="top"/>
          </w:tcPr>
          <w:p w14:paraId="4B3D2067">
            <w:pPr>
              <w:rPr>
                <w:rFonts w:ascii="Arial"/>
                <w:sz w:val="21"/>
              </w:rPr>
            </w:pPr>
          </w:p>
        </w:tc>
        <w:tc>
          <w:tcPr>
            <w:tcW w:w="539" w:type="dxa"/>
            <w:vAlign w:val="top"/>
          </w:tcPr>
          <w:p w14:paraId="74EF7FC5">
            <w:pPr>
              <w:pStyle w:val="6"/>
              <w:spacing w:before="192" w:line="202" w:lineRule="auto"/>
              <w:ind w:left="51"/>
              <w:rPr>
                <w:sz w:val="21"/>
                <w:szCs w:val="21"/>
              </w:rPr>
            </w:pPr>
            <w:r>
              <w:rPr>
                <w:spacing w:val="-5"/>
                <w:sz w:val="21"/>
                <w:szCs w:val="21"/>
              </w:rPr>
              <w:t>1.2.</w:t>
            </w:r>
          </w:p>
          <w:p w14:paraId="42CE67B9">
            <w:pPr>
              <w:pStyle w:val="6"/>
              <w:spacing w:line="239" w:lineRule="auto"/>
              <w:ind w:left="160"/>
              <w:rPr>
                <w:sz w:val="21"/>
                <w:szCs w:val="21"/>
              </w:rPr>
            </w:pPr>
            <w:r>
              <w:rPr>
                <w:sz w:val="21"/>
                <w:szCs w:val="21"/>
              </w:rPr>
              <w:t>3</w:t>
            </w:r>
          </w:p>
        </w:tc>
        <w:tc>
          <w:tcPr>
            <w:tcW w:w="2238" w:type="dxa"/>
            <w:vAlign w:val="top"/>
          </w:tcPr>
          <w:p w14:paraId="1B41ED77">
            <w:pPr>
              <w:pStyle w:val="6"/>
              <w:spacing w:before="272" w:line="220" w:lineRule="auto"/>
              <w:ind w:left="371"/>
              <w:rPr>
                <w:sz w:val="21"/>
                <w:szCs w:val="21"/>
              </w:rPr>
            </w:pPr>
            <w:r>
              <w:rPr>
                <w:spacing w:val="5"/>
                <w:sz w:val="21"/>
                <w:szCs w:val="21"/>
              </w:rPr>
              <w:t>35</w:t>
            </w:r>
            <w:r>
              <w:rPr>
                <w:sz w:val="21"/>
                <w:szCs w:val="21"/>
              </w:rPr>
              <w:t>kV</w:t>
            </w:r>
            <w:r>
              <w:rPr>
                <w:spacing w:val="5"/>
                <w:sz w:val="21"/>
                <w:szCs w:val="21"/>
              </w:rPr>
              <w:t>箱变(美变)</w:t>
            </w:r>
          </w:p>
        </w:tc>
        <w:tc>
          <w:tcPr>
            <w:tcW w:w="4065" w:type="dxa"/>
            <w:vAlign w:val="top"/>
          </w:tcPr>
          <w:p w14:paraId="22BB1DE1">
            <w:pPr>
              <w:pStyle w:val="6"/>
              <w:spacing w:before="157" w:line="236" w:lineRule="auto"/>
              <w:ind w:left="452" w:right="186" w:hanging="269"/>
              <w:rPr>
                <w:sz w:val="21"/>
                <w:szCs w:val="21"/>
              </w:rPr>
            </w:pPr>
            <w:r>
              <w:rPr>
                <w:sz w:val="21"/>
                <w:szCs w:val="21"/>
              </w:rPr>
              <w:t>35kV双绕组箱变，S20-1250,37±2x2.5%</w:t>
            </w:r>
            <w:r>
              <w:rPr>
                <w:spacing w:val="8"/>
                <w:sz w:val="21"/>
                <w:szCs w:val="21"/>
              </w:rPr>
              <w:t xml:space="preserve"> </w:t>
            </w:r>
            <w:r>
              <w:rPr>
                <w:spacing w:val="-1"/>
                <w:sz w:val="21"/>
                <w:szCs w:val="21"/>
              </w:rPr>
              <w:t>/0.8kV,Dy11,Ud=7%,含就地通信箱</w:t>
            </w:r>
          </w:p>
        </w:tc>
        <w:tc>
          <w:tcPr>
            <w:tcW w:w="579" w:type="dxa"/>
            <w:vAlign w:val="top"/>
          </w:tcPr>
          <w:p w14:paraId="1FB4106B">
            <w:pPr>
              <w:pStyle w:val="6"/>
              <w:spacing w:before="274" w:line="221" w:lineRule="auto"/>
              <w:ind w:left="178"/>
              <w:rPr>
                <w:sz w:val="21"/>
                <w:szCs w:val="21"/>
              </w:rPr>
            </w:pPr>
            <w:r>
              <w:rPr>
                <w:sz w:val="21"/>
                <w:szCs w:val="21"/>
              </w:rPr>
              <w:t>台</w:t>
            </w:r>
          </w:p>
        </w:tc>
        <w:tc>
          <w:tcPr>
            <w:tcW w:w="969" w:type="dxa"/>
            <w:vAlign w:val="top"/>
          </w:tcPr>
          <w:p w14:paraId="6C1A5425">
            <w:pPr>
              <w:pStyle w:val="6"/>
              <w:spacing w:before="292" w:line="239" w:lineRule="auto"/>
              <w:ind w:left="269"/>
              <w:rPr>
                <w:sz w:val="21"/>
                <w:szCs w:val="21"/>
              </w:rPr>
            </w:pPr>
            <w:r>
              <w:rPr>
                <w:spacing w:val="-2"/>
                <w:sz w:val="21"/>
                <w:szCs w:val="21"/>
              </w:rPr>
              <w:t>4.00</w:t>
            </w:r>
          </w:p>
        </w:tc>
        <w:tc>
          <w:tcPr>
            <w:tcW w:w="115" w:type="dxa"/>
            <w:tcBorders>
              <w:top w:val="nil"/>
              <w:bottom w:val="nil"/>
            </w:tcBorders>
            <w:vAlign w:val="top"/>
          </w:tcPr>
          <w:p w14:paraId="3D169892">
            <w:pPr>
              <w:rPr>
                <w:rFonts w:ascii="Arial"/>
                <w:sz w:val="21"/>
              </w:rPr>
            </w:pPr>
          </w:p>
        </w:tc>
      </w:tr>
      <w:tr w14:paraId="1BF24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424" w:type="dxa"/>
            <w:vMerge w:val="continue"/>
            <w:tcBorders>
              <w:top w:val="nil"/>
              <w:bottom w:val="nil"/>
            </w:tcBorders>
            <w:vAlign w:val="top"/>
          </w:tcPr>
          <w:p w14:paraId="0666D0FB">
            <w:pPr>
              <w:rPr>
                <w:rFonts w:ascii="Arial"/>
                <w:sz w:val="21"/>
              </w:rPr>
            </w:pPr>
          </w:p>
        </w:tc>
        <w:tc>
          <w:tcPr>
            <w:tcW w:w="120" w:type="dxa"/>
            <w:vMerge w:val="continue"/>
            <w:tcBorders>
              <w:top w:val="nil"/>
              <w:bottom w:val="nil"/>
            </w:tcBorders>
            <w:vAlign w:val="top"/>
          </w:tcPr>
          <w:p w14:paraId="75113890">
            <w:pPr>
              <w:rPr>
                <w:rFonts w:ascii="Arial"/>
                <w:sz w:val="21"/>
              </w:rPr>
            </w:pPr>
          </w:p>
        </w:tc>
        <w:tc>
          <w:tcPr>
            <w:tcW w:w="539" w:type="dxa"/>
            <w:vAlign w:val="top"/>
          </w:tcPr>
          <w:p w14:paraId="310D5057">
            <w:pPr>
              <w:pStyle w:val="6"/>
              <w:spacing w:before="203" w:line="202" w:lineRule="auto"/>
              <w:ind w:left="51"/>
              <w:rPr>
                <w:sz w:val="21"/>
                <w:szCs w:val="21"/>
              </w:rPr>
            </w:pPr>
            <w:r>
              <w:rPr>
                <w:spacing w:val="-5"/>
                <w:sz w:val="21"/>
                <w:szCs w:val="21"/>
              </w:rPr>
              <w:t>1.2.</w:t>
            </w:r>
          </w:p>
          <w:p w14:paraId="5E87FF98">
            <w:pPr>
              <w:pStyle w:val="6"/>
              <w:spacing w:before="1"/>
              <w:ind w:left="190"/>
              <w:rPr>
                <w:sz w:val="21"/>
                <w:szCs w:val="21"/>
              </w:rPr>
            </w:pPr>
            <w:r>
              <w:rPr>
                <w:sz w:val="21"/>
                <w:szCs w:val="21"/>
              </w:rPr>
              <w:t>4</w:t>
            </w:r>
          </w:p>
        </w:tc>
        <w:tc>
          <w:tcPr>
            <w:tcW w:w="2238" w:type="dxa"/>
            <w:vAlign w:val="top"/>
          </w:tcPr>
          <w:p w14:paraId="435C9CB2">
            <w:pPr>
              <w:pStyle w:val="6"/>
              <w:spacing w:before="293" w:line="220" w:lineRule="auto"/>
              <w:ind w:left="211"/>
              <w:rPr>
                <w:sz w:val="21"/>
                <w:szCs w:val="21"/>
              </w:rPr>
            </w:pPr>
            <w:r>
              <w:rPr>
                <w:spacing w:val="21"/>
                <w:w w:val="114"/>
                <w:sz w:val="21"/>
                <w:szCs w:val="21"/>
              </w:rPr>
              <w:t>35</w:t>
            </w:r>
            <w:r>
              <w:rPr>
                <w:sz w:val="21"/>
                <w:szCs w:val="21"/>
              </w:rPr>
              <w:t>KV</w:t>
            </w:r>
            <w:r>
              <w:rPr>
                <w:spacing w:val="21"/>
                <w:w w:val="114"/>
                <w:sz w:val="21"/>
                <w:szCs w:val="21"/>
              </w:rPr>
              <w:t>箱变(美变)</w:t>
            </w:r>
          </w:p>
        </w:tc>
        <w:tc>
          <w:tcPr>
            <w:tcW w:w="4065" w:type="dxa"/>
            <w:vAlign w:val="top"/>
          </w:tcPr>
          <w:p w14:paraId="71240735">
            <w:pPr>
              <w:pStyle w:val="6"/>
              <w:spacing w:before="179" w:line="212" w:lineRule="auto"/>
              <w:ind w:left="452" w:right="186" w:hanging="269"/>
              <w:rPr>
                <w:sz w:val="21"/>
                <w:szCs w:val="21"/>
              </w:rPr>
            </w:pPr>
            <w:r>
              <w:rPr>
                <w:sz w:val="21"/>
                <w:szCs w:val="21"/>
              </w:rPr>
              <w:t>35kV双绕组箱变，S20-1600,37±2x2.5%</w:t>
            </w:r>
            <w:r>
              <w:rPr>
                <w:spacing w:val="8"/>
                <w:sz w:val="21"/>
                <w:szCs w:val="21"/>
              </w:rPr>
              <w:t xml:space="preserve"> </w:t>
            </w:r>
            <w:r>
              <w:rPr>
                <w:spacing w:val="-1"/>
                <w:sz w:val="21"/>
                <w:szCs w:val="21"/>
              </w:rPr>
              <w:t>/0.8kV,Dy11,Ud=7%,含就地通信箱</w:t>
            </w:r>
          </w:p>
        </w:tc>
        <w:tc>
          <w:tcPr>
            <w:tcW w:w="579" w:type="dxa"/>
            <w:vAlign w:val="top"/>
          </w:tcPr>
          <w:p w14:paraId="019BFA8D">
            <w:pPr>
              <w:pStyle w:val="6"/>
              <w:spacing w:before="295" w:line="221" w:lineRule="auto"/>
              <w:ind w:left="178"/>
              <w:rPr>
                <w:sz w:val="21"/>
                <w:szCs w:val="21"/>
              </w:rPr>
            </w:pPr>
            <w:r>
              <w:rPr>
                <w:sz w:val="21"/>
                <w:szCs w:val="21"/>
              </w:rPr>
              <w:t>台</w:t>
            </w:r>
          </w:p>
        </w:tc>
        <w:tc>
          <w:tcPr>
            <w:tcW w:w="969" w:type="dxa"/>
            <w:vAlign w:val="top"/>
          </w:tcPr>
          <w:p w14:paraId="737F4397">
            <w:pPr>
              <w:spacing w:line="243" w:lineRule="auto"/>
              <w:rPr>
                <w:rFonts w:ascii="Arial"/>
                <w:sz w:val="21"/>
              </w:rPr>
            </w:pPr>
          </w:p>
          <w:p w14:paraId="3D28C68A">
            <w:pPr>
              <w:pStyle w:val="6"/>
              <w:spacing w:before="68" w:line="239" w:lineRule="auto"/>
              <w:ind w:left="269"/>
              <w:rPr>
                <w:sz w:val="21"/>
                <w:szCs w:val="21"/>
              </w:rPr>
            </w:pPr>
            <w:r>
              <w:rPr>
                <w:spacing w:val="-3"/>
                <w:sz w:val="21"/>
                <w:szCs w:val="21"/>
              </w:rPr>
              <w:t>3.00</w:t>
            </w:r>
          </w:p>
        </w:tc>
        <w:tc>
          <w:tcPr>
            <w:tcW w:w="115" w:type="dxa"/>
            <w:tcBorders>
              <w:top w:val="nil"/>
              <w:bottom w:val="nil"/>
            </w:tcBorders>
            <w:vAlign w:val="top"/>
          </w:tcPr>
          <w:p w14:paraId="4DD95BDB">
            <w:pPr>
              <w:rPr>
                <w:rFonts w:ascii="Arial"/>
                <w:sz w:val="21"/>
              </w:rPr>
            </w:pPr>
          </w:p>
        </w:tc>
      </w:tr>
      <w:tr w14:paraId="25C25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424" w:type="dxa"/>
            <w:vMerge w:val="continue"/>
            <w:tcBorders>
              <w:top w:val="nil"/>
              <w:bottom w:val="nil"/>
            </w:tcBorders>
            <w:vAlign w:val="top"/>
          </w:tcPr>
          <w:p w14:paraId="4E7E58B6">
            <w:pPr>
              <w:rPr>
                <w:rFonts w:ascii="Arial"/>
                <w:sz w:val="21"/>
              </w:rPr>
            </w:pPr>
          </w:p>
        </w:tc>
        <w:tc>
          <w:tcPr>
            <w:tcW w:w="120" w:type="dxa"/>
            <w:vMerge w:val="continue"/>
            <w:tcBorders>
              <w:top w:val="nil"/>
              <w:bottom w:val="nil"/>
            </w:tcBorders>
            <w:vAlign w:val="top"/>
          </w:tcPr>
          <w:p w14:paraId="76410AB6">
            <w:pPr>
              <w:rPr>
                <w:rFonts w:ascii="Arial"/>
                <w:sz w:val="21"/>
              </w:rPr>
            </w:pPr>
          </w:p>
        </w:tc>
        <w:tc>
          <w:tcPr>
            <w:tcW w:w="539" w:type="dxa"/>
            <w:vAlign w:val="top"/>
          </w:tcPr>
          <w:p w14:paraId="19E0B3A5">
            <w:pPr>
              <w:pStyle w:val="6"/>
              <w:spacing w:before="204" w:line="202" w:lineRule="auto"/>
              <w:ind w:left="51"/>
              <w:rPr>
                <w:sz w:val="21"/>
                <w:szCs w:val="21"/>
              </w:rPr>
            </w:pPr>
            <w:r>
              <w:rPr>
                <w:spacing w:val="-5"/>
                <w:sz w:val="21"/>
                <w:szCs w:val="21"/>
              </w:rPr>
              <w:t>1.2.</w:t>
            </w:r>
          </w:p>
          <w:p w14:paraId="401B22B4">
            <w:pPr>
              <w:pStyle w:val="6"/>
              <w:spacing w:line="239" w:lineRule="auto"/>
              <w:ind w:left="200"/>
              <w:rPr>
                <w:sz w:val="21"/>
                <w:szCs w:val="21"/>
              </w:rPr>
            </w:pPr>
            <w:r>
              <w:rPr>
                <w:sz w:val="21"/>
                <w:szCs w:val="21"/>
              </w:rPr>
              <w:t>5</w:t>
            </w:r>
          </w:p>
        </w:tc>
        <w:tc>
          <w:tcPr>
            <w:tcW w:w="2238" w:type="dxa"/>
            <w:vAlign w:val="top"/>
          </w:tcPr>
          <w:p w14:paraId="698490B6">
            <w:pPr>
              <w:pStyle w:val="6"/>
              <w:spacing w:before="284" w:line="220" w:lineRule="auto"/>
              <w:ind w:left="371"/>
              <w:rPr>
                <w:sz w:val="21"/>
                <w:szCs w:val="21"/>
              </w:rPr>
            </w:pPr>
            <w:r>
              <w:rPr>
                <w:spacing w:val="5"/>
                <w:sz w:val="21"/>
                <w:szCs w:val="21"/>
              </w:rPr>
              <w:t>35</w:t>
            </w:r>
            <w:r>
              <w:rPr>
                <w:sz w:val="21"/>
                <w:szCs w:val="21"/>
              </w:rPr>
              <w:t>kV</w:t>
            </w:r>
            <w:r>
              <w:rPr>
                <w:spacing w:val="5"/>
                <w:sz w:val="21"/>
                <w:szCs w:val="21"/>
              </w:rPr>
              <w:t>箱变(美变)</w:t>
            </w:r>
          </w:p>
        </w:tc>
        <w:tc>
          <w:tcPr>
            <w:tcW w:w="4065" w:type="dxa"/>
            <w:vAlign w:val="top"/>
          </w:tcPr>
          <w:p w14:paraId="05D379DB">
            <w:pPr>
              <w:pStyle w:val="6"/>
              <w:spacing w:before="160" w:line="218" w:lineRule="auto"/>
              <w:ind w:left="452" w:right="186" w:hanging="269"/>
              <w:rPr>
                <w:sz w:val="21"/>
                <w:szCs w:val="21"/>
              </w:rPr>
            </w:pPr>
            <w:r>
              <w:rPr>
                <w:sz w:val="21"/>
                <w:szCs w:val="21"/>
              </w:rPr>
              <w:t>35kV双绕组箱变，S20-2000,37±2x2.5%</w:t>
            </w:r>
            <w:r>
              <w:rPr>
                <w:spacing w:val="8"/>
                <w:sz w:val="21"/>
                <w:szCs w:val="21"/>
              </w:rPr>
              <w:t xml:space="preserve"> </w:t>
            </w:r>
            <w:r>
              <w:rPr>
                <w:spacing w:val="-1"/>
                <w:sz w:val="21"/>
                <w:szCs w:val="21"/>
              </w:rPr>
              <w:t>/0.8kV,Dy11,Ud=7%,含就地通信箱</w:t>
            </w:r>
          </w:p>
        </w:tc>
        <w:tc>
          <w:tcPr>
            <w:tcW w:w="579" w:type="dxa"/>
            <w:vAlign w:val="top"/>
          </w:tcPr>
          <w:p w14:paraId="5DC694FF">
            <w:pPr>
              <w:pStyle w:val="6"/>
              <w:spacing w:before="286" w:line="221" w:lineRule="auto"/>
              <w:ind w:left="178"/>
              <w:rPr>
                <w:sz w:val="21"/>
                <w:szCs w:val="21"/>
              </w:rPr>
            </w:pPr>
            <w:r>
              <w:rPr>
                <w:sz w:val="21"/>
                <w:szCs w:val="21"/>
              </w:rPr>
              <w:t>台</w:t>
            </w:r>
          </w:p>
        </w:tc>
        <w:tc>
          <w:tcPr>
            <w:tcW w:w="969" w:type="dxa"/>
            <w:vAlign w:val="top"/>
          </w:tcPr>
          <w:p w14:paraId="47D1B392">
            <w:pPr>
              <w:pStyle w:val="6"/>
              <w:spacing w:before="304" w:line="239" w:lineRule="auto"/>
              <w:ind w:left="269"/>
              <w:rPr>
                <w:sz w:val="21"/>
                <w:szCs w:val="21"/>
              </w:rPr>
            </w:pPr>
            <w:r>
              <w:rPr>
                <w:spacing w:val="-3"/>
                <w:sz w:val="21"/>
                <w:szCs w:val="21"/>
              </w:rPr>
              <w:t>3.00</w:t>
            </w:r>
          </w:p>
        </w:tc>
        <w:tc>
          <w:tcPr>
            <w:tcW w:w="115" w:type="dxa"/>
            <w:tcBorders>
              <w:top w:val="nil"/>
              <w:bottom w:val="nil"/>
            </w:tcBorders>
            <w:vAlign w:val="top"/>
          </w:tcPr>
          <w:p w14:paraId="0F4CB921">
            <w:pPr>
              <w:rPr>
                <w:rFonts w:ascii="Arial"/>
                <w:sz w:val="21"/>
              </w:rPr>
            </w:pPr>
          </w:p>
        </w:tc>
      </w:tr>
      <w:tr w14:paraId="1BA81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424" w:type="dxa"/>
            <w:vMerge w:val="continue"/>
            <w:tcBorders>
              <w:top w:val="nil"/>
              <w:bottom w:val="nil"/>
            </w:tcBorders>
            <w:vAlign w:val="top"/>
          </w:tcPr>
          <w:p w14:paraId="43E403D9">
            <w:pPr>
              <w:rPr>
                <w:rFonts w:ascii="Arial"/>
                <w:sz w:val="21"/>
              </w:rPr>
            </w:pPr>
          </w:p>
        </w:tc>
        <w:tc>
          <w:tcPr>
            <w:tcW w:w="120" w:type="dxa"/>
            <w:vMerge w:val="continue"/>
            <w:tcBorders>
              <w:top w:val="nil"/>
              <w:bottom w:val="nil"/>
            </w:tcBorders>
            <w:vAlign w:val="top"/>
          </w:tcPr>
          <w:p w14:paraId="27E1E4D9">
            <w:pPr>
              <w:rPr>
                <w:rFonts w:ascii="Arial"/>
                <w:sz w:val="21"/>
              </w:rPr>
            </w:pPr>
          </w:p>
        </w:tc>
        <w:tc>
          <w:tcPr>
            <w:tcW w:w="539" w:type="dxa"/>
            <w:vAlign w:val="top"/>
          </w:tcPr>
          <w:p w14:paraId="40E1D7EC">
            <w:pPr>
              <w:pStyle w:val="6"/>
              <w:spacing w:before="215" w:line="211" w:lineRule="auto"/>
              <w:ind w:left="51"/>
              <w:rPr>
                <w:sz w:val="21"/>
                <w:szCs w:val="21"/>
              </w:rPr>
            </w:pPr>
            <w:r>
              <w:rPr>
                <w:spacing w:val="-5"/>
                <w:sz w:val="21"/>
                <w:szCs w:val="21"/>
              </w:rPr>
              <w:t>1.2.</w:t>
            </w:r>
          </w:p>
          <w:p w14:paraId="2551D02B">
            <w:pPr>
              <w:pStyle w:val="6"/>
              <w:spacing w:line="239" w:lineRule="auto"/>
              <w:ind w:left="200"/>
              <w:rPr>
                <w:sz w:val="21"/>
                <w:szCs w:val="21"/>
              </w:rPr>
            </w:pPr>
            <w:r>
              <w:rPr>
                <w:sz w:val="21"/>
                <w:szCs w:val="21"/>
              </w:rPr>
              <w:t>6</w:t>
            </w:r>
          </w:p>
        </w:tc>
        <w:tc>
          <w:tcPr>
            <w:tcW w:w="2238" w:type="dxa"/>
            <w:vAlign w:val="top"/>
          </w:tcPr>
          <w:p w14:paraId="4C9509DF">
            <w:pPr>
              <w:pStyle w:val="6"/>
              <w:spacing w:before="295" w:line="220" w:lineRule="auto"/>
              <w:ind w:left="371"/>
              <w:rPr>
                <w:sz w:val="21"/>
                <w:szCs w:val="21"/>
              </w:rPr>
            </w:pPr>
            <w:r>
              <w:rPr>
                <w:spacing w:val="5"/>
                <w:sz w:val="21"/>
                <w:szCs w:val="21"/>
              </w:rPr>
              <w:t>35</w:t>
            </w:r>
            <w:r>
              <w:rPr>
                <w:sz w:val="21"/>
                <w:szCs w:val="21"/>
              </w:rPr>
              <w:t>kV</w:t>
            </w:r>
            <w:r>
              <w:rPr>
                <w:spacing w:val="5"/>
                <w:sz w:val="21"/>
                <w:szCs w:val="21"/>
              </w:rPr>
              <w:t>箱变(美变)</w:t>
            </w:r>
          </w:p>
        </w:tc>
        <w:tc>
          <w:tcPr>
            <w:tcW w:w="4065" w:type="dxa"/>
            <w:vAlign w:val="top"/>
          </w:tcPr>
          <w:p w14:paraId="2DBA2D08">
            <w:pPr>
              <w:pStyle w:val="6"/>
              <w:spacing w:before="170" w:line="236" w:lineRule="auto"/>
              <w:ind w:left="452" w:right="186" w:hanging="269"/>
              <w:rPr>
                <w:sz w:val="21"/>
                <w:szCs w:val="21"/>
              </w:rPr>
            </w:pPr>
            <w:r>
              <w:rPr>
                <w:sz w:val="21"/>
                <w:szCs w:val="21"/>
              </w:rPr>
              <w:t>35kV双绕组箱变，S20-2300,37±2x2.5%</w:t>
            </w:r>
            <w:r>
              <w:rPr>
                <w:spacing w:val="8"/>
                <w:sz w:val="21"/>
                <w:szCs w:val="21"/>
              </w:rPr>
              <w:t xml:space="preserve"> </w:t>
            </w:r>
            <w:r>
              <w:rPr>
                <w:spacing w:val="-1"/>
                <w:sz w:val="21"/>
                <w:szCs w:val="21"/>
              </w:rPr>
              <w:t>/0.8kV,Dy11,Ud=7%,含就地通信箱</w:t>
            </w:r>
          </w:p>
        </w:tc>
        <w:tc>
          <w:tcPr>
            <w:tcW w:w="579" w:type="dxa"/>
            <w:vAlign w:val="top"/>
          </w:tcPr>
          <w:p w14:paraId="38693ADF">
            <w:pPr>
              <w:pStyle w:val="6"/>
              <w:spacing w:before="297" w:line="221" w:lineRule="auto"/>
              <w:ind w:left="178"/>
              <w:rPr>
                <w:sz w:val="21"/>
                <w:szCs w:val="21"/>
              </w:rPr>
            </w:pPr>
            <w:r>
              <w:rPr>
                <w:sz w:val="21"/>
                <w:szCs w:val="21"/>
              </w:rPr>
              <w:t>台</w:t>
            </w:r>
          </w:p>
        </w:tc>
        <w:tc>
          <w:tcPr>
            <w:tcW w:w="969" w:type="dxa"/>
            <w:vAlign w:val="top"/>
          </w:tcPr>
          <w:p w14:paraId="39A003F7">
            <w:pPr>
              <w:spacing w:line="245" w:lineRule="auto"/>
              <w:rPr>
                <w:rFonts w:ascii="Arial"/>
                <w:sz w:val="21"/>
              </w:rPr>
            </w:pPr>
          </w:p>
          <w:p w14:paraId="1AB535BA">
            <w:pPr>
              <w:pStyle w:val="6"/>
              <w:spacing w:before="68" w:line="239" w:lineRule="auto"/>
              <w:ind w:left="269"/>
              <w:rPr>
                <w:sz w:val="21"/>
                <w:szCs w:val="21"/>
              </w:rPr>
            </w:pPr>
            <w:r>
              <w:rPr>
                <w:spacing w:val="-3"/>
                <w:sz w:val="21"/>
                <w:szCs w:val="21"/>
              </w:rPr>
              <w:t>7.00</w:t>
            </w:r>
          </w:p>
        </w:tc>
        <w:tc>
          <w:tcPr>
            <w:tcW w:w="115" w:type="dxa"/>
            <w:tcBorders>
              <w:top w:val="nil"/>
              <w:bottom w:val="nil"/>
            </w:tcBorders>
            <w:vAlign w:val="top"/>
          </w:tcPr>
          <w:p w14:paraId="7E3968F7">
            <w:pPr>
              <w:rPr>
                <w:rFonts w:ascii="Arial"/>
                <w:sz w:val="21"/>
              </w:rPr>
            </w:pPr>
          </w:p>
        </w:tc>
      </w:tr>
      <w:tr w14:paraId="69098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424" w:type="dxa"/>
            <w:vMerge w:val="continue"/>
            <w:tcBorders>
              <w:top w:val="nil"/>
              <w:bottom w:val="nil"/>
            </w:tcBorders>
            <w:vAlign w:val="top"/>
          </w:tcPr>
          <w:p w14:paraId="571D2423">
            <w:pPr>
              <w:rPr>
                <w:rFonts w:ascii="Arial"/>
                <w:sz w:val="21"/>
              </w:rPr>
            </w:pPr>
          </w:p>
        </w:tc>
        <w:tc>
          <w:tcPr>
            <w:tcW w:w="120" w:type="dxa"/>
            <w:vMerge w:val="continue"/>
            <w:tcBorders>
              <w:top w:val="nil"/>
              <w:bottom w:val="nil"/>
            </w:tcBorders>
            <w:vAlign w:val="top"/>
          </w:tcPr>
          <w:p w14:paraId="3F28728E">
            <w:pPr>
              <w:rPr>
                <w:rFonts w:ascii="Arial"/>
                <w:sz w:val="21"/>
              </w:rPr>
            </w:pPr>
          </w:p>
        </w:tc>
        <w:tc>
          <w:tcPr>
            <w:tcW w:w="539" w:type="dxa"/>
            <w:vAlign w:val="top"/>
          </w:tcPr>
          <w:p w14:paraId="29F9F37E">
            <w:pPr>
              <w:pStyle w:val="6"/>
              <w:spacing w:before="185" w:line="211" w:lineRule="auto"/>
              <w:ind w:left="51"/>
              <w:rPr>
                <w:sz w:val="21"/>
                <w:szCs w:val="21"/>
              </w:rPr>
            </w:pPr>
            <w:r>
              <w:rPr>
                <w:spacing w:val="-5"/>
                <w:sz w:val="21"/>
                <w:szCs w:val="21"/>
              </w:rPr>
              <w:t>1.2.</w:t>
            </w:r>
          </w:p>
          <w:p w14:paraId="4924ED7B">
            <w:pPr>
              <w:pStyle w:val="6"/>
              <w:spacing w:line="239" w:lineRule="auto"/>
              <w:ind w:left="200"/>
              <w:rPr>
                <w:sz w:val="21"/>
                <w:szCs w:val="21"/>
              </w:rPr>
            </w:pPr>
            <w:r>
              <w:rPr>
                <w:sz w:val="21"/>
                <w:szCs w:val="21"/>
              </w:rPr>
              <w:t>7</w:t>
            </w:r>
          </w:p>
        </w:tc>
        <w:tc>
          <w:tcPr>
            <w:tcW w:w="2238" w:type="dxa"/>
            <w:vAlign w:val="top"/>
          </w:tcPr>
          <w:p w14:paraId="7192C120">
            <w:pPr>
              <w:pStyle w:val="6"/>
              <w:spacing w:before="275" w:line="220" w:lineRule="auto"/>
              <w:ind w:left="371"/>
              <w:rPr>
                <w:sz w:val="21"/>
                <w:szCs w:val="21"/>
              </w:rPr>
            </w:pPr>
            <w:r>
              <w:rPr>
                <w:spacing w:val="5"/>
                <w:sz w:val="21"/>
                <w:szCs w:val="21"/>
              </w:rPr>
              <w:t>35</w:t>
            </w:r>
            <w:r>
              <w:rPr>
                <w:sz w:val="21"/>
                <w:szCs w:val="21"/>
              </w:rPr>
              <w:t>kV</w:t>
            </w:r>
            <w:r>
              <w:rPr>
                <w:spacing w:val="5"/>
                <w:sz w:val="21"/>
                <w:szCs w:val="21"/>
              </w:rPr>
              <w:t>箱变(美变)</w:t>
            </w:r>
          </w:p>
        </w:tc>
        <w:tc>
          <w:tcPr>
            <w:tcW w:w="4065" w:type="dxa"/>
            <w:vAlign w:val="top"/>
          </w:tcPr>
          <w:p w14:paraId="5087C9A4">
            <w:pPr>
              <w:pStyle w:val="6"/>
              <w:spacing w:before="150" w:line="236" w:lineRule="auto"/>
              <w:ind w:left="452" w:right="186" w:hanging="269"/>
              <w:rPr>
                <w:sz w:val="21"/>
                <w:szCs w:val="21"/>
              </w:rPr>
            </w:pPr>
            <w:r>
              <w:rPr>
                <w:sz w:val="21"/>
                <w:szCs w:val="21"/>
              </w:rPr>
              <w:t>35kV双绕组箱变，S20-2500,37±2x2.5%</w:t>
            </w:r>
            <w:r>
              <w:rPr>
                <w:spacing w:val="8"/>
                <w:sz w:val="21"/>
                <w:szCs w:val="21"/>
              </w:rPr>
              <w:t xml:space="preserve"> </w:t>
            </w:r>
            <w:r>
              <w:rPr>
                <w:spacing w:val="-1"/>
                <w:sz w:val="21"/>
                <w:szCs w:val="21"/>
              </w:rPr>
              <w:t>/0.8kV,Dy11,Ud=7%,含就地通信箱</w:t>
            </w:r>
          </w:p>
        </w:tc>
        <w:tc>
          <w:tcPr>
            <w:tcW w:w="579" w:type="dxa"/>
            <w:vAlign w:val="top"/>
          </w:tcPr>
          <w:p w14:paraId="5949D7E4">
            <w:pPr>
              <w:pStyle w:val="6"/>
              <w:spacing w:before="277" w:line="221" w:lineRule="auto"/>
              <w:ind w:left="178"/>
              <w:rPr>
                <w:sz w:val="21"/>
                <w:szCs w:val="21"/>
              </w:rPr>
            </w:pPr>
            <w:r>
              <w:rPr>
                <w:sz w:val="21"/>
                <w:szCs w:val="21"/>
              </w:rPr>
              <w:t>台</w:t>
            </w:r>
          </w:p>
        </w:tc>
        <w:tc>
          <w:tcPr>
            <w:tcW w:w="969" w:type="dxa"/>
            <w:vAlign w:val="top"/>
          </w:tcPr>
          <w:p w14:paraId="111FE430">
            <w:pPr>
              <w:pStyle w:val="6"/>
              <w:spacing w:before="295" w:line="239" w:lineRule="auto"/>
              <w:ind w:left="269"/>
              <w:rPr>
                <w:sz w:val="21"/>
                <w:szCs w:val="21"/>
              </w:rPr>
            </w:pPr>
            <w:r>
              <w:rPr>
                <w:spacing w:val="-3"/>
                <w:sz w:val="21"/>
                <w:szCs w:val="21"/>
              </w:rPr>
              <w:t>3.00</w:t>
            </w:r>
          </w:p>
        </w:tc>
        <w:tc>
          <w:tcPr>
            <w:tcW w:w="115" w:type="dxa"/>
            <w:tcBorders>
              <w:top w:val="nil"/>
              <w:bottom w:val="nil"/>
            </w:tcBorders>
            <w:vAlign w:val="top"/>
          </w:tcPr>
          <w:p w14:paraId="6EA733E5">
            <w:pPr>
              <w:rPr>
                <w:rFonts w:ascii="Arial"/>
                <w:sz w:val="21"/>
              </w:rPr>
            </w:pPr>
          </w:p>
        </w:tc>
      </w:tr>
      <w:tr w14:paraId="054C7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424" w:type="dxa"/>
            <w:vMerge w:val="continue"/>
            <w:tcBorders>
              <w:top w:val="nil"/>
              <w:bottom w:val="nil"/>
            </w:tcBorders>
            <w:vAlign w:val="top"/>
          </w:tcPr>
          <w:p w14:paraId="434AC847">
            <w:pPr>
              <w:rPr>
                <w:rFonts w:ascii="Arial"/>
                <w:sz w:val="21"/>
              </w:rPr>
            </w:pPr>
          </w:p>
        </w:tc>
        <w:tc>
          <w:tcPr>
            <w:tcW w:w="120" w:type="dxa"/>
            <w:vMerge w:val="continue"/>
            <w:tcBorders>
              <w:top w:val="nil"/>
              <w:bottom w:val="nil"/>
            </w:tcBorders>
            <w:vAlign w:val="top"/>
          </w:tcPr>
          <w:p w14:paraId="5D2FDD30">
            <w:pPr>
              <w:rPr>
                <w:rFonts w:ascii="Arial"/>
                <w:sz w:val="21"/>
              </w:rPr>
            </w:pPr>
          </w:p>
        </w:tc>
        <w:tc>
          <w:tcPr>
            <w:tcW w:w="539" w:type="dxa"/>
            <w:vAlign w:val="top"/>
          </w:tcPr>
          <w:p w14:paraId="2ACEC304">
            <w:pPr>
              <w:pStyle w:val="6"/>
              <w:spacing w:before="216" w:line="193" w:lineRule="auto"/>
              <w:ind w:left="51"/>
              <w:rPr>
                <w:sz w:val="21"/>
                <w:szCs w:val="21"/>
              </w:rPr>
            </w:pPr>
            <w:r>
              <w:rPr>
                <w:spacing w:val="-5"/>
                <w:sz w:val="21"/>
                <w:szCs w:val="21"/>
              </w:rPr>
              <w:t>1.2.</w:t>
            </w:r>
          </w:p>
          <w:p w14:paraId="1323E593">
            <w:pPr>
              <w:pStyle w:val="6"/>
              <w:spacing w:line="239" w:lineRule="auto"/>
              <w:ind w:left="200"/>
              <w:rPr>
                <w:sz w:val="21"/>
                <w:szCs w:val="21"/>
              </w:rPr>
            </w:pPr>
            <w:r>
              <w:rPr>
                <w:sz w:val="21"/>
                <w:szCs w:val="21"/>
              </w:rPr>
              <w:t>8</w:t>
            </w:r>
          </w:p>
        </w:tc>
        <w:tc>
          <w:tcPr>
            <w:tcW w:w="2238" w:type="dxa"/>
            <w:vAlign w:val="top"/>
          </w:tcPr>
          <w:p w14:paraId="2562ABF0">
            <w:pPr>
              <w:pStyle w:val="6"/>
              <w:spacing w:before="296" w:line="220" w:lineRule="auto"/>
              <w:ind w:left="371"/>
              <w:rPr>
                <w:sz w:val="21"/>
                <w:szCs w:val="21"/>
              </w:rPr>
            </w:pPr>
            <w:r>
              <w:rPr>
                <w:spacing w:val="5"/>
                <w:sz w:val="21"/>
                <w:szCs w:val="21"/>
              </w:rPr>
              <w:t>35</w:t>
            </w:r>
            <w:r>
              <w:rPr>
                <w:sz w:val="21"/>
                <w:szCs w:val="21"/>
              </w:rPr>
              <w:t>kV</w:t>
            </w:r>
            <w:r>
              <w:rPr>
                <w:spacing w:val="5"/>
                <w:sz w:val="21"/>
                <w:szCs w:val="21"/>
              </w:rPr>
              <w:t>箱变(华变)</w:t>
            </w:r>
          </w:p>
        </w:tc>
        <w:tc>
          <w:tcPr>
            <w:tcW w:w="4065" w:type="dxa"/>
            <w:vAlign w:val="top"/>
          </w:tcPr>
          <w:p w14:paraId="5E7D260F">
            <w:pPr>
              <w:pStyle w:val="6"/>
              <w:spacing w:before="161" w:line="236" w:lineRule="auto"/>
              <w:ind w:left="552" w:right="186" w:hanging="369"/>
              <w:rPr>
                <w:sz w:val="21"/>
                <w:szCs w:val="21"/>
              </w:rPr>
            </w:pPr>
            <w:r>
              <w:rPr>
                <w:sz w:val="21"/>
                <w:szCs w:val="21"/>
              </w:rPr>
              <w:t>35KV双绕组箱变，S20-3200,37±2x2.5%</w:t>
            </w:r>
            <w:r>
              <w:rPr>
                <w:spacing w:val="8"/>
                <w:sz w:val="21"/>
                <w:szCs w:val="21"/>
              </w:rPr>
              <w:t xml:space="preserve"> </w:t>
            </w:r>
            <w:r>
              <w:rPr>
                <w:spacing w:val="-1"/>
                <w:sz w:val="21"/>
                <w:szCs w:val="21"/>
              </w:rPr>
              <w:t>/0.8kV,Dy,Ud=7%,含就地通信箱</w:t>
            </w:r>
          </w:p>
        </w:tc>
        <w:tc>
          <w:tcPr>
            <w:tcW w:w="579" w:type="dxa"/>
            <w:vAlign w:val="top"/>
          </w:tcPr>
          <w:p w14:paraId="087FDE9D">
            <w:pPr>
              <w:pStyle w:val="6"/>
              <w:spacing w:before="298" w:line="221" w:lineRule="auto"/>
              <w:ind w:left="178"/>
              <w:rPr>
                <w:sz w:val="21"/>
                <w:szCs w:val="21"/>
              </w:rPr>
            </w:pPr>
            <w:r>
              <w:rPr>
                <w:sz w:val="21"/>
                <w:szCs w:val="21"/>
              </w:rPr>
              <w:t>台</w:t>
            </w:r>
          </w:p>
        </w:tc>
        <w:tc>
          <w:tcPr>
            <w:tcW w:w="969" w:type="dxa"/>
            <w:vAlign w:val="top"/>
          </w:tcPr>
          <w:p w14:paraId="14569841">
            <w:pPr>
              <w:spacing w:line="246" w:lineRule="auto"/>
              <w:rPr>
                <w:rFonts w:ascii="Arial"/>
                <w:sz w:val="21"/>
              </w:rPr>
            </w:pPr>
          </w:p>
          <w:p w14:paraId="330A9D42">
            <w:pPr>
              <w:pStyle w:val="6"/>
              <w:spacing w:before="68" w:line="239" w:lineRule="auto"/>
              <w:ind w:left="220"/>
              <w:rPr>
                <w:sz w:val="21"/>
                <w:szCs w:val="21"/>
              </w:rPr>
            </w:pPr>
            <w:r>
              <w:rPr>
                <w:spacing w:val="-2"/>
                <w:sz w:val="21"/>
                <w:szCs w:val="21"/>
              </w:rPr>
              <w:t>27.00</w:t>
            </w:r>
          </w:p>
        </w:tc>
        <w:tc>
          <w:tcPr>
            <w:tcW w:w="115" w:type="dxa"/>
            <w:tcBorders>
              <w:top w:val="nil"/>
              <w:bottom w:val="nil"/>
            </w:tcBorders>
            <w:vAlign w:val="top"/>
          </w:tcPr>
          <w:p w14:paraId="07D0E467">
            <w:pPr>
              <w:rPr>
                <w:rFonts w:ascii="Arial"/>
                <w:sz w:val="21"/>
              </w:rPr>
            </w:pPr>
          </w:p>
        </w:tc>
      </w:tr>
      <w:tr w14:paraId="22ACD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424" w:type="dxa"/>
            <w:vMerge w:val="continue"/>
            <w:tcBorders>
              <w:top w:val="nil"/>
              <w:bottom w:val="nil"/>
            </w:tcBorders>
            <w:vAlign w:val="top"/>
          </w:tcPr>
          <w:p w14:paraId="3A5E7E7D">
            <w:pPr>
              <w:rPr>
                <w:rFonts w:ascii="Arial"/>
                <w:sz w:val="21"/>
              </w:rPr>
            </w:pPr>
          </w:p>
        </w:tc>
        <w:tc>
          <w:tcPr>
            <w:tcW w:w="120" w:type="dxa"/>
            <w:vMerge w:val="continue"/>
            <w:tcBorders>
              <w:top w:val="nil"/>
              <w:bottom w:val="nil"/>
            </w:tcBorders>
            <w:vAlign w:val="top"/>
          </w:tcPr>
          <w:p w14:paraId="437A05B4">
            <w:pPr>
              <w:rPr>
                <w:rFonts w:ascii="Arial"/>
                <w:sz w:val="21"/>
              </w:rPr>
            </w:pPr>
          </w:p>
        </w:tc>
        <w:tc>
          <w:tcPr>
            <w:tcW w:w="539" w:type="dxa"/>
            <w:vAlign w:val="top"/>
          </w:tcPr>
          <w:p w14:paraId="58E1460E">
            <w:pPr>
              <w:pStyle w:val="6"/>
              <w:spacing w:before="197" w:line="202" w:lineRule="auto"/>
              <w:ind w:left="51"/>
              <w:rPr>
                <w:sz w:val="21"/>
                <w:szCs w:val="21"/>
              </w:rPr>
            </w:pPr>
            <w:r>
              <w:rPr>
                <w:spacing w:val="-5"/>
                <w:sz w:val="21"/>
                <w:szCs w:val="21"/>
              </w:rPr>
              <w:t>1.2.</w:t>
            </w:r>
          </w:p>
          <w:p w14:paraId="5113811A">
            <w:pPr>
              <w:pStyle w:val="6"/>
              <w:spacing w:line="239" w:lineRule="auto"/>
              <w:ind w:left="200"/>
              <w:rPr>
                <w:sz w:val="21"/>
                <w:szCs w:val="21"/>
              </w:rPr>
            </w:pPr>
            <w:r>
              <w:rPr>
                <w:sz w:val="21"/>
                <w:szCs w:val="21"/>
              </w:rPr>
              <w:t>9</w:t>
            </w:r>
          </w:p>
        </w:tc>
        <w:tc>
          <w:tcPr>
            <w:tcW w:w="2238" w:type="dxa"/>
            <w:vAlign w:val="top"/>
          </w:tcPr>
          <w:p w14:paraId="732ABA35">
            <w:pPr>
              <w:pStyle w:val="6"/>
              <w:spacing w:before="287" w:line="220" w:lineRule="auto"/>
              <w:ind w:left="371"/>
              <w:rPr>
                <w:sz w:val="21"/>
                <w:szCs w:val="21"/>
              </w:rPr>
            </w:pPr>
            <w:r>
              <w:rPr>
                <w:spacing w:val="5"/>
                <w:sz w:val="21"/>
                <w:szCs w:val="21"/>
              </w:rPr>
              <w:t>35</w:t>
            </w:r>
            <w:r>
              <w:rPr>
                <w:sz w:val="21"/>
                <w:szCs w:val="21"/>
              </w:rPr>
              <w:t>kV</w:t>
            </w:r>
            <w:r>
              <w:rPr>
                <w:spacing w:val="5"/>
                <w:sz w:val="21"/>
                <w:szCs w:val="21"/>
              </w:rPr>
              <w:t>箱变(华变)</w:t>
            </w:r>
          </w:p>
        </w:tc>
        <w:tc>
          <w:tcPr>
            <w:tcW w:w="4065" w:type="dxa"/>
            <w:vAlign w:val="top"/>
          </w:tcPr>
          <w:p w14:paraId="52AED3B0">
            <w:pPr>
              <w:pStyle w:val="6"/>
              <w:spacing w:before="143" w:line="253" w:lineRule="auto"/>
              <w:ind w:left="552" w:right="186" w:hanging="369"/>
              <w:rPr>
                <w:sz w:val="21"/>
                <w:szCs w:val="21"/>
              </w:rPr>
            </w:pPr>
            <w:r>
              <w:rPr>
                <w:sz w:val="21"/>
                <w:szCs w:val="21"/>
              </w:rPr>
              <w:t>35kV双绕组箱变，S20-4000,37±2x2.5%</w:t>
            </w:r>
            <w:r>
              <w:rPr>
                <w:spacing w:val="8"/>
                <w:sz w:val="21"/>
                <w:szCs w:val="21"/>
              </w:rPr>
              <w:t xml:space="preserve"> </w:t>
            </w:r>
            <w:r>
              <w:rPr>
                <w:spacing w:val="-1"/>
                <w:sz w:val="21"/>
                <w:szCs w:val="21"/>
              </w:rPr>
              <w:t>/0.8kV,Dy,Ud=7%,含就地通信箱</w:t>
            </w:r>
          </w:p>
        </w:tc>
        <w:tc>
          <w:tcPr>
            <w:tcW w:w="579" w:type="dxa"/>
            <w:vAlign w:val="top"/>
          </w:tcPr>
          <w:p w14:paraId="555C3321">
            <w:pPr>
              <w:pStyle w:val="6"/>
              <w:spacing w:before="289" w:line="221" w:lineRule="auto"/>
              <w:ind w:left="178"/>
              <w:rPr>
                <w:sz w:val="21"/>
                <w:szCs w:val="21"/>
              </w:rPr>
            </w:pPr>
            <w:r>
              <w:rPr>
                <w:sz w:val="21"/>
                <w:szCs w:val="21"/>
              </w:rPr>
              <w:t>台</w:t>
            </w:r>
          </w:p>
        </w:tc>
        <w:tc>
          <w:tcPr>
            <w:tcW w:w="969" w:type="dxa"/>
            <w:vAlign w:val="top"/>
          </w:tcPr>
          <w:p w14:paraId="20136056">
            <w:pPr>
              <w:pStyle w:val="6"/>
              <w:spacing w:before="307" w:line="239" w:lineRule="auto"/>
              <w:ind w:left="269"/>
              <w:rPr>
                <w:sz w:val="21"/>
                <w:szCs w:val="21"/>
              </w:rPr>
            </w:pPr>
            <w:r>
              <w:rPr>
                <w:spacing w:val="-3"/>
                <w:sz w:val="21"/>
                <w:szCs w:val="21"/>
              </w:rPr>
              <w:t>2.00</w:t>
            </w:r>
          </w:p>
        </w:tc>
        <w:tc>
          <w:tcPr>
            <w:tcW w:w="115" w:type="dxa"/>
            <w:tcBorders>
              <w:top w:val="nil"/>
              <w:bottom w:val="nil"/>
            </w:tcBorders>
            <w:vAlign w:val="top"/>
          </w:tcPr>
          <w:p w14:paraId="33EEDDD5">
            <w:pPr>
              <w:rPr>
                <w:rFonts w:ascii="Arial"/>
                <w:sz w:val="21"/>
              </w:rPr>
            </w:pPr>
          </w:p>
        </w:tc>
      </w:tr>
      <w:tr w14:paraId="39BC0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24" w:type="dxa"/>
            <w:vMerge w:val="continue"/>
            <w:tcBorders>
              <w:top w:val="nil"/>
              <w:bottom w:val="nil"/>
            </w:tcBorders>
            <w:vAlign w:val="top"/>
          </w:tcPr>
          <w:p w14:paraId="37BFE859">
            <w:pPr>
              <w:rPr>
                <w:rFonts w:ascii="Arial"/>
                <w:sz w:val="21"/>
              </w:rPr>
            </w:pPr>
          </w:p>
        </w:tc>
        <w:tc>
          <w:tcPr>
            <w:tcW w:w="120" w:type="dxa"/>
            <w:vMerge w:val="continue"/>
            <w:tcBorders>
              <w:top w:val="nil"/>
              <w:bottom w:val="nil"/>
            </w:tcBorders>
            <w:vAlign w:val="top"/>
          </w:tcPr>
          <w:p w14:paraId="396D8DDF">
            <w:pPr>
              <w:rPr>
                <w:rFonts w:ascii="Arial"/>
                <w:sz w:val="21"/>
              </w:rPr>
            </w:pPr>
          </w:p>
        </w:tc>
        <w:tc>
          <w:tcPr>
            <w:tcW w:w="539" w:type="dxa"/>
            <w:vAlign w:val="top"/>
          </w:tcPr>
          <w:p w14:paraId="1A3F8182">
            <w:pPr>
              <w:pStyle w:val="6"/>
              <w:spacing w:before="58" w:line="168" w:lineRule="auto"/>
              <w:ind w:left="100"/>
              <w:rPr>
                <w:sz w:val="21"/>
                <w:szCs w:val="21"/>
              </w:rPr>
            </w:pPr>
            <w:r>
              <w:rPr>
                <w:spacing w:val="-6"/>
                <w:sz w:val="21"/>
                <w:szCs w:val="21"/>
              </w:rPr>
              <w:t>1.3</w:t>
            </w:r>
          </w:p>
        </w:tc>
        <w:tc>
          <w:tcPr>
            <w:tcW w:w="2238" w:type="dxa"/>
            <w:vAlign w:val="top"/>
          </w:tcPr>
          <w:p w14:paraId="175A55E4">
            <w:pPr>
              <w:pStyle w:val="6"/>
              <w:spacing w:before="37" w:line="187" w:lineRule="auto"/>
              <w:ind w:left="691"/>
              <w:rPr>
                <w:sz w:val="21"/>
                <w:szCs w:val="21"/>
              </w:rPr>
            </w:pPr>
            <w:r>
              <w:rPr>
                <w:spacing w:val="-2"/>
                <w:sz w:val="21"/>
                <w:szCs w:val="21"/>
              </w:rPr>
              <w:t>集电线路</w:t>
            </w:r>
          </w:p>
        </w:tc>
        <w:tc>
          <w:tcPr>
            <w:tcW w:w="4065" w:type="dxa"/>
            <w:vAlign w:val="top"/>
          </w:tcPr>
          <w:p w14:paraId="21FAE1AD">
            <w:pPr>
              <w:rPr>
                <w:rFonts w:ascii="Arial"/>
                <w:sz w:val="21"/>
              </w:rPr>
            </w:pPr>
          </w:p>
        </w:tc>
        <w:tc>
          <w:tcPr>
            <w:tcW w:w="579" w:type="dxa"/>
            <w:vAlign w:val="top"/>
          </w:tcPr>
          <w:p w14:paraId="06959D43">
            <w:pPr>
              <w:rPr>
                <w:rFonts w:ascii="Arial"/>
                <w:sz w:val="21"/>
              </w:rPr>
            </w:pPr>
          </w:p>
        </w:tc>
        <w:tc>
          <w:tcPr>
            <w:tcW w:w="969" w:type="dxa"/>
            <w:vAlign w:val="top"/>
          </w:tcPr>
          <w:p w14:paraId="07808DAC">
            <w:pPr>
              <w:rPr>
                <w:rFonts w:ascii="Arial"/>
                <w:sz w:val="21"/>
              </w:rPr>
            </w:pPr>
          </w:p>
        </w:tc>
        <w:tc>
          <w:tcPr>
            <w:tcW w:w="115" w:type="dxa"/>
            <w:tcBorders>
              <w:top w:val="nil"/>
              <w:bottom w:val="nil"/>
            </w:tcBorders>
            <w:vAlign w:val="top"/>
          </w:tcPr>
          <w:p w14:paraId="78A8AA96">
            <w:pPr>
              <w:rPr>
                <w:rFonts w:ascii="Arial"/>
                <w:sz w:val="21"/>
              </w:rPr>
            </w:pPr>
          </w:p>
        </w:tc>
      </w:tr>
      <w:tr w14:paraId="5DBA2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24" w:type="dxa"/>
            <w:vMerge w:val="continue"/>
            <w:tcBorders>
              <w:top w:val="nil"/>
              <w:bottom w:val="nil"/>
            </w:tcBorders>
            <w:vAlign w:val="top"/>
          </w:tcPr>
          <w:p w14:paraId="7E11B273">
            <w:pPr>
              <w:rPr>
                <w:rFonts w:ascii="Arial"/>
                <w:sz w:val="21"/>
              </w:rPr>
            </w:pPr>
          </w:p>
        </w:tc>
        <w:tc>
          <w:tcPr>
            <w:tcW w:w="120" w:type="dxa"/>
            <w:vMerge w:val="continue"/>
            <w:tcBorders>
              <w:top w:val="nil"/>
              <w:bottom w:val="nil"/>
            </w:tcBorders>
            <w:vAlign w:val="top"/>
          </w:tcPr>
          <w:p w14:paraId="659F35A7">
            <w:pPr>
              <w:rPr>
                <w:rFonts w:ascii="Arial"/>
                <w:sz w:val="21"/>
              </w:rPr>
            </w:pPr>
          </w:p>
        </w:tc>
        <w:tc>
          <w:tcPr>
            <w:tcW w:w="539" w:type="dxa"/>
            <w:vAlign w:val="top"/>
          </w:tcPr>
          <w:p w14:paraId="596126E8">
            <w:pPr>
              <w:pStyle w:val="6"/>
              <w:spacing w:before="78" w:line="202" w:lineRule="auto"/>
              <w:ind w:left="51"/>
              <w:rPr>
                <w:sz w:val="21"/>
                <w:szCs w:val="21"/>
              </w:rPr>
            </w:pPr>
            <w:r>
              <w:rPr>
                <w:spacing w:val="-5"/>
                <w:sz w:val="21"/>
                <w:szCs w:val="21"/>
              </w:rPr>
              <w:t>1.3.</w:t>
            </w:r>
          </w:p>
          <w:p w14:paraId="2ED00215">
            <w:pPr>
              <w:pStyle w:val="6"/>
              <w:spacing w:line="160" w:lineRule="exact"/>
              <w:ind w:left="200"/>
              <w:rPr>
                <w:sz w:val="21"/>
                <w:szCs w:val="21"/>
              </w:rPr>
            </w:pPr>
            <w:r>
              <w:rPr>
                <w:position w:val="-3"/>
                <w:sz w:val="21"/>
                <w:szCs w:val="21"/>
              </w:rPr>
              <w:t>1</w:t>
            </w:r>
          </w:p>
        </w:tc>
        <w:tc>
          <w:tcPr>
            <w:tcW w:w="2238" w:type="dxa"/>
            <w:vAlign w:val="top"/>
          </w:tcPr>
          <w:p w14:paraId="79095203">
            <w:pPr>
              <w:pStyle w:val="6"/>
              <w:spacing w:before="147" w:line="219" w:lineRule="auto"/>
              <w:ind w:left="272"/>
              <w:rPr>
                <w:sz w:val="21"/>
                <w:szCs w:val="21"/>
              </w:rPr>
            </w:pPr>
            <w:r>
              <w:rPr>
                <w:spacing w:val="1"/>
                <w:sz w:val="21"/>
                <w:szCs w:val="21"/>
              </w:rPr>
              <w:t>35</w:t>
            </w:r>
            <w:r>
              <w:rPr>
                <w:sz w:val="21"/>
                <w:szCs w:val="21"/>
              </w:rPr>
              <w:t>kV</w:t>
            </w:r>
            <w:r>
              <w:rPr>
                <w:spacing w:val="1"/>
                <w:sz w:val="21"/>
                <w:szCs w:val="21"/>
              </w:rPr>
              <w:t>电力铝芯电缆</w:t>
            </w:r>
          </w:p>
        </w:tc>
        <w:tc>
          <w:tcPr>
            <w:tcW w:w="4065" w:type="dxa"/>
            <w:vAlign w:val="top"/>
          </w:tcPr>
          <w:p w14:paraId="639A60A8">
            <w:pPr>
              <w:pStyle w:val="6"/>
              <w:spacing w:before="145" w:line="218" w:lineRule="auto"/>
              <w:ind w:left="973"/>
              <w:rPr>
                <w:sz w:val="21"/>
                <w:szCs w:val="21"/>
              </w:rPr>
            </w:pPr>
            <w:r>
              <w:rPr>
                <w:spacing w:val="-1"/>
                <w:sz w:val="21"/>
                <w:szCs w:val="21"/>
              </w:rPr>
              <w:t>ZC-YJLV22-26/35-3x70</w:t>
            </w:r>
          </w:p>
        </w:tc>
        <w:tc>
          <w:tcPr>
            <w:tcW w:w="579" w:type="dxa"/>
            <w:vAlign w:val="top"/>
          </w:tcPr>
          <w:p w14:paraId="751D3981">
            <w:pPr>
              <w:pStyle w:val="6"/>
              <w:spacing w:before="240" w:line="241" w:lineRule="auto"/>
              <w:ind w:left="249"/>
              <w:rPr>
                <w:sz w:val="15"/>
                <w:szCs w:val="15"/>
              </w:rPr>
            </w:pPr>
            <w:r>
              <w:rPr>
                <w:sz w:val="15"/>
                <w:szCs w:val="15"/>
              </w:rPr>
              <w:t>m</w:t>
            </w:r>
          </w:p>
        </w:tc>
        <w:tc>
          <w:tcPr>
            <w:tcW w:w="969" w:type="dxa"/>
            <w:vAlign w:val="top"/>
          </w:tcPr>
          <w:p w14:paraId="4DD203D6">
            <w:pPr>
              <w:pStyle w:val="6"/>
              <w:spacing w:before="69" w:line="193" w:lineRule="auto"/>
              <w:ind w:left="109"/>
              <w:rPr>
                <w:sz w:val="21"/>
                <w:szCs w:val="21"/>
              </w:rPr>
            </w:pPr>
            <w:r>
              <w:rPr>
                <w:spacing w:val="-3"/>
                <w:sz w:val="21"/>
                <w:szCs w:val="21"/>
              </w:rPr>
              <w:t>13577.0</w:t>
            </w:r>
          </w:p>
          <w:p w14:paraId="4AD3A791">
            <w:pPr>
              <w:pStyle w:val="6"/>
              <w:spacing w:line="158" w:lineRule="auto"/>
              <w:ind w:left="430"/>
              <w:rPr>
                <w:sz w:val="21"/>
                <w:szCs w:val="21"/>
              </w:rPr>
            </w:pPr>
            <w:r>
              <w:rPr>
                <w:sz w:val="21"/>
                <w:szCs w:val="21"/>
              </w:rPr>
              <w:t>0</w:t>
            </w:r>
          </w:p>
        </w:tc>
        <w:tc>
          <w:tcPr>
            <w:tcW w:w="115" w:type="dxa"/>
            <w:tcBorders>
              <w:top w:val="nil"/>
              <w:bottom w:val="nil"/>
            </w:tcBorders>
            <w:vAlign w:val="top"/>
          </w:tcPr>
          <w:p w14:paraId="5F9E82E9">
            <w:pPr>
              <w:rPr>
                <w:rFonts w:ascii="Arial"/>
                <w:sz w:val="21"/>
              </w:rPr>
            </w:pPr>
          </w:p>
        </w:tc>
      </w:tr>
      <w:tr w14:paraId="45A84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424" w:type="dxa"/>
            <w:vMerge w:val="continue"/>
            <w:tcBorders>
              <w:top w:val="nil"/>
              <w:bottom w:val="nil"/>
            </w:tcBorders>
            <w:vAlign w:val="top"/>
          </w:tcPr>
          <w:p w14:paraId="3F48FC8C">
            <w:pPr>
              <w:rPr>
                <w:rFonts w:ascii="Arial"/>
                <w:sz w:val="21"/>
              </w:rPr>
            </w:pPr>
          </w:p>
        </w:tc>
        <w:tc>
          <w:tcPr>
            <w:tcW w:w="120" w:type="dxa"/>
            <w:vMerge w:val="continue"/>
            <w:tcBorders>
              <w:top w:val="nil"/>
              <w:bottom w:val="nil"/>
            </w:tcBorders>
            <w:vAlign w:val="top"/>
          </w:tcPr>
          <w:p w14:paraId="1224BE18">
            <w:pPr>
              <w:rPr>
                <w:rFonts w:ascii="Arial"/>
                <w:sz w:val="21"/>
              </w:rPr>
            </w:pPr>
          </w:p>
        </w:tc>
        <w:tc>
          <w:tcPr>
            <w:tcW w:w="539" w:type="dxa"/>
            <w:vAlign w:val="top"/>
          </w:tcPr>
          <w:p w14:paraId="4D236645">
            <w:pPr>
              <w:pStyle w:val="6"/>
              <w:spacing w:before="89" w:line="193" w:lineRule="auto"/>
              <w:ind w:left="51"/>
              <w:rPr>
                <w:sz w:val="21"/>
                <w:szCs w:val="21"/>
              </w:rPr>
            </w:pPr>
            <w:r>
              <w:rPr>
                <w:spacing w:val="-5"/>
                <w:sz w:val="21"/>
                <w:szCs w:val="21"/>
              </w:rPr>
              <w:t>1.3.</w:t>
            </w:r>
          </w:p>
          <w:p w14:paraId="3B4A3FEF">
            <w:pPr>
              <w:pStyle w:val="6"/>
              <w:spacing w:line="160" w:lineRule="exact"/>
              <w:ind w:left="200"/>
              <w:rPr>
                <w:sz w:val="21"/>
                <w:szCs w:val="21"/>
              </w:rPr>
            </w:pPr>
            <w:r>
              <w:rPr>
                <w:position w:val="-3"/>
                <w:sz w:val="21"/>
                <w:szCs w:val="21"/>
              </w:rPr>
              <w:t>2</w:t>
            </w:r>
          </w:p>
        </w:tc>
        <w:tc>
          <w:tcPr>
            <w:tcW w:w="2238" w:type="dxa"/>
            <w:vAlign w:val="top"/>
          </w:tcPr>
          <w:p w14:paraId="021E9EA3">
            <w:pPr>
              <w:pStyle w:val="6"/>
              <w:spacing w:before="148" w:line="219" w:lineRule="auto"/>
              <w:ind w:left="272"/>
              <w:rPr>
                <w:sz w:val="21"/>
                <w:szCs w:val="21"/>
              </w:rPr>
            </w:pPr>
            <w:r>
              <w:rPr>
                <w:spacing w:val="1"/>
                <w:sz w:val="21"/>
                <w:szCs w:val="21"/>
              </w:rPr>
              <w:t>35</w:t>
            </w:r>
            <w:r>
              <w:rPr>
                <w:sz w:val="21"/>
                <w:szCs w:val="21"/>
              </w:rPr>
              <w:t>kV</w:t>
            </w:r>
            <w:r>
              <w:rPr>
                <w:spacing w:val="1"/>
                <w:sz w:val="21"/>
                <w:szCs w:val="21"/>
              </w:rPr>
              <w:t>电力铝芯电缆</w:t>
            </w:r>
          </w:p>
        </w:tc>
        <w:tc>
          <w:tcPr>
            <w:tcW w:w="4065" w:type="dxa"/>
            <w:vAlign w:val="top"/>
          </w:tcPr>
          <w:p w14:paraId="27648136">
            <w:pPr>
              <w:pStyle w:val="6"/>
              <w:spacing w:before="146" w:line="218" w:lineRule="auto"/>
              <w:ind w:left="923"/>
              <w:rPr>
                <w:sz w:val="21"/>
                <w:szCs w:val="21"/>
              </w:rPr>
            </w:pPr>
            <w:r>
              <w:rPr>
                <w:spacing w:val="-1"/>
                <w:sz w:val="21"/>
                <w:szCs w:val="21"/>
              </w:rPr>
              <w:t>ZC-YJLV22-26/35-3x120</w:t>
            </w:r>
          </w:p>
        </w:tc>
        <w:tc>
          <w:tcPr>
            <w:tcW w:w="579" w:type="dxa"/>
            <w:vAlign w:val="top"/>
          </w:tcPr>
          <w:p w14:paraId="559A4DCD">
            <w:pPr>
              <w:pStyle w:val="6"/>
              <w:spacing w:before="231" w:line="241" w:lineRule="auto"/>
              <w:ind w:left="249"/>
              <w:rPr>
                <w:sz w:val="15"/>
                <w:szCs w:val="15"/>
              </w:rPr>
            </w:pPr>
            <w:r>
              <w:rPr>
                <w:sz w:val="15"/>
                <w:szCs w:val="15"/>
              </w:rPr>
              <w:t>m</w:t>
            </w:r>
          </w:p>
        </w:tc>
        <w:tc>
          <w:tcPr>
            <w:tcW w:w="969" w:type="dxa"/>
            <w:vAlign w:val="top"/>
          </w:tcPr>
          <w:p w14:paraId="006C79AA">
            <w:pPr>
              <w:pStyle w:val="6"/>
              <w:spacing w:before="169" w:line="239" w:lineRule="auto"/>
              <w:ind w:left="109"/>
              <w:rPr>
                <w:sz w:val="21"/>
                <w:szCs w:val="21"/>
              </w:rPr>
            </w:pPr>
            <w:r>
              <w:rPr>
                <w:spacing w:val="-3"/>
                <w:sz w:val="21"/>
                <w:szCs w:val="21"/>
              </w:rPr>
              <w:t>1721.00</w:t>
            </w:r>
          </w:p>
        </w:tc>
        <w:tc>
          <w:tcPr>
            <w:tcW w:w="115" w:type="dxa"/>
            <w:tcBorders>
              <w:top w:val="nil"/>
              <w:bottom w:val="nil"/>
            </w:tcBorders>
            <w:vAlign w:val="top"/>
          </w:tcPr>
          <w:p w14:paraId="260F666D">
            <w:pPr>
              <w:rPr>
                <w:rFonts w:ascii="Arial"/>
                <w:sz w:val="21"/>
              </w:rPr>
            </w:pPr>
          </w:p>
        </w:tc>
      </w:tr>
      <w:tr w14:paraId="54DBB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24" w:type="dxa"/>
            <w:vMerge w:val="continue"/>
            <w:tcBorders>
              <w:top w:val="nil"/>
              <w:bottom w:val="nil"/>
            </w:tcBorders>
            <w:vAlign w:val="top"/>
          </w:tcPr>
          <w:p w14:paraId="342DAF52">
            <w:pPr>
              <w:rPr>
                <w:rFonts w:ascii="Arial"/>
                <w:sz w:val="21"/>
              </w:rPr>
            </w:pPr>
          </w:p>
        </w:tc>
        <w:tc>
          <w:tcPr>
            <w:tcW w:w="120" w:type="dxa"/>
            <w:vMerge w:val="continue"/>
            <w:tcBorders>
              <w:top w:val="nil"/>
              <w:bottom w:val="nil"/>
            </w:tcBorders>
            <w:vAlign w:val="top"/>
          </w:tcPr>
          <w:p w14:paraId="1D354BFD">
            <w:pPr>
              <w:rPr>
                <w:rFonts w:ascii="Arial"/>
                <w:sz w:val="21"/>
              </w:rPr>
            </w:pPr>
          </w:p>
        </w:tc>
        <w:tc>
          <w:tcPr>
            <w:tcW w:w="539" w:type="dxa"/>
            <w:vAlign w:val="top"/>
          </w:tcPr>
          <w:p w14:paraId="6430689F">
            <w:pPr>
              <w:pStyle w:val="6"/>
              <w:spacing w:before="80" w:line="193" w:lineRule="auto"/>
              <w:ind w:left="51"/>
              <w:rPr>
                <w:sz w:val="21"/>
                <w:szCs w:val="21"/>
              </w:rPr>
            </w:pPr>
            <w:r>
              <w:rPr>
                <w:spacing w:val="-5"/>
                <w:sz w:val="21"/>
                <w:szCs w:val="21"/>
              </w:rPr>
              <w:t>1.3.</w:t>
            </w:r>
          </w:p>
          <w:p w14:paraId="6DF2F0E6">
            <w:pPr>
              <w:pStyle w:val="6"/>
              <w:spacing w:line="176" w:lineRule="auto"/>
              <w:ind w:left="200"/>
              <w:rPr>
                <w:sz w:val="21"/>
                <w:szCs w:val="21"/>
              </w:rPr>
            </w:pPr>
            <w:r>
              <w:rPr>
                <w:sz w:val="21"/>
                <w:szCs w:val="21"/>
              </w:rPr>
              <w:t>3</w:t>
            </w:r>
          </w:p>
        </w:tc>
        <w:tc>
          <w:tcPr>
            <w:tcW w:w="2238" w:type="dxa"/>
            <w:vAlign w:val="top"/>
          </w:tcPr>
          <w:p w14:paraId="021D1FC1">
            <w:pPr>
              <w:pStyle w:val="6"/>
              <w:spacing w:before="158" w:line="219" w:lineRule="auto"/>
              <w:ind w:left="272"/>
              <w:rPr>
                <w:sz w:val="21"/>
                <w:szCs w:val="21"/>
              </w:rPr>
            </w:pPr>
            <w:r>
              <w:rPr>
                <w:spacing w:val="1"/>
                <w:sz w:val="21"/>
                <w:szCs w:val="21"/>
              </w:rPr>
              <w:t>35</w:t>
            </w:r>
            <w:r>
              <w:rPr>
                <w:sz w:val="21"/>
                <w:szCs w:val="21"/>
              </w:rPr>
              <w:t>kV</w:t>
            </w:r>
            <w:r>
              <w:rPr>
                <w:spacing w:val="1"/>
                <w:sz w:val="21"/>
                <w:szCs w:val="21"/>
              </w:rPr>
              <w:t>电力铝芯电缆</w:t>
            </w:r>
          </w:p>
        </w:tc>
        <w:tc>
          <w:tcPr>
            <w:tcW w:w="4065" w:type="dxa"/>
            <w:vAlign w:val="top"/>
          </w:tcPr>
          <w:p w14:paraId="216D594F">
            <w:pPr>
              <w:pStyle w:val="6"/>
              <w:spacing w:before="156" w:line="218" w:lineRule="auto"/>
              <w:ind w:left="923"/>
              <w:rPr>
                <w:sz w:val="21"/>
                <w:szCs w:val="21"/>
              </w:rPr>
            </w:pPr>
            <w:r>
              <w:rPr>
                <w:spacing w:val="-1"/>
                <w:sz w:val="21"/>
                <w:szCs w:val="21"/>
              </w:rPr>
              <w:t>ZC-YJLV22-26/35-3x150</w:t>
            </w:r>
          </w:p>
        </w:tc>
        <w:tc>
          <w:tcPr>
            <w:tcW w:w="579" w:type="dxa"/>
            <w:vAlign w:val="top"/>
          </w:tcPr>
          <w:p w14:paraId="0E977E0A">
            <w:pPr>
              <w:pStyle w:val="6"/>
              <w:spacing w:before="202" w:line="241" w:lineRule="auto"/>
              <w:ind w:left="249"/>
              <w:rPr>
                <w:sz w:val="16"/>
                <w:szCs w:val="16"/>
              </w:rPr>
            </w:pPr>
            <w:r>
              <w:rPr>
                <w:sz w:val="16"/>
                <w:szCs w:val="16"/>
              </w:rPr>
              <w:t>m</w:t>
            </w:r>
          </w:p>
        </w:tc>
        <w:tc>
          <w:tcPr>
            <w:tcW w:w="969" w:type="dxa"/>
            <w:vAlign w:val="top"/>
          </w:tcPr>
          <w:p w14:paraId="343F1B09">
            <w:pPr>
              <w:pStyle w:val="6"/>
              <w:spacing w:before="179" w:line="239" w:lineRule="auto"/>
              <w:ind w:left="109"/>
              <w:rPr>
                <w:sz w:val="21"/>
                <w:szCs w:val="21"/>
              </w:rPr>
            </w:pPr>
            <w:r>
              <w:rPr>
                <w:spacing w:val="-3"/>
                <w:sz w:val="21"/>
                <w:szCs w:val="21"/>
              </w:rPr>
              <w:t>1197.00</w:t>
            </w:r>
          </w:p>
        </w:tc>
        <w:tc>
          <w:tcPr>
            <w:tcW w:w="115" w:type="dxa"/>
            <w:tcBorders>
              <w:top w:val="nil"/>
              <w:bottom w:val="nil"/>
            </w:tcBorders>
            <w:vAlign w:val="top"/>
          </w:tcPr>
          <w:p w14:paraId="0638ADF8">
            <w:pPr>
              <w:rPr>
                <w:rFonts w:ascii="Arial"/>
                <w:sz w:val="21"/>
              </w:rPr>
            </w:pPr>
          </w:p>
        </w:tc>
      </w:tr>
      <w:tr w14:paraId="16AF1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424" w:type="dxa"/>
            <w:vMerge w:val="continue"/>
            <w:tcBorders>
              <w:top w:val="nil"/>
              <w:bottom w:val="nil"/>
            </w:tcBorders>
            <w:vAlign w:val="top"/>
          </w:tcPr>
          <w:p w14:paraId="3BD9A6B8">
            <w:pPr>
              <w:rPr>
                <w:rFonts w:ascii="Arial"/>
                <w:sz w:val="21"/>
              </w:rPr>
            </w:pPr>
          </w:p>
        </w:tc>
        <w:tc>
          <w:tcPr>
            <w:tcW w:w="120" w:type="dxa"/>
            <w:vMerge w:val="continue"/>
            <w:tcBorders>
              <w:top w:val="nil"/>
              <w:bottom w:val="nil"/>
            </w:tcBorders>
            <w:vAlign w:val="top"/>
          </w:tcPr>
          <w:p w14:paraId="4C16FD94">
            <w:pPr>
              <w:rPr>
                <w:rFonts w:ascii="Arial"/>
                <w:sz w:val="21"/>
              </w:rPr>
            </w:pPr>
          </w:p>
        </w:tc>
        <w:tc>
          <w:tcPr>
            <w:tcW w:w="539" w:type="dxa"/>
            <w:vAlign w:val="top"/>
          </w:tcPr>
          <w:p w14:paraId="1A6094A4">
            <w:pPr>
              <w:pStyle w:val="6"/>
              <w:spacing w:before="69" w:line="193" w:lineRule="auto"/>
              <w:ind w:left="51"/>
              <w:rPr>
                <w:sz w:val="21"/>
                <w:szCs w:val="21"/>
              </w:rPr>
            </w:pPr>
            <w:r>
              <w:rPr>
                <w:spacing w:val="-5"/>
                <w:sz w:val="21"/>
                <w:szCs w:val="21"/>
              </w:rPr>
              <w:t>1.3.</w:t>
            </w:r>
          </w:p>
          <w:p w14:paraId="44DF121B">
            <w:pPr>
              <w:pStyle w:val="6"/>
              <w:spacing w:line="158" w:lineRule="auto"/>
              <w:ind w:left="200"/>
              <w:rPr>
                <w:sz w:val="21"/>
                <w:szCs w:val="21"/>
              </w:rPr>
            </w:pPr>
            <w:r>
              <w:rPr>
                <w:sz w:val="21"/>
                <w:szCs w:val="21"/>
              </w:rPr>
              <w:t>4</w:t>
            </w:r>
          </w:p>
        </w:tc>
        <w:tc>
          <w:tcPr>
            <w:tcW w:w="2238" w:type="dxa"/>
            <w:vAlign w:val="top"/>
          </w:tcPr>
          <w:p w14:paraId="395CF7B0">
            <w:pPr>
              <w:pStyle w:val="6"/>
              <w:spacing w:before="148" w:line="219" w:lineRule="auto"/>
              <w:ind w:left="272"/>
              <w:rPr>
                <w:sz w:val="21"/>
                <w:szCs w:val="21"/>
              </w:rPr>
            </w:pPr>
            <w:r>
              <w:rPr>
                <w:spacing w:val="1"/>
                <w:sz w:val="21"/>
                <w:szCs w:val="21"/>
              </w:rPr>
              <w:t>35</w:t>
            </w:r>
            <w:r>
              <w:rPr>
                <w:sz w:val="21"/>
                <w:szCs w:val="21"/>
              </w:rPr>
              <w:t>kV</w:t>
            </w:r>
            <w:r>
              <w:rPr>
                <w:spacing w:val="1"/>
                <w:sz w:val="21"/>
                <w:szCs w:val="21"/>
              </w:rPr>
              <w:t>电力铝芯电缆</w:t>
            </w:r>
          </w:p>
        </w:tc>
        <w:tc>
          <w:tcPr>
            <w:tcW w:w="4065" w:type="dxa"/>
            <w:vAlign w:val="top"/>
          </w:tcPr>
          <w:p w14:paraId="08E4351A">
            <w:pPr>
              <w:pStyle w:val="6"/>
              <w:spacing w:before="146" w:line="218" w:lineRule="auto"/>
              <w:ind w:left="923"/>
              <w:rPr>
                <w:sz w:val="21"/>
                <w:szCs w:val="21"/>
              </w:rPr>
            </w:pPr>
            <w:r>
              <w:rPr>
                <w:spacing w:val="-1"/>
                <w:sz w:val="21"/>
                <w:szCs w:val="21"/>
              </w:rPr>
              <w:t>ZC-YJLV22-26/35-3x185</w:t>
            </w:r>
          </w:p>
        </w:tc>
        <w:tc>
          <w:tcPr>
            <w:tcW w:w="579" w:type="dxa"/>
            <w:vAlign w:val="top"/>
          </w:tcPr>
          <w:p w14:paraId="13A80343">
            <w:pPr>
              <w:pStyle w:val="6"/>
              <w:spacing w:before="182" w:line="241" w:lineRule="auto"/>
              <w:ind w:left="249"/>
              <w:rPr>
                <w:sz w:val="16"/>
                <w:szCs w:val="16"/>
              </w:rPr>
            </w:pPr>
            <w:r>
              <w:rPr>
                <w:sz w:val="16"/>
                <w:szCs w:val="16"/>
              </w:rPr>
              <w:t>m</w:t>
            </w:r>
          </w:p>
        </w:tc>
        <w:tc>
          <w:tcPr>
            <w:tcW w:w="969" w:type="dxa"/>
            <w:vAlign w:val="top"/>
          </w:tcPr>
          <w:p w14:paraId="418C2684">
            <w:pPr>
              <w:pStyle w:val="6"/>
              <w:spacing w:before="169" w:line="239" w:lineRule="auto"/>
              <w:ind w:left="109"/>
              <w:rPr>
                <w:sz w:val="21"/>
                <w:szCs w:val="21"/>
              </w:rPr>
            </w:pPr>
            <w:r>
              <w:rPr>
                <w:spacing w:val="-3"/>
                <w:sz w:val="21"/>
                <w:szCs w:val="21"/>
              </w:rPr>
              <w:t>1102.00</w:t>
            </w:r>
          </w:p>
        </w:tc>
        <w:tc>
          <w:tcPr>
            <w:tcW w:w="115" w:type="dxa"/>
            <w:tcBorders>
              <w:top w:val="nil"/>
              <w:bottom w:val="nil"/>
            </w:tcBorders>
            <w:vAlign w:val="top"/>
          </w:tcPr>
          <w:p w14:paraId="4D02344A">
            <w:pPr>
              <w:rPr>
                <w:rFonts w:ascii="Arial"/>
                <w:sz w:val="21"/>
              </w:rPr>
            </w:pPr>
          </w:p>
        </w:tc>
      </w:tr>
      <w:tr w14:paraId="53BC2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424" w:type="dxa"/>
            <w:vMerge w:val="continue"/>
            <w:tcBorders>
              <w:top w:val="nil"/>
              <w:bottom w:val="nil"/>
            </w:tcBorders>
            <w:vAlign w:val="top"/>
          </w:tcPr>
          <w:p w14:paraId="44A32811">
            <w:pPr>
              <w:rPr>
                <w:rFonts w:ascii="Arial"/>
                <w:sz w:val="21"/>
              </w:rPr>
            </w:pPr>
          </w:p>
        </w:tc>
        <w:tc>
          <w:tcPr>
            <w:tcW w:w="120" w:type="dxa"/>
            <w:vMerge w:val="continue"/>
            <w:tcBorders>
              <w:top w:val="nil"/>
              <w:bottom w:val="nil"/>
            </w:tcBorders>
            <w:vAlign w:val="top"/>
          </w:tcPr>
          <w:p w14:paraId="51D5094E">
            <w:pPr>
              <w:rPr>
                <w:rFonts w:ascii="Arial"/>
                <w:sz w:val="21"/>
              </w:rPr>
            </w:pPr>
          </w:p>
        </w:tc>
        <w:tc>
          <w:tcPr>
            <w:tcW w:w="539" w:type="dxa"/>
            <w:vAlign w:val="top"/>
          </w:tcPr>
          <w:p w14:paraId="2979859A">
            <w:pPr>
              <w:pStyle w:val="6"/>
              <w:spacing w:before="70" w:line="193" w:lineRule="auto"/>
              <w:ind w:left="51"/>
              <w:rPr>
                <w:sz w:val="21"/>
                <w:szCs w:val="21"/>
              </w:rPr>
            </w:pPr>
            <w:r>
              <w:rPr>
                <w:spacing w:val="-5"/>
                <w:sz w:val="21"/>
                <w:szCs w:val="21"/>
              </w:rPr>
              <w:t>1.3.</w:t>
            </w:r>
          </w:p>
          <w:p w14:paraId="5A4F4DE4">
            <w:pPr>
              <w:pStyle w:val="6"/>
              <w:spacing w:line="158" w:lineRule="auto"/>
              <w:ind w:left="200"/>
              <w:rPr>
                <w:sz w:val="21"/>
                <w:szCs w:val="21"/>
              </w:rPr>
            </w:pPr>
            <w:r>
              <w:rPr>
                <w:sz w:val="21"/>
                <w:szCs w:val="21"/>
              </w:rPr>
              <w:t>5</w:t>
            </w:r>
          </w:p>
        </w:tc>
        <w:tc>
          <w:tcPr>
            <w:tcW w:w="2238" w:type="dxa"/>
            <w:vAlign w:val="top"/>
          </w:tcPr>
          <w:p w14:paraId="5D420EB1">
            <w:pPr>
              <w:pStyle w:val="6"/>
              <w:spacing w:before="148" w:line="219" w:lineRule="auto"/>
              <w:ind w:left="272"/>
              <w:rPr>
                <w:sz w:val="21"/>
                <w:szCs w:val="21"/>
              </w:rPr>
            </w:pPr>
            <w:r>
              <w:rPr>
                <w:spacing w:val="1"/>
                <w:sz w:val="21"/>
                <w:szCs w:val="21"/>
              </w:rPr>
              <w:t>35</w:t>
            </w:r>
            <w:r>
              <w:rPr>
                <w:sz w:val="21"/>
                <w:szCs w:val="21"/>
              </w:rPr>
              <w:t>kV</w:t>
            </w:r>
            <w:r>
              <w:rPr>
                <w:spacing w:val="1"/>
                <w:sz w:val="21"/>
                <w:szCs w:val="21"/>
              </w:rPr>
              <w:t>电力铜芯电缆</w:t>
            </w:r>
          </w:p>
        </w:tc>
        <w:tc>
          <w:tcPr>
            <w:tcW w:w="4065" w:type="dxa"/>
            <w:vAlign w:val="top"/>
          </w:tcPr>
          <w:p w14:paraId="4618C77C">
            <w:pPr>
              <w:pStyle w:val="6"/>
              <w:spacing w:before="146" w:line="218" w:lineRule="auto"/>
              <w:ind w:left="973"/>
              <w:rPr>
                <w:sz w:val="21"/>
                <w:szCs w:val="21"/>
              </w:rPr>
            </w:pPr>
            <w:r>
              <w:rPr>
                <w:spacing w:val="-1"/>
                <w:sz w:val="21"/>
                <w:szCs w:val="21"/>
              </w:rPr>
              <w:t>ZC-YJV22-26/35-3x150</w:t>
            </w:r>
          </w:p>
        </w:tc>
        <w:tc>
          <w:tcPr>
            <w:tcW w:w="579" w:type="dxa"/>
            <w:vAlign w:val="top"/>
          </w:tcPr>
          <w:p w14:paraId="2EE837E0">
            <w:pPr>
              <w:pStyle w:val="6"/>
              <w:spacing w:before="169" w:line="241" w:lineRule="auto"/>
              <w:ind w:left="229"/>
              <w:rPr>
                <w:sz w:val="21"/>
                <w:szCs w:val="21"/>
              </w:rPr>
            </w:pPr>
            <w:r>
              <w:rPr>
                <w:sz w:val="21"/>
                <w:szCs w:val="21"/>
              </w:rPr>
              <w:t>m</w:t>
            </w:r>
          </w:p>
        </w:tc>
        <w:tc>
          <w:tcPr>
            <w:tcW w:w="969" w:type="dxa"/>
            <w:vAlign w:val="top"/>
          </w:tcPr>
          <w:p w14:paraId="11D6BAA2">
            <w:pPr>
              <w:pStyle w:val="6"/>
              <w:spacing w:before="169" w:line="239" w:lineRule="auto"/>
              <w:ind w:left="170"/>
              <w:rPr>
                <w:sz w:val="21"/>
                <w:szCs w:val="21"/>
              </w:rPr>
            </w:pPr>
            <w:r>
              <w:rPr>
                <w:spacing w:val="-2"/>
                <w:sz w:val="21"/>
                <w:szCs w:val="21"/>
              </w:rPr>
              <w:t>227.00</w:t>
            </w:r>
          </w:p>
        </w:tc>
        <w:tc>
          <w:tcPr>
            <w:tcW w:w="115" w:type="dxa"/>
            <w:tcBorders>
              <w:top w:val="nil"/>
              <w:bottom w:val="nil"/>
            </w:tcBorders>
            <w:vAlign w:val="top"/>
          </w:tcPr>
          <w:p w14:paraId="6A2106B6">
            <w:pPr>
              <w:rPr>
                <w:rFonts w:ascii="Arial"/>
                <w:sz w:val="21"/>
              </w:rPr>
            </w:pPr>
          </w:p>
        </w:tc>
      </w:tr>
      <w:tr w14:paraId="5DD7F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24" w:type="dxa"/>
            <w:vMerge w:val="continue"/>
            <w:tcBorders>
              <w:top w:val="nil"/>
              <w:bottom w:val="nil"/>
            </w:tcBorders>
            <w:vAlign w:val="top"/>
          </w:tcPr>
          <w:p w14:paraId="3BF02A86">
            <w:pPr>
              <w:rPr>
                <w:rFonts w:ascii="Arial"/>
                <w:sz w:val="21"/>
              </w:rPr>
            </w:pPr>
          </w:p>
        </w:tc>
        <w:tc>
          <w:tcPr>
            <w:tcW w:w="120" w:type="dxa"/>
            <w:vMerge w:val="continue"/>
            <w:tcBorders>
              <w:top w:val="nil"/>
              <w:bottom w:val="nil"/>
            </w:tcBorders>
            <w:vAlign w:val="top"/>
          </w:tcPr>
          <w:p w14:paraId="78D32896">
            <w:pPr>
              <w:rPr>
                <w:rFonts w:ascii="Arial"/>
                <w:sz w:val="21"/>
              </w:rPr>
            </w:pPr>
          </w:p>
        </w:tc>
        <w:tc>
          <w:tcPr>
            <w:tcW w:w="539" w:type="dxa"/>
            <w:vAlign w:val="top"/>
          </w:tcPr>
          <w:p w14:paraId="25498682">
            <w:pPr>
              <w:pStyle w:val="6"/>
              <w:spacing w:before="79" w:line="202" w:lineRule="auto"/>
              <w:ind w:left="51"/>
              <w:rPr>
                <w:sz w:val="21"/>
                <w:szCs w:val="21"/>
              </w:rPr>
            </w:pPr>
            <w:r>
              <w:rPr>
                <w:spacing w:val="-5"/>
                <w:sz w:val="21"/>
                <w:szCs w:val="21"/>
              </w:rPr>
              <w:t>1.3.</w:t>
            </w:r>
          </w:p>
          <w:p w14:paraId="551EF032">
            <w:pPr>
              <w:pStyle w:val="6"/>
              <w:spacing w:line="159" w:lineRule="exact"/>
              <w:ind w:left="200"/>
              <w:rPr>
                <w:sz w:val="21"/>
                <w:szCs w:val="21"/>
              </w:rPr>
            </w:pPr>
            <w:r>
              <w:rPr>
                <w:position w:val="-3"/>
                <w:sz w:val="21"/>
                <w:szCs w:val="21"/>
              </w:rPr>
              <w:t>6</w:t>
            </w:r>
          </w:p>
        </w:tc>
        <w:tc>
          <w:tcPr>
            <w:tcW w:w="2238" w:type="dxa"/>
            <w:vAlign w:val="top"/>
          </w:tcPr>
          <w:p w14:paraId="48302CE7">
            <w:pPr>
              <w:pStyle w:val="6"/>
              <w:spacing w:before="148" w:line="219" w:lineRule="auto"/>
              <w:ind w:left="272"/>
              <w:rPr>
                <w:sz w:val="21"/>
                <w:szCs w:val="21"/>
              </w:rPr>
            </w:pPr>
            <w:r>
              <w:rPr>
                <w:spacing w:val="1"/>
                <w:sz w:val="21"/>
                <w:szCs w:val="21"/>
              </w:rPr>
              <w:t>35</w:t>
            </w:r>
            <w:r>
              <w:rPr>
                <w:sz w:val="21"/>
                <w:szCs w:val="21"/>
              </w:rPr>
              <w:t>kV</w:t>
            </w:r>
            <w:r>
              <w:rPr>
                <w:spacing w:val="1"/>
                <w:sz w:val="21"/>
                <w:szCs w:val="21"/>
              </w:rPr>
              <w:t>电力铜芯电缆</w:t>
            </w:r>
          </w:p>
        </w:tc>
        <w:tc>
          <w:tcPr>
            <w:tcW w:w="4065" w:type="dxa"/>
            <w:vAlign w:val="top"/>
          </w:tcPr>
          <w:p w14:paraId="7C4D53CA">
            <w:pPr>
              <w:pStyle w:val="6"/>
              <w:spacing w:before="146" w:line="218" w:lineRule="auto"/>
              <w:ind w:left="973"/>
              <w:rPr>
                <w:sz w:val="21"/>
                <w:szCs w:val="21"/>
              </w:rPr>
            </w:pPr>
            <w:r>
              <w:rPr>
                <w:spacing w:val="-1"/>
                <w:sz w:val="21"/>
                <w:szCs w:val="21"/>
              </w:rPr>
              <w:t>ZC-YJV22-26/35-3x185</w:t>
            </w:r>
          </w:p>
        </w:tc>
        <w:tc>
          <w:tcPr>
            <w:tcW w:w="579" w:type="dxa"/>
            <w:vAlign w:val="top"/>
          </w:tcPr>
          <w:p w14:paraId="411F6649">
            <w:pPr>
              <w:pStyle w:val="6"/>
              <w:spacing w:before="169" w:line="241" w:lineRule="auto"/>
              <w:ind w:left="229"/>
              <w:rPr>
                <w:sz w:val="21"/>
                <w:szCs w:val="21"/>
              </w:rPr>
            </w:pPr>
            <w:r>
              <w:rPr>
                <w:sz w:val="21"/>
                <w:szCs w:val="21"/>
              </w:rPr>
              <w:t>m</w:t>
            </w:r>
          </w:p>
        </w:tc>
        <w:tc>
          <w:tcPr>
            <w:tcW w:w="969" w:type="dxa"/>
            <w:vAlign w:val="top"/>
          </w:tcPr>
          <w:p w14:paraId="338E6813">
            <w:pPr>
              <w:pStyle w:val="6"/>
              <w:spacing w:before="169" w:line="239" w:lineRule="auto"/>
              <w:ind w:left="170"/>
              <w:rPr>
                <w:sz w:val="21"/>
                <w:szCs w:val="21"/>
              </w:rPr>
            </w:pPr>
            <w:r>
              <w:rPr>
                <w:spacing w:val="-2"/>
                <w:sz w:val="21"/>
                <w:szCs w:val="21"/>
              </w:rPr>
              <w:t>521.00</w:t>
            </w:r>
          </w:p>
        </w:tc>
        <w:tc>
          <w:tcPr>
            <w:tcW w:w="115" w:type="dxa"/>
            <w:tcBorders>
              <w:top w:val="nil"/>
              <w:bottom w:val="nil"/>
            </w:tcBorders>
            <w:vAlign w:val="top"/>
          </w:tcPr>
          <w:p w14:paraId="3943AD67">
            <w:pPr>
              <w:rPr>
                <w:rFonts w:ascii="Arial"/>
                <w:sz w:val="21"/>
              </w:rPr>
            </w:pPr>
          </w:p>
        </w:tc>
      </w:tr>
      <w:tr w14:paraId="6B8D8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4" w:type="dxa"/>
            <w:vMerge w:val="continue"/>
            <w:tcBorders>
              <w:top w:val="nil"/>
            </w:tcBorders>
            <w:vAlign w:val="top"/>
          </w:tcPr>
          <w:p w14:paraId="4F036DE3">
            <w:pPr>
              <w:rPr>
                <w:rFonts w:ascii="Arial"/>
                <w:sz w:val="21"/>
              </w:rPr>
            </w:pPr>
          </w:p>
        </w:tc>
        <w:tc>
          <w:tcPr>
            <w:tcW w:w="120" w:type="dxa"/>
            <w:vMerge w:val="continue"/>
            <w:tcBorders>
              <w:top w:val="nil"/>
            </w:tcBorders>
            <w:vAlign w:val="top"/>
          </w:tcPr>
          <w:p w14:paraId="7C52BA51">
            <w:pPr>
              <w:rPr>
                <w:rFonts w:ascii="Arial"/>
                <w:sz w:val="21"/>
              </w:rPr>
            </w:pPr>
          </w:p>
        </w:tc>
        <w:tc>
          <w:tcPr>
            <w:tcW w:w="539" w:type="dxa"/>
            <w:vAlign w:val="top"/>
          </w:tcPr>
          <w:p w14:paraId="5D2F2BAA">
            <w:pPr>
              <w:pStyle w:val="6"/>
              <w:spacing w:before="60" w:line="180" w:lineRule="auto"/>
              <w:ind w:left="51"/>
              <w:rPr>
                <w:sz w:val="21"/>
                <w:szCs w:val="21"/>
              </w:rPr>
            </w:pPr>
            <w:r>
              <w:rPr>
                <w:spacing w:val="-5"/>
                <w:sz w:val="21"/>
                <w:szCs w:val="21"/>
              </w:rPr>
              <w:t>1.3.</w:t>
            </w:r>
          </w:p>
        </w:tc>
        <w:tc>
          <w:tcPr>
            <w:tcW w:w="2238" w:type="dxa"/>
            <w:vAlign w:val="top"/>
          </w:tcPr>
          <w:p w14:paraId="5AC1A13C">
            <w:pPr>
              <w:pStyle w:val="6"/>
              <w:spacing w:before="39" w:line="198" w:lineRule="auto"/>
              <w:ind w:left="272"/>
              <w:rPr>
                <w:sz w:val="21"/>
                <w:szCs w:val="21"/>
              </w:rPr>
            </w:pPr>
            <w:r>
              <w:rPr>
                <w:spacing w:val="1"/>
                <w:sz w:val="21"/>
                <w:szCs w:val="21"/>
              </w:rPr>
              <w:t>35</w:t>
            </w:r>
            <w:r>
              <w:rPr>
                <w:sz w:val="21"/>
                <w:szCs w:val="21"/>
              </w:rPr>
              <w:t>kV</w:t>
            </w:r>
            <w:r>
              <w:rPr>
                <w:spacing w:val="1"/>
                <w:sz w:val="21"/>
                <w:szCs w:val="21"/>
              </w:rPr>
              <w:t>电力铜芯电缆</w:t>
            </w:r>
          </w:p>
        </w:tc>
        <w:tc>
          <w:tcPr>
            <w:tcW w:w="4065" w:type="dxa"/>
            <w:vAlign w:val="top"/>
          </w:tcPr>
          <w:p w14:paraId="4F1E4678">
            <w:pPr>
              <w:pStyle w:val="6"/>
              <w:spacing w:before="37" w:line="200" w:lineRule="auto"/>
              <w:ind w:left="973"/>
              <w:rPr>
                <w:sz w:val="21"/>
                <w:szCs w:val="21"/>
              </w:rPr>
            </w:pPr>
            <w:r>
              <w:rPr>
                <w:spacing w:val="-1"/>
                <w:sz w:val="21"/>
                <w:szCs w:val="21"/>
              </w:rPr>
              <w:t>ZC-YJV62-26/35-1x300</w:t>
            </w:r>
          </w:p>
        </w:tc>
        <w:tc>
          <w:tcPr>
            <w:tcW w:w="579" w:type="dxa"/>
            <w:vAlign w:val="top"/>
          </w:tcPr>
          <w:p w14:paraId="726A4139">
            <w:pPr>
              <w:pStyle w:val="6"/>
              <w:spacing w:before="83" w:line="209" w:lineRule="auto"/>
              <w:ind w:left="249"/>
              <w:rPr>
                <w:sz w:val="16"/>
                <w:szCs w:val="16"/>
              </w:rPr>
            </w:pPr>
            <w:r>
              <w:rPr>
                <w:sz w:val="16"/>
                <w:szCs w:val="16"/>
              </w:rPr>
              <w:t>m</w:t>
            </w:r>
          </w:p>
        </w:tc>
        <w:tc>
          <w:tcPr>
            <w:tcW w:w="969" w:type="dxa"/>
            <w:vAlign w:val="top"/>
          </w:tcPr>
          <w:p w14:paraId="08C678B2">
            <w:pPr>
              <w:pStyle w:val="6"/>
              <w:spacing w:before="60" w:line="180" w:lineRule="auto"/>
              <w:ind w:left="109"/>
              <w:rPr>
                <w:sz w:val="21"/>
                <w:szCs w:val="21"/>
              </w:rPr>
            </w:pPr>
            <w:r>
              <w:rPr>
                <w:spacing w:val="-3"/>
                <w:sz w:val="21"/>
                <w:szCs w:val="21"/>
              </w:rPr>
              <w:t>10951.0</w:t>
            </w:r>
          </w:p>
        </w:tc>
        <w:tc>
          <w:tcPr>
            <w:tcW w:w="115" w:type="dxa"/>
            <w:tcBorders>
              <w:top w:val="nil"/>
            </w:tcBorders>
            <w:vAlign w:val="top"/>
          </w:tcPr>
          <w:p w14:paraId="0D7C8BB2">
            <w:pPr>
              <w:rPr>
                <w:rFonts w:ascii="Arial"/>
                <w:sz w:val="21"/>
              </w:rPr>
            </w:pPr>
          </w:p>
        </w:tc>
      </w:tr>
    </w:tbl>
    <w:p w14:paraId="63ECF1DE">
      <w:pPr>
        <w:pStyle w:val="2"/>
      </w:pPr>
    </w:p>
    <w:p w14:paraId="77B06838">
      <w:pPr>
        <w:sectPr>
          <w:footerReference r:id="rId48" w:type="default"/>
          <w:pgSz w:w="11910" w:h="16840"/>
          <w:pgMar w:top="1431" w:right="1445" w:bottom="1269" w:left="1405" w:header="0" w:footer="1089" w:gutter="0"/>
          <w:cols w:space="720" w:num="1"/>
        </w:sectPr>
      </w:pPr>
    </w:p>
    <w:p w14:paraId="6A07EEC8">
      <w:pPr>
        <w:spacing w:line="93"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30"/>
        <w:gridCol w:w="539"/>
        <w:gridCol w:w="2218"/>
        <w:gridCol w:w="4075"/>
        <w:gridCol w:w="579"/>
        <w:gridCol w:w="959"/>
        <w:gridCol w:w="135"/>
      </w:tblGrid>
      <w:tr w14:paraId="70AF7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424" w:type="dxa"/>
            <w:vMerge w:val="restart"/>
            <w:tcBorders>
              <w:bottom w:val="nil"/>
            </w:tcBorders>
            <w:vAlign w:val="top"/>
          </w:tcPr>
          <w:p w14:paraId="7B8613DD">
            <w:pPr>
              <w:rPr>
                <w:rFonts w:ascii="Arial"/>
                <w:sz w:val="21"/>
              </w:rPr>
            </w:pPr>
          </w:p>
        </w:tc>
        <w:tc>
          <w:tcPr>
            <w:tcW w:w="130" w:type="dxa"/>
            <w:vMerge w:val="restart"/>
            <w:tcBorders>
              <w:bottom w:val="nil"/>
            </w:tcBorders>
            <w:vAlign w:val="top"/>
          </w:tcPr>
          <w:p w14:paraId="26080974">
            <w:pPr>
              <w:rPr>
                <w:rFonts w:ascii="Arial"/>
                <w:sz w:val="21"/>
              </w:rPr>
            </w:pPr>
          </w:p>
        </w:tc>
        <w:tc>
          <w:tcPr>
            <w:tcW w:w="539" w:type="dxa"/>
            <w:vAlign w:val="top"/>
          </w:tcPr>
          <w:p w14:paraId="55531448">
            <w:pPr>
              <w:pStyle w:val="6"/>
              <w:spacing w:before="44" w:line="176" w:lineRule="auto"/>
              <w:ind w:left="200"/>
              <w:rPr>
                <w:sz w:val="21"/>
                <w:szCs w:val="21"/>
              </w:rPr>
            </w:pPr>
            <w:r>
              <w:rPr>
                <w:sz w:val="21"/>
                <w:szCs w:val="21"/>
              </w:rPr>
              <w:t>7</w:t>
            </w:r>
          </w:p>
        </w:tc>
        <w:tc>
          <w:tcPr>
            <w:tcW w:w="2218" w:type="dxa"/>
            <w:vAlign w:val="top"/>
          </w:tcPr>
          <w:p w14:paraId="50CBDEB7">
            <w:pPr>
              <w:rPr>
                <w:rFonts w:ascii="Arial"/>
                <w:sz w:val="21"/>
              </w:rPr>
            </w:pPr>
          </w:p>
        </w:tc>
        <w:tc>
          <w:tcPr>
            <w:tcW w:w="4075" w:type="dxa"/>
            <w:vAlign w:val="top"/>
          </w:tcPr>
          <w:p w14:paraId="73B06FA9">
            <w:pPr>
              <w:rPr>
                <w:rFonts w:ascii="Arial"/>
                <w:sz w:val="21"/>
              </w:rPr>
            </w:pPr>
          </w:p>
        </w:tc>
        <w:tc>
          <w:tcPr>
            <w:tcW w:w="579" w:type="dxa"/>
            <w:vAlign w:val="top"/>
          </w:tcPr>
          <w:p w14:paraId="6E0C74C6">
            <w:pPr>
              <w:rPr>
                <w:rFonts w:ascii="Arial"/>
                <w:sz w:val="21"/>
              </w:rPr>
            </w:pPr>
          </w:p>
        </w:tc>
        <w:tc>
          <w:tcPr>
            <w:tcW w:w="959" w:type="dxa"/>
            <w:vAlign w:val="top"/>
          </w:tcPr>
          <w:p w14:paraId="6B63635C">
            <w:pPr>
              <w:pStyle w:val="6"/>
              <w:spacing w:before="44" w:line="176" w:lineRule="auto"/>
              <w:ind w:left="420"/>
              <w:rPr>
                <w:sz w:val="21"/>
                <w:szCs w:val="21"/>
              </w:rPr>
            </w:pPr>
            <w:r>
              <w:rPr>
                <w:sz w:val="21"/>
                <w:szCs w:val="21"/>
              </w:rPr>
              <w:t>0</w:t>
            </w:r>
          </w:p>
        </w:tc>
        <w:tc>
          <w:tcPr>
            <w:tcW w:w="135" w:type="dxa"/>
            <w:tcBorders>
              <w:bottom w:val="nil"/>
            </w:tcBorders>
            <w:vAlign w:val="top"/>
          </w:tcPr>
          <w:p w14:paraId="62A2B00D">
            <w:pPr>
              <w:rPr>
                <w:rFonts w:ascii="Arial"/>
                <w:sz w:val="21"/>
              </w:rPr>
            </w:pPr>
          </w:p>
        </w:tc>
      </w:tr>
      <w:tr w14:paraId="33ACE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24" w:type="dxa"/>
            <w:vMerge w:val="continue"/>
            <w:tcBorders>
              <w:top w:val="nil"/>
              <w:bottom w:val="nil"/>
            </w:tcBorders>
            <w:vAlign w:val="top"/>
          </w:tcPr>
          <w:p w14:paraId="2D240AED">
            <w:pPr>
              <w:rPr>
                <w:rFonts w:ascii="Arial"/>
                <w:sz w:val="21"/>
              </w:rPr>
            </w:pPr>
          </w:p>
        </w:tc>
        <w:tc>
          <w:tcPr>
            <w:tcW w:w="130" w:type="dxa"/>
            <w:vMerge w:val="continue"/>
            <w:tcBorders>
              <w:top w:val="nil"/>
              <w:bottom w:val="nil"/>
            </w:tcBorders>
            <w:vAlign w:val="top"/>
          </w:tcPr>
          <w:p w14:paraId="082D7A6B">
            <w:pPr>
              <w:rPr>
                <w:rFonts w:ascii="Arial"/>
                <w:sz w:val="21"/>
              </w:rPr>
            </w:pPr>
          </w:p>
        </w:tc>
        <w:tc>
          <w:tcPr>
            <w:tcW w:w="539" w:type="dxa"/>
            <w:vAlign w:val="top"/>
          </w:tcPr>
          <w:p w14:paraId="62901801">
            <w:pPr>
              <w:pStyle w:val="6"/>
              <w:spacing w:before="59" w:line="185" w:lineRule="auto"/>
              <w:ind w:left="100"/>
              <w:rPr>
                <w:sz w:val="21"/>
                <w:szCs w:val="21"/>
              </w:rPr>
            </w:pPr>
            <w:r>
              <w:rPr>
                <w:spacing w:val="-6"/>
                <w:sz w:val="21"/>
                <w:szCs w:val="21"/>
              </w:rPr>
              <w:t>1.4</w:t>
            </w:r>
          </w:p>
        </w:tc>
        <w:tc>
          <w:tcPr>
            <w:tcW w:w="2218" w:type="dxa"/>
            <w:vAlign w:val="top"/>
          </w:tcPr>
          <w:p w14:paraId="3A5B2814">
            <w:pPr>
              <w:pStyle w:val="6"/>
              <w:spacing w:before="37" w:line="204" w:lineRule="auto"/>
              <w:ind w:left="471"/>
              <w:rPr>
                <w:sz w:val="21"/>
                <w:szCs w:val="21"/>
              </w:rPr>
            </w:pPr>
            <w:r>
              <w:rPr>
                <w:spacing w:val="1"/>
                <w:sz w:val="21"/>
                <w:szCs w:val="21"/>
              </w:rPr>
              <w:t>35</w:t>
            </w:r>
            <w:r>
              <w:rPr>
                <w:sz w:val="21"/>
                <w:szCs w:val="21"/>
              </w:rPr>
              <w:t>kV</w:t>
            </w:r>
            <w:r>
              <w:rPr>
                <w:spacing w:val="1"/>
                <w:sz w:val="21"/>
                <w:szCs w:val="21"/>
              </w:rPr>
              <w:t>架空线路</w:t>
            </w:r>
          </w:p>
        </w:tc>
        <w:tc>
          <w:tcPr>
            <w:tcW w:w="4075" w:type="dxa"/>
            <w:vAlign w:val="top"/>
          </w:tcPr>
          <w:p w14:paraId="24039BBA">
            <w:pPr>
              <w:rPr>
                <w:rFonts w:ascii="Arial"/>
                <w:sz w:val="21"/>
              </w:rPr>
            </w:pPr>
          </w:p>
        </w:tc>
        <w:tc>
          <w:tcPr>
            <w:tcW w:w="579" w:type="dxa"/>
            <w:vAlign w:val="top"/>
          </w:tcPr>
          <w:p w14:paraId="68D949F3">
            <w:pPr>
              <w:rPr>
                <w:rFonts w:ascii="Arial"/>
                <w:sz w:val="21"/>
              </w:rPr>
            </w:pPr>
          </w:p>
        </w:tc>
        <w:tc>
          <w:tcPr>
            <w:tcW w:w="959" w:type="dxa"/>
            <w:vAlign w:val="top"/>
          </w:tcPr>
          <w:p w14:paraId="3899F341">
            <w:pPr>
              <w:rPr>
                <w:rFonts w:ascii="Arial"/>
                <w:sz w:val="21"/>
              </w:rPr>
            </w:pPr>
          </w:p>
        </w:tc>
        <w:tc>
          <w:tcPr>
            <w:tcW w:w="135" w:type="dxa"/>
            <w:tcBorders>
              <w:top w:val="nil"/>
              <w:bottom w:val="nil"/>
            </w:tcBorders>
            <w:vAlign w:val="top"/>
          </w:tcPr>
          <w:p w14:paraId="2C17C90B">
            <w:pPr>
              <w:rPr>
                <w:rFonts w:ascii="Arial"/>
                <w:sz w:val="21"/>
              </w:rPr>
            </w:pPr>
          </w:p>
        </w:tc>
      </w:tr>
      <w:tr w14:paraId="551F8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424" w:type="dxa"/>
            <w:vMerge w:val="continue"/>
            <w:tcBorders>
              <w:top w:val="nil"/>
              <w:bottom w:val="nil"/>
            </w:tcBorders>
            <w:vAlign w:val="top"/>
          </w:tcPr>
          <w:p w14:paraId="16813919">
            <w:pPr>
              <w:rPr>
                <w:rFonts w:ascii="Arial"/>
                <w:sz w:val="21"/>
              </w:rPr>
            </w:pPr>
          </w:p>
        </w:tc>
        <w:tc>
          <w:tcPr>
            <w:tcW w:w="130" w:type="dxa"/>
            <w:vMerge w:val="continue"/>
            <w:tcBorders>
              <w:top w:val="nil"/>
              <w:bottom w:val="nil"/>
            </w:tcBorders>
            <w:vAlign w:val="top"/>
          </w:tcPr>
          <w:p w14:paraId="71EA7FC3">
            <w:pPr>
              <w:rPr>
                <w:rFonts w:ascii="Arial"/>
                <w:sz w:val="21"/>
              </w:rPr>
            </w:pPr>
          </w:p>
        </w:tc>
        <w:tc>
          <w:tcPr>
            <w:tcW w:w="539" w:type="dxa"/>
            <w:vAlign w:val="top"/>
          </w:tcPr>
          <w:p w14:paraId="5AAE37EA">
            <w:pPr>
              <w:pStyle w:val="6"/>
              <w:spacing w:before="199" w:line="202" w:lineRule="auto"/>
              <w:ind w:left="51"/>
              <w:rPr>
                <w:sz w:val="21"/>
                <w:szCs w:val="21"/>
              </w:rPr>
            </w:pPr>
            <w:r>
              <w:rPr>
                <w:spacing w:val="-5"/>
                <w:sz w:val="21"/>
                <w:szCs w:val="21"/>
              </w:rPr>
              <w:t>1.4.</w:t>
            </w:r>
          </w:p>
          <w:p w14:paraId="30570261">
            <w:pPr>
              <w:pStyle w:val="6"/>
              <w:spacing w:before="1"/>
              <w:ind w:left="200"/>
              <w:rPr>
                <w:sz w:val="21"/>
                <w:szCs w:val="21"/>
              </w:rPr>
            </w:pPr>
            <w:r>
              <w:rPr>
                <w:sz w:val="21"/>
                <w:szCs w:val="21"/>
              </w:rPr>
              <w:t>1</w:t>
            </w:r>
          </w:p>
        </w:tc>
        <w:tc>
          <w:tcPr>
            <w:tcW w:w="2218" w:type="dxa"/>
            <w:vAlign w:val="top"/>
          </w:tcPr>
          <w:p w14:paraId="67E65502">
            <w:pPr>
              <w:pStyle w:val="6"/>
              <w:spacing w:before="279" w:line="220" w:lineRule="auto"/>
              <w:ind w:left="572"/>
              <w:rPr>
                <w:sz w:val="21"/>
                <w:szCs w:val="21"/>
              </w:rPr>
            </w:pPr>
            <w:r>
              <w:rPr>
                <w:spacing w:val="2"/>
                <w:sz w:val="21"/>
                <w:szCs w:val="21"/>
              </w:rPr>
              <w:t>35</w:t>
            </w:r>
            <w:r>
              <w:rPr>
                <w:sz w:val="21"/>
                <w:szCs w:val="21"/>
              </w:rPr>
              <w:t>kV</w:t>
            </w:r>
            <w:r>
              <w:rPr>
                <w:spacing w:val="2"/>
                <w:sz w:val="21"/>
                <w:szCs w:val="21"/>
              </w:rPr>
              <w:t>单回线</w:t>
            </w:r>
          </w:p>
        </w:tc>
        <w:tc>
          <w:tcPr>
            <w:tcW w:w="4075" w:type="dxa"/>
            <w:vAlign w:val="top"/>
          </w:tcPr>
          <w:p w14:paraId="4D45F9B6">
            <w:pPr>
              <w:pStyle w:val="6"/>
              <w:spacing w:before="275" w:line="216" w:lineRule="auto"/>
              <w:ind w:left="244"/>
              <w:rPr>
                <w:sz w:val="21"/>
                <w:szCs w:val="21"/>
              </w:rPr>
            </w:pPr>
            <w:r>
              <w:rPr>
                <w:spacing w:val="-1"/>
                <w:sz w:val="21"/>
                <w:szCs w:val="21"/>
              </w:rPr>
              <w:t>覆冰5mm,导线截面JNRLH60/G1A-300/40</w:t>
            </w:r>
          </w:p>
        </w:tc>
        <w:tc>
          <w:tcPr>
            <w:tcW w:w="579" w:type="dxa"/>
            <w:vAlign w:val="top"/>
          </w:tcPr>
          <w:p w14:paraId="6A1AEC24">
            <w:pPr>
              <w:pStyle w:val="6"/>
              <w:spacing w:before="299" w:line="241" w:lineRule="auto"/>
              <w:ind w:left="178"/>
              <w:rPr>
                <w:sz w:val="21"/>
                <w:szCs w:val="21"/>
              </w:rPr>
            </w:pPr>
            <w:r>
              <w:rPr>
                <w:spacing w:val="-2"/>
                <w:sz w:val="21"/>
                <w:szCs w:val="21"/>
              </w:rPr>
              <w:t>km</w:t>
            </w:r>
          </w:p>
        </w:tc>
        <w:tc>
          <w:tcPr>
            <w:tcW w:w="959" w:type="dxa"/>
            <w:vAlign w:val="top"/>
          </w:tcPr>
          <w:p w14:paraId="71698B13">
            <w:pPr>
              <w:pStyle w:val="6"/>
              <w:spacing w:before="299" w:line="239" w:lineRule="auto"/>
              <w:ind w:left="210"/>
              <w:rPr>
                <w:sz w:val="21"/>
                <w:szCs w:val="21"/>
              </w:rPr>
            </w:pPr>
            <w:r>
              <w:rPr>
                <w:spacing w:val="-2"/>
                <w:sz w:val="21"/>
                <w:szCs w:val="21"/>
              </w:rPr>
              <w:t>29.43</w:t>
            </w:r>
          </w:p>
        </w:tc>
        <w:tc>
          <w:tcPr>
            <w:tcW w:w="135" w:type="dxa"/>
            <w:tcBorders>
              <w:top w:val="nil"/>
              <w:bottom w:val="nil"/>
            </w:tcBorders>
            <w:vAlign w:val="top"/>
          </w:tcPr>
          <w:p w14:paraId="76EBD3C7">
            <w:pPr>
              <w:rPr>
                <w:rFonts w:ascii="Arial"/>
                <w:sz w:val="21"/>
              </w:rPr>
            </w:pPr>
          </w:p>
        </w:tc>
      </w:tr>
      <w:tr w14:paraId="32923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424" w:type="dxa"/>
            <w:vMerge w:val="continue"/>
            <w:tcBorders>
              <w:top w:val="nil"/>
              <w:bottom w:val="nil"/>
            </w:tcBorders>
            <w:vAlign w:val="top"/>
          </w:tcPr>
          <w:p w14:paraId="5410F8F1">
            <w:pPr>
              <w:rPr>
                <w:rFonts w:ascii="Arial"/>
                <w:sz w:val="21"/>
              </w:rPr>
            </w:pPr>
          </w:p>
        </w:tc>
        <w:tc>
          <w:tcPr>
            <w:tcW w:w="130" w:type="dxa"/>
            <w:vMerge w:val="continue"/>
            <w:tcBorders>
              <w:top w:val="nil"/>
              <w:bottom w:val="nil"/>
            </w:tcBorders>
            <w:vAlign w:val="top"/>
          </w:tcPr>
          <w:p w14:paraId="70A52852">
            <w:pPr>
              <w:rPr>
                <w:rFonts w:ascii="Arial"/>
                <w:sz w:val="21"/>
              </w:rPr>
            </w:pPr>
          </w:p>
        </w:tc>
        <w:tc>
          <w:tcPr>
            <w:tcW w:w="539" w:type="dxa"/>
            <w:vAlign w:val="top"/>
          </w:tcPr>
          <w:p w14:paraId="33330737">
            <w:pPr>
              <w:pStyle w:val="6"/>
              <w:spacing w:before="190" w:line="211" w:lineRule="auto"/>
              <w:ind w:left="51"/>
              <w:rPr>
                <w:sz w:val="21"/>
                <w:szCs w:val="21"/>
              </w:rPr>
            </w:pPr>
            <w:r>
              <w:rPr>
                <w:spacing w:val="-5"/>
                <w:sz w:val="21"/>
                <w:szCs w:val="21"/>
              </w:rPr>
              <w:t>1.4.</w:t>
            </w:r>
          </w:p>
          <w:p w14:paraId="5219F74B">
            <w:pPr>
              <w:pStyle w:val="6"/>
              <w:spacing w:before="1"/>
              <w:ind w:left="200"/>
              <w:rPr>
                <w:sz w:val="21"/>
                <w:szCs w:val="21"/>
              </w:rPr>
            </w:pPr>
            <w:r>
              <w:rPr>
                <w:sz w:val="21"/>
                <w:szCs w:val="21"/>
              </w:rPr>
              <w:t>2</w:t>
            </w:r>
          </w:p>
        </w:tc>
        <w:tc>
          <w:tcPr>
            <w:tcW w:w="2218" w:type="dxa"/>
            <w:vAlign w:val="top"/>
          </w:tcPr>
          <w:p w14:paraId="6E385E56">
            <w:pPr>
              <w:pStyle w:val="6"/>
              <w:spacing w:before="280" w:line="220" w:lineRule="auto"/>
              <w:ind w:left="572"/>
              <w:rPr>
                <w:sz w:val="21"/>
                <w:szCs w:val="21"/>
              </w:rPr>
            </w:pPr>
            <w:r>
              <w:rPr>
                <w:spacing w:val="2"/>
                <w:sz w:val="21"/>
                <w:szCs w:val="21"/>
              </w:rPr>
              <w:t>35</w:t>
            </w:r>
            <w:r>
              <w:rPr>
                <w:sz w:val="21"/>
                <w:szCs w:val="21"/>
              </w:rPr>
              <w:t>KV</w:t>
            </w:r>
            <w:r>
              <w:rPr>
                <w:spacing w:val="2"/>
                <w:sz w:val="21"/>
                <w:szCs w:val="21"/>
              </w:rPr>
              <w:t>双回线</w:t>
            </w:r>
          </w:p>
        </w:tc>
        <w:tc>
          <w:tcPr>
            <w:tcW w:w="4075" w:type="dxa"/>
            <w:vAlign w:val="top"/>
          </w:tcPr>
          <w:p w14:paraId="001F545B">
            <w:pPr>
              <w:pStyle w:val="6"/>
              <w:spacing w:before="276" w:line="216" w:lineRule="auto"/>
              <w:ind w:left="244"/>
              <w:rPr>
                <w:sz w:val="21"/>
                <w:szCs w:val="21"/>
              </w:rPr>
            </w:pPr>
            <w:r>
              <w:rPr>
                <w:spacing w:val="-1"/>
                <w:sz w:val="21"/>
                <w:szCs w:val="21"/>
              </w:rPr>
              <w:t>覆冰5mm,导线截面JNRLH60/G1A-300/40</w:t>
            </w:r>
          </w:p>
        </w:tc>
        <w:tc>
          <w:tcPr>
            <w:tcW w:w="579" w:type="dxa"/>
            <w:vAlign w:val="top"/>
          </w:tcPr>
          <w:p w14:paraId="185898FC">
            <w:pPr>
              <w:pStyle w:val="6"/>
              <w:spacing w:before="300" w:line="241" w:lineRule="auto"/>
              <w:ind w:left="178"/>
              <w:rPr>
                <w:sz w:val="21"/>
                <w:szCs w:val="21"/>
              </w:rPr>
            </w:pPr>
            <w:r>
              <w:rPr>
                <w:spacing w:val="-2"/>
                <w:sz w:val="21"/>
                <w:szCs w:val="21"/>
              </w:rPr>
              <w:t>km</w:t>
            </w:r>
          </w:p>
        </w:tc>
        <w:tc>
          <w:tcPr>
            <w:tcW w:w="959" w:type="dxa"/>
            <w:vAlign w:val="top"/>
          </w:tcPr>
          <w:p w14:paraId="5A341F8C">
            <w:pPr>
              <w:pStyle w:val="6"/>
              <w:spacing w:before="300" w:line="239" w:lineRule="auto"/>
              <w:ind w:left="210"/>
              <w:rPr>
                <w:sz w:val="21"/>
                <w:szCs w:val="21"/>
              </w:rPr>
            </w:pPr>
            <w:r>
              <w:rPr>
                <w:spacing w:val="-4"/>
                <w:sz w:val="21"/>
                <w:szCs w:val="21"/>
              </w:rPr>
              <w:t>14.78</w:t>
            </w:r>
          </w:p>
        </w:tc>
        <w:tc>
          <w:tcPr>
            <w:tcW w:w="135" w:type="dxa"/>
            <w:tcBorders>
              <w:top w:val="nil"/>
              <w:bottom w:val="nil"/>
            </w:tcBorders>
            <w:vAlign w:val="top"/>
          </w:tcPr>
          <w:p w14:paraId="18E038C0">
            <w:pPr>
              <w:rPr>
                <w:rFonts w:ascii="Arial"/>
                <w:sz w:val="21"/>
              </w:rPr>
            </w:pPr>
          </w:p>
        </w:tc>
      </w:tr>
      <w:tr w14:paraId="488B2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24" w:type="dxa"/>
            <w:vMerge w:val="continue"/>
            <w:tcBorders>
              <w:top w:val="nil"/>
              <w:bottom w:val="nil"/>
            </w:tcBorders>
            <w:vAlign w:val="top"/>
          </w:tcPr>
          <w:p w14:paraId="76FD77B0">
            <w:pPr>
              <w:rPr>
                <w:rFonts w:ascii="Arial"/>
                <w:sz w:val="21"/>
              </w:rPr>
            </w:pPr>
          </w:p>
        </w:tc>
        <w:tc>
          <w:tcPr>
            <w:tcW w:w="130" w:type="dxa"/>
            <w:vMerge w:val="continue"/>
            <w:tcBorders>
              <w:top w:val="nil"/>
              <w:bottom w:val="nil"/>
            </w:tcBorders>
            <w:vAlign w:val="top"/>
          </w:tcPr>
          <w:p w14:paraId="2A54912D">
            <w:pPr>
              <w:rPr>
                <w:rFonts w:ascii="Arial"/>
                <w:sz w:val="21"/>
              </w:rPr>
            </w:pPr>
          </w:p>
        </w:tc>
        <w:tc>
          <w:tcPr>
            <w:tcW w:w="539" w:type="dxa"/>
            <w:vAlign w:val="top"/>
          </w:tcPr>
          <w:p w14:paraId="7BA37498">
            <w:pPr>
              <w:pStyle w:val="6"/>
              <w:spacing w:before="51" w:line="183" w:lineRule="auto"/>
              <w:ind w:left="100"/>
              <w:rPr>
                <w:sz w:val="21"/>
                <w:szCs w:val="21"/>
              </w:rPr>
            </w:pPr>
            <w:r>
              <w:rPr>
                <w:spacing w:val="-6"/>
                <w:sz w:val="21"/>
                <w:szCs w:val="21"/>
              </w:rPr>
              <w:t>1.5</w:t>
            </w:r>
          </w:p>
        </w:tc>
        <w:tc>
          <w:tcPr>
            <w:tcW w:w="2218" w:type="dxa"/>
            <w:vAlign w:val="top"/>
          </w:tcPr>
          <w:p w14:paraId="6FC28F83">
            <w:pPr>
              <w:pStyle w:val="6"/>
              <w:spacing w:before="32" w:line="200" w:lineRule="auto"/>
              <w:ind w:left="891"/>
              <w:rPr>
                <w:sz w:val="21"/>
                <w:szCs w:val="21"/>
              </w:rPr>
            </w:pPr>
            <w:r>
              <w:rPr>
                <w:spacing w:val="-2"/>
                <w:sz w:val="21"/>
                <w:szCs w:val="21"/>
              </w:rPr>
              <w:t>接地</w:t>
            </w:r>
          </w:p>
        </w:tc>
        <w:tc>
          <w:tcPr>
            <w:tcW w:w="4075" w:type="dxa"/>
            <w:vAlign w:val="top"/>
          </w:tcPr>
          <w:p w14:paraId="51920A41">
            <w:pPr>
              <w:rPr>
                <w:rFonts w:ascii="Arial"/>
                <w:sz w:val="21"/>
              </w:rPr>
            </w:pPr>
          </w:p>
        </w:tc>
        <w:tc>
          <w:tcPr>
            <w:tcW w:w="579" w:type="dxa"/>
            <w:vAlign w:val="top"/>
          </w:tcPr>
          <w:p w14:paraId="141EDA54">
            <w:pPr>
              <w:rPr>
                <w:rFonts w:ascii="Arial"/>
                <w:sz w:val="21"/>
              </w:rPr>
            </w:pPr>
          </w:p>
        </w:tc>
        <w:tc>
          <w:tcPr>
            <w:tcW w:w="959" w:type="dxa"/>
            <w:vAlign w:val="top"/>
          </w:tcPr>
          <w:p w14:paraId="351E9EE0">
            <w:pPr>
              <w:rPr>
                <w:rFonts w:ascii="Arial"/>
                <w:sz w:val="21"/>
              </w:rPr>
            </w:pPr>
          </w:p>
        </w:tc>
        <w:tc>
          <w:tcPr>
            <w:tcW w:w="135" w:type="dxa"/>
            <w:tcBorders>
              <w:top w:val="nil"/>
              <w:bottom w:val="nil"/>
            </w:tcBorders>
            <w:vAlign w:val="top"/>
          </w:tcPr>
          <w:p w14:paraId="004F4089">
            <w:pPr>
              <w:rPr>
                <w:rFonts w:ascii="Arial"/>
                <w:sz w:val="21"/>
              </w:rPr>
            </w:pPr>
          </w:p>
        </w:tc>
      </w:tr>
      <w:tr w14:paraId="146E9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24" w:type="dxa"/>
            <w:vMerge w:val="continue"/>
            <w:tcBorders>
              <w:top w:val="nil"/>
              <w:bottom w:val="nil"/>
            </w:tcBorders>
            <w:vAlign w:val="top"/>
          </w:tcPr>
          <w:p w14:paraId="7718C019">
            <w:pPr>
              <w:rPr>
                <w:rFonts w:ascii="Arial"/>
                <w:sz w:val="21"/>
              </w:rPr>
            </w:pPr>
          </w:p>
        </w:tc>
        <w:tc>
          <w:tcPr>
            <w:tcW w:w="130" w:type="dxa"/>
            <w:vMerge w:val="continue"/>
            <w:tcBorders>
              <w:top w:val="nil"/>
              <w:bottom w:val="nil"/>
            </w:tcBorders>
            <w:vAlign w:val="top"/>
          </w:tcPr>
          <w:p w14:paraId="3DA334DB">
            <w:pPr>
              <w:rPr>
                <w:rFonts w:ascii="Arial"/>
                <w:sz w:val="21"/>
              </w:rPr>
            </w:pPr>
          </w:p>
        </w:tc>
        <w:tc>
          <w:tcPr>
            <w:tcW w:w="539" w:type="dxa"/>
            <w:vAlign w:val="top"/>
          </w:tcPr>
          <w:p w14:paraId="34977C62">
            <w:pPr>
              <w:pStyle w:val="6"/>
              <w:spacing w:before="61" w:line="183" w:lineRule="auto"/>
              <w:ind w:left="100"/>
              <w:rPr>
                <w:sz w:val="21"/>
                <w:szCs w:val="21"/>
              </w:rPr>
            </w:pPr>
            <w:r>
              <w:rPr>
                <w:spacing w:val="-6"/>
                <w:sz w:val="21"/>
                <w:szCs w:val="21"/>
              </w:rPr>
              <w:t>1.6</w:t>
            </w:r>
          </w:p>
        </w:tc>
        <w:tc>
          <w:tcPr>
            <w:tcW w:w="2218" w:type="dxa"/>
            <w:vAlign w:val="top"/>
          </w:tcPr>
          <w:p w14:paraId="5E76B2A1">
            <w:pPr>
              <w:pStyle w:val="6"/>
              <w:spacing w:before="40" w:line="202" w:lineRule="auto"/>
              <w:ind w:left="471"/>
              <w:rPr>
                <w:sz w:val="21"/>
                <w:szCs w:val="21"/>
              </w:rPr>
            </w:pPr>
            <w:r>
              <w:rPr>
                <w:spacing w:val="-2"/>
                <w:sz w:val="21"/>
                <w:szCs w:val="21"/>
              </w:rPr>
              <w:t>场区电缆防火</w:t>
            </w:r>
          </w:p>
        </w:tc>
        <w:tc>
          <w:tcPr>
            <w:tcW w:w="4075" w:type="dxa"/>
            <w:vAlign w:val="top"/>
          </w:tcPr>
          <w:p w14:paraId="5931A2FD">
            <w:pPr>
              <w:rPr>
                <w:rFonts w:ascii="Arial"/>
                <w:sz w:val="21"/>
              </w:rPr>
            </w:pPr>
          </w:p>
        </w:tc>
        <w:tc>
          <w:tcPr>
            <w:tcW w:w="579" w:type="dxa"/>
            <w:vAlign w:val="top"/>
          </w:tcPr>
          <w:p w14:paraId="2F42DC63">
            <w:pPr>
              <w:rPr>
                <w:rFonts w:ascii="Arial"/>
                <w:sz w:val="21"/>
              </w:rPr>
            </w:pPr>
          </w:p>
        </w:tc>
        <w:tc>
          <w:tcPr>
            <w:tcW w:w="959" w:type="dxa"/>
            <w:vAlign w:val="top"/>
          </w:tcPr>
          <w:p w14:paraId="361C4844">
            <w:pPr>
              <w:rPr>
                <w:rFonts w:ascii="Arial"/>
                <w:sz w:val="21"/>
              </w:rPr>
            </w:pPr>
          </w:p>
        </w:tc>
        <w:tc>
          <w:tcPr>
            <w:tcW w:w="135" w:type="dxa"/>
            <w:tcBorders>
              <w:top w:val="nil"/>
              <w:bottom w:val="nil"/>
            </w:tcBorders>
            <w:vAlign w:val="top"/>
          </w:tcPr>
          <w:p w14:paraId="766FEF65">
            <w:pPr>
              <w:rPr>
                <w:rFonts w:ascii="Arial"/>
                <w:sz w:val="21"/>
              </w:rPr>
            </w:pPr>
          </w:p>
        </w:tc>
      </w:tr>
      <w:tr w14:paraId="3E7B3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24" w:type="dxa"/>
            <w:vMerge w:val="continue"/>
            <w:tcBorders>
              <w:top w:val="nil"/>
              <w:bottom w:val="nil"/>
            </w:tcBorders>
            <w:vAlign w:val="top"/>
          </w:tcPr>
          <w:p w14:paraId="6A80D21A">
            <w:pPr>
              <w:rPr>
                <w:rFonts w:ascii="Arial"/>
                <w:sz w:val="21"/>
              </w:rPr>
            </w:pPr>
          </w:p>
        </w:tc>
        <w:tc>
          <w:tcPr>
            <w:tcW w:w="130" w:type="dxa"/>
            <w:vMerge w:val="continue"/>
            <w:tcBorders>
              <w:top w:val="nil"/>
              <w:bottom w:val="nil"/>
            </w:tcBorders>
            <w:vAlign w:val="top"/>
          </w:tcPr>
          <w:p w14:paraId="4525FFF8">
            <w:pPr>
              <w:rPr>
                <w:rFonts w:ascii="Arial"/>
                <w:sz w:val="21"/>
              </w:rPr>
            </w:pPr>
          </w:p>
        </w:tc>
        <w:tc>
          <w:tcPr>
            <w:tcW w:w="539" w:type="dxa"/>
            <w:vAlign w:val="top"/>
          </w:tcPr>
          <w:p w14:paraId="3056EA6B">
            <w:pPr>
              <w:pStyle w:val="6"/>
              <w:spacing w:before="61" w:line="183" w:lineRule="auto"/>
              <w:ind w:left="100"/>
              <w:rPr>
                <w:sz w:val="21"/>
                <w:szCs w:val="21"/>
              </w:rPr>
            </w:pPr>
            <w:r>
              <w:rPr>
                <w:spacing w:val="-6"/>
                <w:sz w:val="21"/>
                <w:szCs w:val="21"/>
              </w:rPr>
              <w:t>1.7</w:t>
            </w:r>
          </w:p>
        </w:tc>
        <w:tc>
          <w:tcPr>
            <w:tcW w:w="2218" w:type="dxa"/>
            <w:vAlign w:val="top"/>
          </w:tcPr>
          <w:p w14:paraId="3F0230D5">
            <w:pPr>
              <w:pStyle w:val="6"/>
              <w:spacing w:before="41" w:line="201" w:lineRule="auto"/>
              <w:ind w:left="471"/>
              <w:rPr>
                <w:sz w:val="21"/>
                <w:szCs w:val="21"/>
              </w:rPr>
            </w:pPr>
            <w:r>
              <w:rPr>
                <w:spacing w:val="-2"/>
                <w:sz w:val="21"/>
                <w:szCs w:val="21"/>
              </w:rPr>
              <w:t>场区监控系统</w:t>
            </w:r>
          </w:p>
        </w:tc>
        <w:tc>
          <w:tcPr>
            <w:tcW w:w="4075" w:type="dxa"/>
            <w:vAlign w:val="top"/>
          </w:tcPr>
          <w:p w14:paraId="6A9AF442">
            <w:pPr>
              <w:rPr>
                <w:rFonts w:ascii="Arial"/>
                <w:sz w:val="21"/>
              </w:rPr>
            </w:pPr>
          </w:p>
        </w:tc>
        <w:tc>
          <w:tcPr>
            <w:tcW w:w="579" w:type="dxa"/>
            <w:vAlign w:val="top"/>
          </w:tcPr>
          <w:p w14:paraId="6FBC76EB">
            <w:pPr>
              <w:rPr>
                <w:rFonts w:ascii="Arial"/>
                <w:sz w:val="21"/>
              </w:rPr>
            </w:pPr>
          </w:p>
        </w:tc>
        <w:tc>
          <w:tcPr>
            <w:tcW w:w="959" w:type="dxa"/>
            <w:vAlign w:val="top"/>
          </w:tcPr>
          <w:p w14:paraId="505EC4DC">
            <w:pPr>
              <w:rPr>
                <w:rFonts w:ascii="Arial"/>
                <w:sz w:val="21"/>
              </w:rPr>
            </w:pPr>
          </w:p>
        </w:tc>
        <w:tc>
          <w:tcPr>
            <w:tcW w:w="135" w:type="dxa"/>
            <w:tcBorders>
              <w:top w:val="nil"/>
              <w:bottom w:val="nil"/>
            </w:tcBorders>
            <w:vAlign w:val="top"/>
          </w:tcPr>
          <w:p w14:paraId="18AAF4B9">
            <w:pPr>
              <w:rPr>
                <w:rFonts w:ascii="Arial"/>
                <w:sz w:val="21"/>
              </w:rPr>
            </w:pPr>
          </w:p>
        </w:tc>
      </w:tr>
      <w:tr w14:paraId="5B30D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24" w:type="dxa"/>
            <w:vMerge w:val="continue"/>
            <w:tcBorders>
              <w:top w:val="nil"/>
              <w:bottom w:val="nil"/>
            </w:tcBorders>
            <w:vAlign w:val="top"/>
          </w:tcPr>
          <w:p w14:paraId="30EAEF5E">
            <w:pPr>
              <w:rPr>
                <w:rFonts w:ascii="Arial"/>
                <w:sz w:val="21"/>
              </w:rPr>
            </w:pPr>
          </w:p>
        </w:tc>
        <w:tc>
          <w:tcPr>
            <w:tcW w:w="130" w:type="dxa"/>
            <w:vMerge w:val="continue"/>
            <w:tcBorders>
              <w:top w:val="nil"/>
              <w:bottom w:val="nil"/>
            </w:tcBorders>
            <w:vAlign w:val="top"/>
          </w:tcPr>
          <w:p w14:paraId="725D1959">
            <w:pPr>
              <w:rPr>
                <w:rFonts w:ascii="Arial"/>
                <w:sz w:val="21"/>
              </w:rPr>
            </w:pPr>
          </w:p>
        </w:tc>
        <w:tc>
          <w:tcPr>
            <w:tcW w:w="539" w:type="dxa"/>
            <w:vAlign w:val="top"/>
          </w:tcPr>
          <w:p w14:paraId="303E9738">
            <w:pPr>
              <w:pStyle w:val="6"/>
              <w:spacing w:before="42" w:line="174" w:lineRule="auto"/>
              <w:ind w:left="100"/>
              <w:rPr>
                <w:sz w:val="21"/>
                <w:szCs w:val="21"/>
              </w:rPr>
            </w:pPr>
            <w:r>
              <w:rPr>
                <w:spacing w:val="-6"/>
                <w:sz w:val="21"/>
                <w:szCs w:val="21"/>
              </w:rPr>
              <w:t>1.8</w:t>
            </w:r>
          </w:p>
        </w:tc>
        <w:tc>
          <w:tcPr>
            <w:tcW w:w="2218" w:type="dxa"/>
            <w:vAlign w:val="top"/>
          </w:tcPr>
          <w:p w14:paraId="6BF1062E">
            <w:pPr>
              <w:pStyle w:val="6"/>
              <w:spacing w:before="20" w:line="193" w:lineRule="auto"/>
              <w:ind w:left="681"/>
              <w:rPr>
                <w:sz w:val="21"/>
                <w:szCs w:val="21"/>
              </w:rPr>
            </w:pPr>
            <w:r>
              <w:rPr>
                <w:spacing w:val="-2"/>
                <w:sz w:val="21"/>
                <w:szCs w:val="21"/>
              </w:rPr>
              <w:t>场区光缆</w:t>
            </w:r>
          </w:p>
        </w:tc>
        <w:tc>
          <w:tcPr>
            <w:tcW w:w="4075" w:type="dxa"/>
            <w:vAlign w:val="top"/>
          </w:tcPr>
          <w:p w14:paraId="1B617AB8">
            <w:pPr>
              <w:spacing w:line="240" w:lineRule="exact"/>
              <w:rPr>
                <w:rFonts w:ascii="Arial"/>
                <w:sz w:val="20"/>
              </w:rPr>
            </w:pPr>
          </w:p>
        </w:tc>
        <w:tc>
          <w:tcPr>
            <w:tcW w:w="579" w:type="dxa"/>
            <w:vAlign w:val="top"/>
          </w:tcPr>
          <w:p w14:paraId="0B80CE11">
            <w:pPr>
              <w:spacing w:line="240" w:lineRule="exact"/>
              <w:rPr>
                <w:rFonts w:ascii="Arial"/>
                <w:sz w:val="20"/>
              </w:rPr>
            </w:pPr>
          </w:p>
        </w:tc>
        <w:tc>
          <w:tcPr>
            <w:tcW w:w="959" w:type="dxa"/>
            <w:vAlign w:val="top"/>
          </w:tcPr>
          <w:p w14:paraId="7D799E5B">
            <w:pPr>
              <w:spacing w:line="240" w:lineRule="exact"/>
              <w:rPr>
                <w:rFonts w:ascii="Arial"/>
                <w:sz w:val="20"/>
              </w:rPr>
            </w:pPr>
          </w:p>
        </w:tc>
        <w:tc>
          <w:tcPr>
            <w:tcW w:w="135" w:type="dxa"/>
            <w:tcBorders>
              <w:top w:val="nil"/>
              <w:bottom w:val="nil"/>
            </w:tcBorders>
            <w:vAlign w:val="top"/>
          </w:tcPr>
          <w:p w14:paraId="22EE2190">
            <w:pPr>
              <w:spacing w:line="240" w:lineRule="exact"/>
              <w:rPr>
                <w:rFonts w:ascii="Arial"/>
                <w:sz w:val="20"/>
              </w:rPr>
            </w:pPr>
          </w:p>
        </w:tc>
      </w:tr>
      <w:tr w14:paraId="43427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24" w:type="dxa"/>
            <w:vMerge w:val="continue"/>
            <w:tcBorders>
              <w:top w:val="nil"/>
              <w:bottom w:val="nil"/>
            </w:tcBorders>
            <w:vAlign w:val="top"/>
          </w:tcPr>
          <w:p w14:paraId="29DE0C01">
            <w:pPr>
              <w:rPr>
                <w:rFonts w:ascii="Arial"/>
                <w:sz w:val="21"/>
              </w:rPr>
            </w:pPr>
          </w:p>
        </w:tc>
        <w:tc>
          <w:tcPr>
            <w:tcW w:w="130" w:type="dxa"/>
            <w:vMerge w:val="continue"/>
            <w:tcBorders>
              <w:top w:val="nil"/>
              <w:bottom w:val="nil"/>
            </w:tcBorders>
            <w:vAlign w:val="top"/>
          </w:tcPr>
          <w:p w14:paraId="161C0B61">
            <w:pPr>
              <w:rPr>
                <w:rFonts w:ascii="Arial"/>
                <w:sz w:val="21"/>
              </w:rPr>
            </w:pPr>
          </w:p>
        </w:tc>
        <w:tc>
          <w:tcPr>
            <w:tcW w:w="539" w:type="dxa"/>
            <w:vAlign w:val="top"/>
          </w:tcPr>
          <w:p w14:paraId="6E2FB4E2">
            <w:pPr>
              <w:pStyle w:val="6"/>
              <w:spacing w:before="72" w:line="193" w:lineRule="auto"/>
              <w:ind w:left="51"/>
              <w:rPr>
                <w:sz w:val="21"/>
                <w:szCs w:val="21"/>
              </w:rPr>
            </w:pPr>
            <w:r>
              <w:rPr>
                <w:spacing w:val="-5"/>
                <w:sz w:val="21"/>
                <w:szCs w:val="21"/>
              </w:rPr>
              <w:t>1.8.</w:t>
            </w:r>
          </w:p>
          <w:p w14:paraId="6B54F2F8">
            <w:pPr>
              <w:pStyle w:val="6"/>
              <w:spacing w:line="164" w:lineRule="auto"/>
              <w:ind w:left="200"/>
              <w:rPr>
                <w:sz w:val="21"/>
                <w:szCs w:val="21"/>
              </w:rPr>
            </w:pPr>
            <w:r>
              <w:rPr>
                <w:sz w:val="21"/>
                <w:szCs w:val="21"/>
              </w:rPr>
              <w:t>1</w:t>
            </w:r>
          </w:p>
        </w:tc>
        <w:tc>
          <w:tcPr>
            <w:tcW w:w="2218" w:type="dxa"/>
            <w:vAlign w:val="top"/>
          </w:tcPr>
          <w:p w14:paraId="7E161E17">
            <w:pPr>
              <w:pStyle w:val="6"/>
              <w:spacing w:before="140" w:line="219" w:lineRule="auto"/>
              <w:ind w:left="181"/>
              <w:rPr>
                <w:sz w:val="21"/>
                <w:szCs w:val="21"/>
              </w:rPr>
            </w:pPr>
            <w:r>
              <w:rPr>
                <w:spacing w:val="33"/>
                <w:sz w:val="21"/>
                <w:szCs w:val="21"/>
              </w:rPr>
              <w:t>OP</w:t>
            </w:r>
            <w:r>
              <w:rPr>
                <w:spacing w:val="-57"/>
                <w:sz w:val="21"/>
                <w:szCs w:val="21"/>
              </w:rPr>
              <w:t xml:space="preserve"> </w:t>
            </w:r>
            <w:r>
              <w:rPr>
                <w:spacing w:val="33"/>
                <w:sz w:val="21"/>
                <w:szCs w:val="21"/>
              </w:rPr>
              <w:t>GW型36芯光缆</w:t>
            </w:r>
          </w:p>
        </w:tc>
        <w:tc>
          <w:tcPr>
            <w:tcW w:w="4075" w:type="dxa"/>
            <w:vAlign w:val="top"/>
          </w:tcPr>
          <w:p w14:paraId="1D95A699">
            <w:pPr>
              <w:rPr>
                <w:rFonts w:ascii="Arial"/>
                <w:sz w:val="21"/>
              </w:rPr>
            </w:pPr>
          </w:p>
        </w:tc>
        <w:tc>
          <w:tcPr>
            <w:tcW w:w="579" w:type="dxa"/>
            <w:vAlign w:val="top"/>
          </w:tcPr>
          <w:p w14:paraId="0D69F50D">
            <w:pPr>
              <w:pStyle w:val="6"/>
              <w:spacing w:before="161" w:line="241" w:lineRule="auto"/>
              <w:ind w:left="178"/>
              <w:rPr>
                <w:sz w:val="21"/>
                <w:szCs w:val="21"/>
              </w:rPr>
            </w:pPr>
            <w:r>
              <w:rPr>
                <w:spacing w:val="-2"/>
                <w:sz w:val="21"/>
                <w:szCs w:val="21"/>
              </w:rPr>
              <w:t>km</w:t>
            </w:r>
          </w:p>
        </w:tc>
        <w:tc>
          <w:tcPr>
            <w:tcW w:w="959" w:type="dxa"/>
            <w:vAlign w:val="top"/>
          </w:tcPr>
          <w:p w14:paraId="73175720">
            <w:pPr>
              <w:pStyle w:val="6"/>
              <w:spacing w:before="161" w:line="239" w:lineRule="auto"/>
              <w:ind w:left="210"/>
              <w:rPr>
                <w:sz w:val="21"/>
                <w:szCs w:val="21"/>
              </w:rPr>
            </w:pPr>
            <w:r>
              <w:rPr>
                <w:spacing w:val="-2"/>
                <w:sz w:val="21"/>
                <w:szCs w:val="21"/>
              </w:rPr>
              <w:t>50.00</w:t>
            </w:r>
          </w:p>
        </w:tc>
        <w:tc>
          <w:tcPr>
            <w:tcW w:w="135" w:type="dxa"/>
            <w:tcBorders>
              <w:top w:val="nil"/>
              <w:bottom w:val="nil"/>
            </w:tcBorders>
            <w:vAlign w:val="top"/>
          </w:tcPr>
          <w:p w14:paraId="3A8E4507">
            <w:pPr>
              <w:rPr>
                <w:rFonts w:ascii="Arial"/>
                <w:sz w:val="21"/>
              </w:rPr>
            </w:pPr>
          </w:p>
        </w:tc>
      </w:tr>
      <w:tr w14:paraId="6A58D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24" w:type="dxa"/>
            <w:vMerge w:val="continue"/>
            <w:tcBorders>
              <w:top w:val="nil"/>
              <w:bottom w:val="nil"/>
            </w:tcBorders>
            <w:vAlign w:val="top"/>
          </w:tcPr>
          <w:p w14:paraId="7EC6E2B6">
            <w:pPr>
              <w:rPr>
                <w:rFonts w:ascii="Arial"/>
                <w:sz w:val="21"/>
              </w:rPr>
            </w:pPr>
          </w:p>
        </w:tc>
        <w:tc>
          <w:tcPr>
            <w:tcW w:w="130" w:type="dxa"/>
            <w:vMerge w:val="continue"/>
            <w:tcBorders>
              <w:top w:val="nil"/>
              <w:bottom w:val="nil"/>
            </w:tcBorders>
            <w:vAlign w:val="top"/>
          </w:tcPr>
          <w:p w14:paraId="1778C32C">
            <w:pPr>
              <w:rPr>
                <w:rFonts w:ascii="Arial"/>
                <w:sz w:val="21"/>
              </w:rPr>
            </w:pPr>
          </w:p>
        </w:tc>
        <w:tc>
          <w:tcPr>
            <w:tcW w:w="539" w:type="dxa"/>
            <w:vAlign w:val="top"/>
          </w:tcPr>
          <w:p w14:paraId="4AC6B3A2">
            <w:pPr>
              <w:pStyle w:val="6"/>
              <w:spacing w:before="103" w:line="193" w:lineRule="auto"/>
              <w:ind w:left="51"/>
              <w:rPr>
                <w:sz w:val="21"/>
                <w:szCs w:val="21"/>
              </w:rPr>
            </w:pPr>
            <w:r>
              <w:rPr>
                <w:spacing w:val="-5"/>
                <w:sz w:val="21"/>
                <w:szCs w:val="21"/>
              </w:rPr>
              <w:t>1.8.</w:t>
            </w:r>
          </w:p>
          <w:p w14:paraId="00D55243">
            <w:pPr>
              <w:pStyle w:val="6"/>
              <w:spacing w:line="181" w:lineRule="auto"/>
              <w:ind w:left="200"/>
              <w:rPr>
                <w:sz w:val="21"/>
                <w:szCs w:val="21"/>
              </w:rPr>
            </w:pPr>
            <w:r>
              <w:rPr>
                <w:sz w:val="21"/>
                <w:szCs w:val="21"/>
              </w:rPr>
              <w:t>2</w:t>
            </w:r>
          </w:p>
        </w:tc>
        <w:tc>
          <w:tcPr>
            <w:tcW w:w="2218" w:type="dxa"/>
            <w:vAlign w:val="top"/>
          </w:tcPr>
          <w:p w14:paraId="3C5ADC71">
            <w:pPr>
              <w:pStyle w:val="6"/>
              <w:spacing w:before="51" w:line="210" w:lineRule="auto"/>
              <w:ind w:left="681" w:right="252" w:hanging="419"/>
              <w:rPr>
                <w:sz w:val="21"/>
                <w:szCs w:val="21"/>
              </w:rPr>
            </w:pPr>
            <w:r>
              <w:rPr>
                <w:spacing w:val="1"/>
                <w:sz w:val="21"/>
                <w:szCs w:val="21"/>
              </w:rPr>
              <w:t>通信光缆</w:t>
            </w:r>
            <w:r>
              <w:rPr>
                <w:sz w:val="21"/>
                <w:szCs w:val="21"/>
              </w:rPr>
              <w:t>GYTA</w:t>
            </w:r>
            <w:r>
              <w:rPr>
                <w:spacing w:val="1"/>
                <w:sz w:val="21"/>
                <w:szCs w:val="21"/>
              </w:rPr>
              <w:t>53型</w:t>
            </w:r>
            <w:r>
              <w:rPr>
                <w:spacing w:val="5"/>
                <w:sz w:val="21"/>
                <w:szCs w:val="21"/>
              </w:rPr>
              <w:t xml:space="preserve"> </w:t>
            </w:r>
            <w:r>
              <w:rPr>
                <w:spacing w:val="1"/>
                <w:sz w:val="21"/>
                <w:szCs w:val="21"/>
              </w:rPr>
              <w:t>36芯光缆</w:t>
            </w:r>
          </w:p>
        </w:tc>
        <w:tc>
          <w:tcPr>
            <w:tcW w:w="4075" w:type="dxa"/>
            <w:vAlign w:val="top"/>
          </w:tcPr>
          <w:p w14:paraId="47673340">
            <w:pPr>
              <w:rPr>
                <w:rFonts w:ascii="Arial"/>
                <w:sz w:val="21"/>
              </w:rPr>
            </w:pPr>
          </w:p>
        </w:tc>
        <w:tc>
          <w:tcPr>
            <w:tcW w:w="579" w:type="dxa"/>
            <w:vAlign w:val="top"/>
          </w:tcPr>
          <w:p w14:paraId="551F1F7A">
            <w:pPr>
              <w:pStyle w:val="6"/>
              <w:spacing w:before="192" w:line="241" w:lineRule="auto"/>
              <w:ind w:left="178"/>
              <w:rPr>
                <w:sz w:val="21"/>
                <w:szCs w:val="21"/>
              </w:rPr>
            </w:pPr>
            <w:r>
              <w:rPr>
                <w:spacing w:val="-2"/>
                <w:sz w:val="21"/>
                <w:szCs w:val="21"/>
              </w:rPr>
              <w:t>km</w:t>
            </w:r>
          </w:p>
        </w:tc>
        <w:tc>
          <w:tcPr>
            <w:tcW w:w="959" w:type="dxa"/>
            <w:vAlign w:val="top"/>
          </w:tcPr>
          <w:p w14:paraId="439665F8">
            <w:pPr>
              <w:pStyle w:val="6"/>
              <w:spacing w:before="192" w:line="239" w:lineRule="auto"/>
              <w:ind w:left="210"/>
              <w:rPr>
                <w:sz w:val="21"/>
                <w:szCs w:val="21"/>
              </w:rPr>
            </w:pPr>
            <w:r>
              <w:rPr>
                <w:spacing w:val="-2"/>
                <w:sz w:val="21"/>
                <w:szCs w:val="21"/>
              </w:rPr>
              <w:t>32.00</w:t>
            </w:r>
          </w:p>
        </w:tc>
        <w:tc>
          <w:tcPr>
            <w:tcW w:w="135" w:type="dxa"/>
            <w:tcBorders>
              <w:top w:val="nil"/>
              <w:bottom w:val="nil"/>
            </w:tcBorders>
            <w:vAlign w:val="top"/>
          </w:tcPr>
          <w:p w14:paraId="2EC77AF6">
            <w:pPr>
              <w:rPr>
                <w:rFonts w:ascii="Arial"/>
                <w:sz w:val="21"/>
              </w:rPr>
            </w:pPr>
          </w:p>
        </w:tc>
      </w:tr>
      <w:tr w14:paraId="35ACB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24" w:type="dxa"/>
            <w:vMerge w:val="continue"/>
            <w:tcBorders>
              <w:top w:val="nil"/>
              <w:bottom w:val="nil"/>
            </w:tcBorders>
            <w:vAlign w:val="top"/>
          </w:tcPr>
          <w:p w14:paraId="306FF5C1">
            <w:pPr>
              <w:rPr>
                <w:rFonts w:ascii="Arial"/>
                <w:sz w:val="21"/>
              </w:rPr>
            </w:pPr>
          </w:p>
        </w:tc>
        <w:tc>
          <w:tcPr>
            <w:tcW w:w="130" w:type="dxa"/>
            <w:vMerge w:val="continue"/>
            <w:tcBorders>
              <w:top w:val="nil"/>
              <w:bottom w:val="nil"/>
            </w:tcBorders>
            <w:vAlign w:val="top"/>
          </w:tcPr>
          <w:p w14:paraId="033A37E4">
            <w:pPr>
              <w:rPr>
                <w:rFonts w:ascii="Arial"/>
                <w:sz w:val="21"/>
              </w:rPr>
            </w:pPr>
          </w:p>
        </w:tc>
        <w:tc>
          <w:tcPr>
            <w:tcW w:w="539" w:type="dxa"/>
            <w:vAlign w:val="top"/>
          </w:tcPr>
          <w:p w14:paraId="022142D6">
            <w:pPr>
              <w:pStyle w:val="6"/>
              <w:spacing w:before="54" w:line="181" w:lineRule="auto"/>
              <w:ind w:left="100"/>
              <w:rPr>
                <w:sz w:val="21"/>
                <w:szCs w:val="21"/>
              </w:rPr>
            </w:pPr>
            <w:r>
              <w:rPr>
                <w:spacing w:val="-6"/>
                <w:sz w:val="21"/>
                <w:szCs w:val="21"/>
              </w:rPr>
              <w:t>1.9</w:t>
            </w:r>
          </w:p>
        </w:tc>
        <w:tc>
          <w:tcPr>
            <w:tcW w:w="2218" w:type="dxa"/>
            <w:vAlign w:val="top"/>
          </w:tcPr>
          <w:p w14:paraId="790981B1">
            <w:pPr>
              <w:pStyle w:val="6"/>
              <w:spacing w:before="33" w:line="199" w:lineRule="auto"/>
              <w:ind w:left="572"/>
              <w:rPr>
                <w:sz w:val="21"/>
                <w:szCs w:val="21"/>
              </w:rPr>
            </w:pPr>
            <w:r>
              <w:rPr>
                <w:spacing w:val="-2"/>
                <w:sz w:val="21"/>
                <w:szCs w:val="21"/>
              </w:rPr>
              <w:t>分系统调试</w:t>
            </w:r>
          </w:p>
        </w:tc>
        <w:tc>
          <w:tcPr>
            <w:tcW w:w="4075" w:type="dxa"/>
            <w:vAlign w:val="top"/>
          </w:tcPr>
          <w:p w14:paraId="46E754D9">
            <w:pPr>
              <w:rPr>
                <w:rFonts w:ascii="Arial"/>
                <w:sz w:val="21"/>
              </w:rPr>
            </w:pPr>
          </w:p>
        </w:tc>
        <w:tc>
          <w:tcPr>
            <w:tcW w:w="579" w:type="dxa"/>
            <w:vAlign w:val="top"/>
          </w:tcPr>
          <w:p w14:paraId="21CEB02D">
            <w:pPr>
              <w:rPr>
                <w:rFonts w:ascii="Arial"/>
                <w:sz w:val="21"/>
              </w:rPr>
            </w:pPr>
          </w:p>
        </w:tc>
        <w:tc>
          <w:tcPr>
            <w:tcW w:w="959" w:type="dxa"/>
            <w:vAlign w:val="top"/>
          </w:tcPr>
          <w:p w14:paraId="44E522C0">
            <w:pPr>
              <w:rPr>
                <w:rFonts w:ascii="Arial"/>
                <w:sz w:val="21"/>
              </w:rPr>
            </w:pPr>
          </w:p>
        </w:tc>
        <w:tc>
          <w:tcPr>
            <w:tcW w:w="135" w:type="dxa"/>
            <w:tcBorders>
              <w:top w:val="nil"/>
              <w:bottom w:val="nil"/>
            </w:tcBorders>
            <w:vAlign w:val="top"/>
          </w:tcPr>
          <w:p w14:paraId="3CEFD6EF">
            <w:pPr>
              <w:rPr>
                <w:rFonts w:ascii="Arial"/>
                <w:sz w:val="21"/>
              </w:rPr>
            </w:pPr>
          </w:p>
        </w:tc>
      </w:tr>
      <w:tr w14:paraId="3A7AC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24" w:type="dxa"/>
            <w:vMerge w:val="continue"/>
            <w:tcBorders>
              <w:top w:val="nil"/>
              <w:bottom w:val="nil"/>
            </w:tcBorders>
            <w:vAlign w:val="top"/>
          </w:tcPr>
          <w:p w14:paraId="6DA8A4D6">
            <w:pPr>
              <w:rPr>
                <w:rFonts w:ascii="Arial"/>
                <w:sz w:val="21"/>
              </w:rPr>
            </w:pPr>
          </w:p>
        </w:tc>
        <w:tc>
          <w:tcPr>
            <w:tcW w:w="130" w:type="dxa"/>
            <w:vMerge w:val="continue"/>
            <w:tcBorders>
              <w:top w:val="nil"/>
              <w:bottom w:val="nil"/>
            </w:tcBorders>
            <w:vAlign w:val="top"/>
          </w:tcPr>
          <w:p w14:paraId="0079E21F">
            <w:pPr>
              <w:rPr>
                <w:rFonts w:ascii="Arial"/>
                <w:sz w:val="21"/>
              </w:rPr>
            </w:pPr>
          </w:p>
        </w:tc>
        <w:tc>
          <w:tcPr>
            <w:tcW w:w="539" w:type="dxa"/>
            <w:vAlign w:val="top"/>
          </w:tcPr>
          <w:p w14:paraId="52D367F7">
            <w:pPr>
              <w:pStyle w:val="6"/>
              <w:spacing w:before="73" w:line="211" w:lineRule="auto"/>
              <w:ind w:left="51"/>
              <w:rPr>
                <w:sz w:val="21"/>
                <w:szCs w:val="21"/>
              </w:rPr>
            </w:pPr>
            <w:r>
              <w:rPr>
                <w:spacing w:val="-5"/>
                <w:sz w:val="21"/>
                <w:szCs w:val="21"/>
              </w:rPr>
              <w:t>1.9.</w:t>
            </w:r>
          </w:p>
          <w:p w14:paraId="11B62D96">
            <w:pPr>
              <w:pStyle w:val="6"/>
              <w:spacing w:line="165" w:lineRule="exact"/>
              <w:ind w:left="200"/>
              <w:rPr>
                <w:sz w:val="21"/>
                <w:szCs w:val="21"/>
              </w:rPr>
            </w:pPr>
            <w:r>
              <w:rPr>
                <w:position w:val="-2"/>
                <w:sz w:val="21"/>
                <w:szCs w:val="21"/>
              </w:rPr>
              <w:t>1</w:t>
            </w:r>
          </w:p>
        </w:tc>
        <w:tc>
          <w:tcPr>
            <w:tcW w:w="2218" w:type="dxa"/>
            <w:vAlign w:val="top"/>
          </w:tcPr>
          <w:p w14:paraId="70551D39">
            <w:pPr>
              <w:pStyle w:val="6"/>
              <w:spacing w:before="142" w:line="219" w:lineRule="auto"/>
              <w:ind w:left="151"/>
              <w:rPr>
                <w:sz w:val="21"/>
                <w:szCs w:val="21"/>
              </w:rPr>
            </w:pPr>
            <w:r>
              <w:rPr>
                <w:spacing w:val="-2"/>
                <w:sz w:val="21"/>
                <w:szCs w:val="21"/>
              </w:rPr>
              <w:t>发电子方阵系统调试</w:t>
            </w:r>
          </w:p>
        </w:tc>
        <w:tc>
          <w:tcPr>
            <w:tcW w:w="4075" w:type="dxa"/>
            <w:vAlign w:val="top"/>
          </w:tcPr>
          <w:p w14:paraId="2E4F6213">
            <w:pPr>
              <w:rPr>
                <w:rFonts w:ascii="Arial"/>
                <w:sz w:val="21"/>
              </w:rPr>
            </w:pPr>
          </w:p>
        </w:tc>
        <w:tc>
          <w:tcPr>
            <w:tcW w:w="579" w:type="dxa"/>
            <w:vAlign w:val="top"/>
          </w:tcPr>
          <w:p w14:paraId="6A54F977">
            <w:pPr>
              <w:pStyle w:val="6"/>
              <w:spacing w:before="143" w:line="220" w:lineRule="auto"/>
              <w:ind w:left="178"/>
              <w:rPr>
                <w:sz w:val="21"/>
                <w:szCs w:val="21"/>
              </w:rPr>
            </w:pPr>
            <w:r>
              <w:rPr>
                <w:sz w:val="21"/>
                <w:szCs w:val="21"/>
              </w:rPr>
              <w:t>项</w:t>
            </w:r>
          </w:p>
        </w:tc>
        <w:tc>
          <w:tcPr>
            <w:tcW w:w="959" w:type="dxa"/>
            <w:vAlign w:val="top"/>
          </w:tcPr>
          <w:p w14:paraId="2D30DE29">
            <w:pPr>
              <w:pStyle w:val="6"/>
              <w:spacing w:before="163" w:line="239" w:lineRule="auto"/>
              <w:ind w:left="210"/>
              <w:rPr>
                <w:sz w:val="21"/>
                <w:szCs w:val="21"/>
              </w:rPr>
            </w:pPr>
            <w:r>
              <w:rPr>
                <w:spacing w:val="-2"/>
                <w:sz w:val="21"/>
                <w:szCs w:val="21"/>
              </w:rPr>
              <w:t>51.00</w:t>
            </w:r>
          </w:p>
        </w:tc>
        <w:tc>
          <w:tcPr>
            <w:tcW w:w="135" w:type="dxa"/>
            <w:tcBorders>
              <w:top w:val="nil"/>
              <w:bottom w:val="nil"/>
            </w:tcBorders>
            <w:vAlign w:val="top"/>
          </w:tcPr>
          <w:p w14:paraId="4BE73D8D">
            <w:pPr>
              <w:rPr>
                <w:rFonts w:ascii="Arial"/>
                <w:sz w:val="21"/>
              </w:rPr>
            </w:pPr>
          </w:p>
        </w:tc>
      </w:tr>
      <w:tr w14:paraId="297C4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424" w:type="dxa"/>
            <w:vMerge w:val="continue"/>
            <w:tcBorders>
              <w:top w:val="nil"/>
              <w:bottom w:val="nil"/>
            </w:tcBorders>
            <w:vAlign w:val="top"/>
          </w:tcPr>
          <w:p w14:paraId="47D72E0A">
            <w:pPr>
              <w:rPr>
                <w:rFonts w:ascii="Arial"/>
                <w:sz w:val="21"/>
              </w:rPr>
            </w:pPr>
          </w:p>
        </w:tc>
        <w:tc>
          <w:tcPr>
            <w:tcW w:w="130" w:type="dxa"/>
            <w:vMerge w:val="continue"/>
            <w:tcBorders>
              <w:top w:val="nil"/>
              <w:bottom w:val="nil"/>
            </w:tcBorders>
            <w:vAlign w:val="top"/>
          </w:tcPr>
          <w:p w14:paraId="73CBC103">
            <w:pPr>
              <w:rPr>
                <w:rFonts w:ascii="Arial"/>
                <w:sz w:val="21"/>
              </w:rPr>
            </w:pPr>
          </w:p>
        </w:tc>
        <w:tc>
          <w:tcPr>
            <w:tcW w:w="539" w:type="dxa"/>
            <w:vAlign w:val="top"/>
          </w:tcPr>
          <w:p w14:paraId="781EB3D8">
            <w:pPr>
              <w:pStyle w:val="6"/>
              <w:spacing w:before="304" w:line="241" w:lineRule="auto"/>
              <w:ind w:left="200"/>
              <w:rPr>
                <w:sz w:val="21"/>
                <w:szCs w:val="21"/>
              </w:rPr>
            </w:pPr>
            <w:r>
              <w:rPr>
                <w:sz w:val="21"/>
                <w:szCs w:val="21"/>
              </w:rPr>
              <w:t>2</w:t>
            </w:r>
          </w:p>
        </w:tc>
        <w:tc>
          <w:tcPr>
            <w:tcW w:w="2218" w:type="dxa"/>
            <w:vAlign w:val="top"/>
          </w:tcPr>
          <w:p w14:paraId="54B47AA5">
            <w:pPr>
              <w:pStyle w:val="6"/>
              <w:spacing w:before="155" w:line="239" w:lineRule="auto"/>
              <w:ind w:left="680" w:right="154" w:hanging="529"/>
              <w:rPr>
                <w:sz w:val="21"/>
                <w:szCs w:val="21"/>
              </w:rPr>
            </w:pPr>
            <w:r>
              <w:rPr>
                <w:spacing w:val="1"/>
                <w:sz w:val="21"/>
                <w:szCs w:val="21"/>
              </w:rPr>
              <w:t xml:space="preserve">升压站变配电设备及 </w:t>
            </w:r>
            <w:r>
              <w:rPr>
                <w:spacing w:val="-3"/>
                <w:sz w:val="21"/>
                <w:szCs w:val="21"/>
              </w:rPr>
              <w:t>安装工程</w:t>
            </w:r>
          </w:p>
        </w:tc>
        <w:tc>
          <w:tcPr>
            <w:tcW w:w="4075" w:type="dxa"/>
            <w:vAlign w:val="top"/>
          </w:tcPr>
          <w:p w14:paraId="04679241">
            <w:pPr>
              <w:rPr>
                <w:rFonts w:ascii="Arial"/>
                <w:sz w:val="21"/>
              </w:rPr>
            </w:pPr>
          </w:p>
        </w:tc>
        <w:tc>
          <w:tcPr>
            <w:tcW w:w="579" w:type="dxa"/>
            <w:vAlign w:val="top"/>
          </w:tcPr>
          <w:p w14:paraId="77C60434">
            <w:pPr>
              <w:rPr>
                <w:rFonts w:ascii="Arial"/>
                <w:sz w:val="21"/>
              </w:rPr>
            </w:pPr>
          </w:p>
        </w:tc>
        <w:tc>
          <w:tcPr>
            <w:tcW w:w="959" w:type="dxa"/>
            <w:vAlign w:val="top"/>
          </w:tcPr>
          <w:p w14:paraId="1E1417DD">
            <w:pPr>
              <w:rPr>
                <w:rFonts w:ascii="Arial"/>
                <w:sz w:val="21"/>
              </w:rPr>
            </w:pPr>
          </w:p>
        </w:tc>
        <w:tc>
          <w:tcPr>
            <w:tcW w:w="135" w:type="dxa"/>
            <w:tcBorders>
              <w:top w:val="nil"/>
              <w:bottom w:val="nil"/>
            </w:tcBorders>
            <w:vAlign w:val="top"/>
          </w:tcPr>
          <w:p w14:paraId="0BCE1156">
            <w:pPr>
              <w:rPr>
                <w:rFonts w:ascii="Arial"/>
                <w:sz w:val="21"/>
              </w:rPr>
            </w:pPr>
          </w:p>
        </w:tc>
      </w:tr>
      <w:tr w14:paraId="3738C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24" w:type="dxa"/>
            <w:vMerge w:val="continue"/>
            <w:tcBorders>
              <w:top w:val="nil"/>
              <w:bottom w:val="nil"/>
            </w:tcBorders>
            <w:vAlign w:val="top"/>
          </w:tcPr>
          <w:p w14:paraId="6DBB9759">
            <w:pPr>
              <w:rPr>
                <w:rFonts w:ascii="Arial"/>
                <w:sz w:val="21"/>
              </w:rPr>
            </w:pPr>
          </w:p>
        </w:tc>
        <w:tc>
          <w:tcPr>
            <w:tcW w:w="130" w:type="dxa"/>
            <w:vMerge w:val="continue"/>
            <w:tcBorders>
              <w:top w:val="nil"/>
              <w:bottom w:val="nil"/>
            </w:tcBorders>
            <w:vAlign w:val="top"/>
          </w:tcPr>
          <w:p w14:paraId="3317C623">
            <w:pPr>
              <w:rPr>
                <w:rFonts w:ascii="Arial"/>
                <w:sz w:val="21"/>
              </w:rPr>
            </w:pPr>
          </w:p>
        </w:tc>
        <w:tc>
          <w:tcPr>
            <w:tcW w:w="539" w:type="dxa"/>
            <w:vAlign w:val="top"/>
          </w:tcPr>
          <w:p w14:paraId="6B7DC781">
            <w:pPr>
              <w:pStyle w:val="6"/>
              <w:spacing w:before="55" w:line="171" w:lineRule="auto"/>
              <w:ind w:left="100"/>
              <w:rPr>
                <w:sz w:val="21"/>
                <w:szCs w:val="21"/>
              </w:rPr>
            </w:pPr>
            <w:r>
              <w:rPr>
                <w:spacing w:val="-3"/>
                <w:sz w:val="21"/>
                <w:szCs w:val="21"/>
              </w:rPr>
              <w:t>2.1</w:t>
            </w:r>
          </w:p>
        </w:tc>
        <w:tc>
          <w:tcPr>
            <w:tcW w:w="2218" w:type="dxa"/>
            <w:vAlign w:val="top"/>
          </w:tcPr>
          <w:p w14:paraId="7AA17E6F">
            <w:pPr>
              <w:pStyle w:val="6"/>
              <w:spacing w:before="36" w:line="188" w:lineRule="auto"/>
              <w:ind w:left="681"/>
              <w:rPr>
                <w:sz w:val="21"/>
                <w:szCs w:val="21"/>
              </w:rPr>
            </w:pPr>
            <w:r>
              <w:rPr>
                <w:spacing w:val="-2"/>
                <w:sz w:val="21"/>
                <w:szCs w:val="21"/>
              </w:rPr>
              <w:t>主变压器</w:t>
            </w:r>
          </w:p>
        </w:tc>
        <w:tc>
          <w:tcPr>
            <w:tcW w:w="4075" w:type="dxa"/>
            <w:vAlign w:val="top"/>
          </w:tcPr>
          <w:p w14:paraId="1481EC22">
            <w:pPr>
              <w:rPr>
                <w:rFonts w:ascii="Arial"/>
                <w:sz w:val="21"/>
              </w:rPr>
            </w:pPr>
          </w:p>
        </w:tc>
        <w:tc>
          <w:tcPr>
            <w:tcW w:w="579" w:type="dxa"/>
            <w:vAlign w:val="top"/>
          </w:tcPr>
          <w:p w14:paraId="538879AC">
            <w:pPr>
              <w:rPr>
                <w:rFonts w:ascii="Arial"/>
                <w:sz w:val="21"/>
              </w:rPr>
            </w:pPr>
          </w:p>
        </w:tc>
        <w:tc>
          <w:tcPr>
            <w:tcW w:w="959" w:type="dxa"/>
            <w:vAlign w:val="top"/>
          </w:tcPr>
          <w:p w14:paraId="65E335E5">
            <w:pPr>
              <w:rPr>
                <w:rFonts w:ascii="Arial"/>
                <w:sz w:val="21"/>
              </w:rPr>
            </w:pPr>
          </w:p>
        </w:tc>
        <w:tc>
          <w:tcPr>
            <w:tcW w:w="135" w:type="dxa"/>
            <w:tcBorders>
              <w:top w:val="nil"/>
              <w:bottom w:val="nil"/>
            </w:tcBorders>
            <w:vAlign w:val="top"/>
          </w:tcPr>
          <w:p w14:paraId="28A0FC8D">
            <w:pPr>
              <w:rPr>
                <w:rFonts w:ascii="Arial"/>
                <w:sz w:val="21"/>
              </w:rPr>
            </w:pPr>
          </w:p>
        </w:tc>
      </w:tr>
      <w:tr w14:paraId="21FC0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8" w:hRule="atLeast"/>
        </w:trPr>
        <w:tc>
          <w:tcPr>
            <w:tcW w:w="424" w:type="dxa"/>
            <w:vMerge w:val="continue"/>
            <w:tcBorders>
              <w:top w:val="nil"/>
              <w:bottom w:val="nil"/>
            </w:tcBorders>
            <w:vAlign w:val="top"/>
          </w:tcPr>
          <w:p w14:paraId="2D44F591">
            <w:pPr>
              <w:rPr>
                <w:rFonts w:ascii="Arial"/>
                <w:sz w:val="21"/>
              </w:rPr>
            </w:pPr>
          </w:p>
        </w:tc>
        <w:tc>
          <w:tcPr>
            <w:tcW w:w="130" w:type="dxa"/>
            <w:vMerge w:val="continue"/>
            <w:tcBorders>
              <w:top w:val="nil"/>
              <w:bottom w:val="nil"/>
            </w:tcBorders>
            <w:vAlign w:val="top"/>
          </w:tcPr>
          <w:p w14:paraId="3BAFD4A7">
            <w:pPr>
              <w:rPr>
                <w:rFonts w:ascii="Arial"/>
                <w:sz w:val="21"/>
              </w:rPr>
            </w:pPr>
          </w:p>
        </w:tc>
        <w:tc>
          <w:tcPr>
            <w:tcW w:w="539" w:type="dxa"/>
            <w:vAlign w:val="top"/>
          </w:tcPr>
          <w:p w14:paraId="09865D27">
            <w:pPr>
              <w:rPr>
                <w:rFonts w:ascii="Arial"/>
                <w:sz w:val="21"/>
              </w:rPr>
            </w:pPr>
          </w:p>
          <w:p w14:paraId="61986F0F">
            <w:pPr>
              <w:rPr>
                <w:rFonts w:ascii="Arial"/>
                <w:sz w:val="21"/>
              </w:rPr>
            </w:pPr>
          </w:p>
          <w:p w14:paraId="04045366">
            <w:pPr>
              <w:rPr>
                <w:rFonts w:ascii="Arial"/>
                <w:sz w:val="21"/>
              </w:rPr>
            </w:pPr>
          </w:p>
          <w:p w14:paraId="5D18B9C5">
            <w:pPr>
              <w:rPr>
                <w:rFonts w:ascii="Arial"/>
                <w:sz w:val="21"/>
              </w:rPr>
            </w:pPr>
          </w:p>
          <w:p w14:paraId="4DD9D339">
            <w:pPr>
              <w:rPr>
                <w:rFonts w:ascii="Arial"/>
                <w:sz w:val="21"/>
              </w:rPr>
            </w:pPr>
          </w:p>
          <w:p w14:paraId="4C75751F">
            <w:pPr>
              <w:pStyle w:val="6"/>
              <w:spacing w:before="68" w:line="193" w:lineRule="auto"/>
              <w:ind w:left="51"/>
              <w:rPr>
                <w:sz w:val="21"/>
                <w:szCs w:val="21"/>
              </w:rPr>
            </w:pPr>
            <w:r>
              <w:rPr>
                <w:spacing w:val="-3"/>
                <w:sz w:val="21"/>
                <w:szCs w:val="21"/>
              </w:rPr>
              <w:t>2.1.</w:t>
            </w:r>
          </w:p>
          <w:p w14:paraId="79D38B19">
            <w:pPr>
              <w:pStyle w:val="6"/>
              <w:spacing w:before="1"/>
              <w:ind w:left="200"/>
              <w:rPr>
                <w:sz w:val="21"/>
                <w:szCs w:val="21"/>
              </w:rPr>
            </w:pPr>
            <w:r>
              <w:rPr>
                <w:sz w:val="21"/>
                <w:szCs w:val="21"/>
              </w:rPr>
              <w:t>1</w:t>
            </w:r>
          </w:p>
        </w:tc>
        <w:tc>
          <w:tcPr>
            <w:tcW w:w="2218" w:type="dxa"/>
            <w:vAlign w:val="top"/>
          </w:tcPr>
          <w:p w14:paraId="1AA0A472">
            <w:pPr>
              <w:spacing w:line="255" w:lineRule="auto"/>
              <w:rPr>
                <w:rFonts w:ascii="Arial"/>
                <w:sz w:val="21"/>
              </w:rPr>
            </w:pPr>
          </w:p>
          <w:p w14:paraId="6A497488">
            <w:pPr>
              <w:spacing w:line="255" w:lineRule="auto"/>
              <w:rPr>
                <w:rFonts w:ascii="Arial"/>
                <w:sz w:val="21"/>
              </w:rPr>
            </w:pPr>
          </w:p>
          <w:p w14:paraId="2A5B2FDB">
            <w:pPr>
              <w:spacing w:line="255" w:lineRule="auto"/>
              <w:rPr>
                <w:rFonts w:ascii="Arial"/>
                <w:sz w:val="21"/>
              </w:rPr>
            </w:pPr>
          </w:p>
          <w:p w14:paraId="169D3CF3">
            <w:pPr>
              <w:spacing w:line="256" w:lineRule="auto"/>
              <w:rPr>
                <w:rFonts w:ascii="Arial"/>
                <w:sz w:val="21"/>
              </w:rPr>
            </w:pPr>
          </w:p>
          <w:p w14:paraId="339965A4">
            <w:pPr>
              <w:pStyle w:val="6"/>
              <w:spacing w:before="68" w:line="221" w:lineRule="auto"/>
              <w:ind w:left="681"/>
              <w:rPr>
                <w:sz w:val="21"/>
                <w:szCs w:val="21"/>
              </w:rPr>
            </w:pPr>
            <w:r>
              <w:rPr>
                <w:spacing w:val="-2"/>
                <w:sz w:val="21"/>
                <w:szCs w:val="21"/>
              </w:rPr>
              <w:t>主变压器</w:t>
            </w:r>
          </w:p>
          <w:p w14:paraId="3218AE42">
            <w:pPr>
              <w:pStyle w:val="6"/>
              <w:spacing w:before="33" w:line="224" w:lineRule="auto"/>
              <w:ind w:left="151"/>
              <w:rPr>
                <w:sz w:val="21"/>
                <w:szCs w:val="21"/>
              </w:rPr>
            </w:pPr>
            <w:r>
              <w:rPr>
                <w:spacing w:val="-1"/>
                <w:sz w:val="21"/>
                <w:szCs w:val="21"/>
              </w:rPr>
              <w:t>SFZ20-150000/220GY</w:t>
            </w:r>
          </w:p>
          <w:p w14:paraId="028E4AFA">
            <w:pPr>
              <w:pStyle w:val="6"/>
              <w:spacing w:before="27" w:line="184" w:lineRule="auto"/>
              <w:ind w:left="681"/>
              <w:rPr>
                <w:sz w:val="21"/>
                <w:szCs w:val="21"/>
              </w:rPr>
            </w:pPr>
            <w:r>
              <w:rPr>
                <w:spacing w:val="-1"/>
                <w:sz w:val="21"/>
                <w:szCs w:val="21"/>
              </w:rPr>
              <w:t>W,150MVA</w:t>
            </w:r>
          </w:p>
        </w:tc>
        <w:tc>
          <w:tcPr>
            <w:tcW w:w="4075" w:type="dxa"/>
            <w:vAlign w:val="top"/>
          </w:tcPr>
          <w:p w14:paraId="7420DAE9">
            <w:pPr>
              <w:pStyle w:val="6"/>
              <w:spacing w:before="61" w:line="216" w:lineRule="auto"/>
              <w:ind w:left="443"/>
              <w:rPr>
                <w:sz w:val="21"/>
                <w:szCs w:val="21"/>
              </w:rPr>
            </w:pPr>
            <w:r>
              <w:rPr>
                <w:spacing w:val="-1"/>
                <w:sz w:val="21"/>
                <w:szCs w:val="21"/>
              </w:rPr>
              <w:t>SFZ20-150000/220GYW,有载调压</w:t>
            </w:r>
          </w:p>
          <w:p w14:paraId="3A44D4D5">
            <w:pPr>
              <w:pStyle w:val="6"/>
              <w:spacing w:before="32" w:line="212" w:lineRule="auto"/>
              <w:ind w:left="1133"/>
              <w:rPr>
                <w:sz w:val="21"/>
                <w:szCs w:val="21"/>
              </w:rPr>
            </w:pPr>
            <w:r>
              <w:rPr>
                <w:spacing w:val="-1"/>
                <w:sz w:val="21"/>
                <w:szCs w:val="21"/>
              </w:rPr>
              <w:t>230±8x1.25%/35kV</w:t>
            </w:r>
          </w:p>
          <w:p w14:paraId="2817F794">
            <w:pPr>
              <w:pStyle w:val="6"/>
              <w:spacing w:line="216" w:lineRule="auto"/>
              <w:ind w:left="823"/>
              <w:rPr>
                <w:sz w:val="21"/>
                <w:szCs w:val="21"/>
              </w:rPr>
            </w:pPr>
            <w:r>
              <w:rPr>
                <w:spacing w:val="1"/>
                <w:sz w:val="21"/>
                <w:szCs w:val="21"/>
              </w:rPr>
              <w:t>150</w:t>
            </w:r>
            <w:r>
              <w:rPr>
                <w:sz w:val="21"/>
                <w:szCs w:val="21"/>
              </w:rPr>
              <w:t>MVA</w:t>
            </w:r>
            <w:r>
              <w:rPr>
                <w:spacing w:val="1"/>
                <w:sz w:val="21"/>
                <w:szCs w:val="21"/>
              </w:rPr>
              <w:t>,接线组别：</w:t>
            </w:r>
            <w:r>
              <w:rPr>
                <w:sz w:val="21"/>
                <w:szCs w:val="21"/>
              </w:rPr>
              <w:t>YN</w:t>
            </w:r>
            <w:r>
              <w:rPr>
                <w:spacing w:val="1"/>
                <w:sz w:val="21"/>
                <w:szCs w:val="21"/>
              </w:rPr>
              <w:t>.d11</w:t>
            </w:r>
          </w:p>
          <w:p w14:paraId="1E946573">
            <w:pPr>
              <w:pStyle w:val="6"/>
              <w:spacing w:before="17" w:line="219" w:lineRule="auto"/>
              <w:ind w:left="563"/>
              <w:rPr>
                <w:sz w:val="21"/>
                <w:szCs w:val="21"/>
              </w:rPr>
            </w:pPr>
            <w:r>
              <w:rPr>
                <w:spacing w:val="-1"/>
                <w:sz w:val="21"/>
                <w:szCs w:val="21"/>
              </w:rPr>
              <w:t>冷却方式：自然油循环风冷ONAF</w:t>
            </w:r>
          </w:p>
          <w:p w14:paraId="512FE915">
            <w:pPr>
              <w:pStyle w:val="6"/>
              <w:spacing w:before="41" w:line="184" w:lineRule="auto"/>
              <w:ind w:left="1663"/>
              <w:rPr>
                <w:sz w:val="21"/>
                <w:szCs w:val="21"/>
              </w:rPr>
            </w:pPr>
            <w:r>
              <w:rPr>
                <w:spacing w:val="-1"/>
                <w:sz w:val="21"/>
                <w:szCs w:val="21"/>
              </w:rPr>
              <w:t>Uk%=14%</w:t>
            </w:r>
          </w:p>
          <w:p w14:paraId="185B5116">
            <w:pPr>
              <w:pStyle w:val="6"/>
              <w:spacing w:before="1" w:line="217" w:lineRule="auto"/>
              <w:ind w:left="873"/>
              <w:rPr>
                <w:sz w:val="21"/>
                <w:szCs w:val="21"/>
              </w:rPr>
            </w:pPr>
            <w:r>
              <w:rPr>
                <w:spacing w:val="3"/>
                <w:sz w:val="21"/>
                <w:szCs w:val="21"/>
              </w:rPr>
              <w:t>附套管电流互感器(每组)</w:t>
            </w:r>
          </w:p>
          <w:p w14:paraId="4C8AF336">
            <w:pPr>
              <w:pStyle w:val="6"/>
              <w:spacing w:before="53" w:line="207" w:lineRule="auto"/>
              <w:ind w:left="1663"/>
              <w:rPr>
                <w:sz w:val="21"/>
                <w:szCs w:val="21"/>
              </w:rPr>
            </w:pPr>
            <w:r>
              <w:rPr>
                <w:spacing w:val="-1"/>
                <w:sz w:val="21"/>
                <w:szCs w:val="21"/>
              </w:rPr>
              <w:t>LRD-220</w:t>
            </w:r>
          </w:p>
          <w:p w14:paraId="272529F3">
            <w:pPr>
              <w:pStyle w:val="6"/>
              <w:spacing w:before="1" w:line="216" w:lineRule="auto"/>
              <w:jc w:val="right"/>
              <w:rPr>
                <w:sz w:val="21"/>
                <w:szCs w:val="21"/>
              </w:rPr>
            </w:pPr>
            <w:r>
              <w:rPr>
                <w:spacing w:val="-2"/>
                <w:sz w:val="21"/>
                <w:szCs w:val="21"/>
              </w:rPr>
              <w:t>1000/1A,5P30/5P30/0.5S,30/30/30VA,3只</w:t>
            </w:r>
          </w:p>
          <w:p w14:paraId="783F17A2">
            <w:pPr>
              <w:pStyle w:val="6"/>
              <w:spacing w:before="17" w:line="219" w:lineRule="auto"/>
              <w:ind w:left="923"/>
              <w:rPr>
                <w:sz w:val="21"/>
                <w:szCs w:val="21"/>
              </w:rPr>
            </w:pPr>
            <w:r>
              <w:rPr>
                <w:sz w:val="21"/>
                <w:szCs w:val="21"/>
              </w:rPr>
              <w:t>中性点套管电流互感器：</w:t>
            </w:r>
          </w:p>
          <w:p w14:paraId="0046A2D2">
            <w:pPr>
              <w:pStyle w:val="6"/>
              <w:spacing w:before="7" w:line="210" w:lineRule="auto"/>
              <w:ind w:left="611" w:hanging="488"/>
              <w:rPr>
                <w:sz w:val="21"/>
                <w:szCs w:val="21"/>
              </w:rPr>
            </w:pPr>
            <w:r>
              <w:rPr>
                <w:spacing w:val="-4"/>
                <w:sz w:val="21"/>
                <w:szCs w:val="21"/>
              </w:rPr>
              <w:t>LRB-110,200-400/1A,5P30/5P30/5P30,30/30</w:t>
            </w:r>
            <w:r>
              <w:rPr>
                <w:spacing w:val="1"/>
                <w:sz w:val="21"/>
                <w:szCs w:val="21"/>
              </w:rPr>
              <w:t xml:space="preserve"> </w:t>
            </w:r>
            <w:r>
              <w:rPr>
                <w:spacing w:val="-1"/>
                <w:sz w:val="21"/>
                <w:szCs w:val="21"/>
              </w:rPr>
              <w:t>/30VA,1只，配主变本体端子箱</w:t>
            </w:r>
          </w:p>
        </w:tc>
        <w:tc>
          <w:tcPr>
            <w:tcW w:w="579" w:type="dxa"/>
            <w:vAlign w:val="top"/>
          </w:tcPr>
          <w:p w14:paraId="4A6C39B4">
            <w:pPr>
              <w:spacing w:line="254" w:lineRule="auto"/>
              <w:rPr>
                <w:rFonts w:ascii="Arial"/>
                <w:sz w:val="21"/>
              </w:rPr>
            </w:pPr>
          </w:p>
          <w:p w14:paraId="616599A8">
            <w:pPr>
              <w:spacing w:line="254" w:lineRule="auto"/>
              <w:rPr>
                <w:rFonts w:ascii="Arial"/>
                <w:sz w:val="21"/>
              </w:rPr>
            </w:pPr>
          </w:p>
          <w:p w14:paraId="2D361096">
            <w:pPr>
              <w:spacing w:line="254" w:lineRule="auto"/>
              <w:rPr>
                <w:rFonts w:ascii="Arial"/>
                <w:sz w:val="21"/>
              </w:rPr>
            </w:pPr>
          </w:p>
          <w:p w14:paraId="6312D5D3">
            <w:pPr>
              <w:spacing w:line="254" w:lineRule="auto"/>
              <w:rPr>
                <w:rFonts w:ascii="Arial"/>
                <w:sz w:val="21"/>
              </w:rPr>
            </w:pPr>
          </w:p>
          <w:p w14:paraId="2C2AAF0F">
            <w:pPr>
              <w:spacing w:line="255" w:lineRule="auto"/>
              <w:rPr>
                <w:rFonts w:ascii="Arial"/>
                <w:sz w:val="21"/>
              </w:rPr>
            </w:pPr>
          </w:p>
          <w:p w14:paraId="643C3AA5">
            <w:pPr>
              <w:pStyle w:val="6"/>
              <w:spacing w:before="68" w:line="221" w:lineRule="auto"/>
              <w:ind w:left="178"/>
              <w:rPr>
                <w:sz w:val="21"/>
                <w:szCs w:val="21"/>
              </w:rPr>
            </w:pPr>
            <w:r>
              <w:rPr>
                <w:sz w:val="21"/>
                <w:szCs w:val="21"/>
              </w:rPr>
              <w:t>台</w:t>
            </w:r>
          </w:p>
        </w:tc>
        <w:tc>
          <w:tcPr>
            <w:tcW w:w="959" w:type="dxa"/>
            <w:vAlign w:val="top"/>
          </w:tcPr>
          <w:p w14:paraId="0DAC17B7">
            <w:pPr>
              <w:spacing w:line="257" w:lineRule="auto"/>
              <w:rPr>
                <w:rFonts w:ascii="Arial"/>
                <w:sz w:val="21"/>
              </w:rPr>
            </w:pPr>
          </w:p>
          <w:p w14:paraId="2F78E2B6">
            <w:pPr>
              <w:spacing w:line="258" w:lineRule="auto"/>
              <w:rPr>
                <w:rFonts w:ascii="Arial"/>
                <w:sz w:val="21"/>
              </w:rPr>
            </w:pPr>
          </w:p>
          <w:p w14:paraId="6FDC006A">
            <w:pPr>
              <w:spacing w:line="258" w:lineRule="auto"/>
              <w:rPr>
                <w:rFonts w:ascii="Arial"/>
                <w:sz w:val="21"/>
              </w:rPr>
            </w:pPr>
          </w:p>
          <w:p w14:paraId="0EB5EB1A">
            <w:pPr>
              <w:spacing w:line="258" w:lineRule="auto"/>
              <w:rPr>
                <w:rFonts w:ascii="Arial"/>
                <w:sz w:val="21"/>
              </w:rPr>
            </w:pPr>
          </w:p>
          <w:p w14:paraId="45260016">
            <w:pPr>
              <w:spacing w:line="258" w:lineRule="auto"/>
              <w:rPr>
                <w:rFonts w:ascii="Arial"/>
                <w:sz w:val="21"/>
              </w:rPr>
            </w:pPr>
          </w:p>
          <w:p w14:paraId="1C3DAF87">
            <w:pPr>
              <w:pStyle w:val="6"/>
              <w:spacing w:before="68" w:line="239" w:lineRule="auto"/>
              <w:ind w:left="269"/>
              <w:rPr>
                <w:sz w:val="21"/>
                <w:szCs w:val="21"/>
              </w:rPr>
            </w:pPr>
            <w:r>
              <w:rPr>
                <w:spacing w:val="-5"/>
                <w:sz w:val="21"/>
                <w:szCs w:val="21"/>
              </w:rPr>
              <w:t>1.00</w:t>
            </w:r>
          </w:p>
        </w:tc>
        <w:tc>
          <w:tcPr>
            <w:tcW w:w="135" w:type="dxa"/>
            <w:tcBorders>
              <w:top w:val="nil"/>
              <w:bottom w:val="nil"/>
            </w:tcBorders>
            <w:vAlign w:val="top"/>
          </w:tcPr>
          <w:p w14:paraId="79902C33">
            <w:pPr>
              <w:rPr>
                <w:rFonts w:ascii="Arial"/>
                <w:sz w:val="21"/>
              </w:rPr>
            </w:pPr>
          </w:p>
        </w:tc>
      </w:tr>
      <w:tr w14:paraId="7C53B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24" w:type="dxa"/>
            <w:vMerge w:val="continue"/>
            <w:tcBorders>
              <w:top w:val="nil"/>
              <w:bottom w:val="nil"/>
            </w:tcBorders>
            <w:vAlign w:val="top"/>
          </w:tcPr>
          <w:p w14:paraId="2A6D3522">
            <w:pPr>
              <w:rPr>
                <w:rFonts w:ascii="Arial"/>
                <w:sz w:val="21"/>
              </w:rPr>
            </w:pPr>
          </w:p>
        </w:tc>
        <w:tc>
          <w:tcPr>
            <w:tcW w:w="130" w:type="dxa"/>
            <w:vMerge w:val="continue"/>
            <w:tcBorders>
              <w:top w:val="nil"/>
              <w:bottom w:val="nil"/>
            </w:tcBorders>
            <w:vAlign w:val="top"/>
          </w:tcPr>
          <w:p w14:paraId="51EBC952">
            <w:pPr>
              <w:rPr>
                <w:rFonts w:ascii="Arial"/>
                <w:sz w:val="21"/>
              </w:rPr>
            </w:pPr>
          </w:p>
        </w:tc>
        <w:tc>
          <w:tcPr>
            <w:tcW w:w="539" w:type="dxa"/>
            <w:vAlign w:val="top"/>
          </w:tcPr>
          <w:p w14:paraId="7F2799C9">
            <w:pPr>
              <w:pStyle w:val="6"/>
              <w:spacing w:before="57" w:line="178" w:lineRule="auto"/>
              <w:ind w:left="100"/>
              <w:rPr>
                <w:sz w:val="21"/>
                <w:szCs w:val="21"/>
              </w:rPr>
            </w:pPr>
            <w:r>
              <w:rPr>
                <w:spacing w:val="-3"/>
                <w:sz w:val="21"/>
                <w:szCs w:val="21"/>
              </w:rPr>
              <w:t>2.2</w:t>
            </w:r>
          </w:p>
        </w:tc>
        <w:tc>
          <w:tcPr>
            <w:tcW w:w="2218" w:type="dxa"/>
            <w:vAlign w:val="top"/>
          </w:tcPr>
          <w:p w14:paraId="3078DBF4">
            <w:pPr>
              <w:pStyle w:val="6"/>
              <w:spacing w:before="37" w:line="196" w:lineRule="auto"/>
              <w:ind w:left="262"/>
              <w:rPr>
                <w:sz w:val="21"/>
                <w:szCs w:val="21"/>
              </w:rPr>
            </w:pPr>
            <w:r>
              <w:rPr>
                <w:spacing w:val="2"/>
                <w:sz w:val="21"/>
                <w:szCs w:val="21"/>
              </w:rPr>
              <w:t>220</w:t>
            </w:r>
            <w:r>
              <w:rPr>
                <w:sz w:val="21"/>
                <w:szCs w:val="21"/>
              </w:rPr>
              <w:t>kV</w:t>
            </w:r>
            <w:r>
              <w:rPr>
                <w:spacing w:val="2"/>
                <w:sz w:val="21"/>
                <w:szCs w:val="21"/>
              </w:rPr>
              <w:t>户外</w:t>
            </w:r>
            <w:r>
              <w:rPr>
                <w:sz w:val="21"/>
                <w:szCs w:val="21"/>
              </w:rPr>
              <w:t>GIS</w:t>
            </w:r>
            <w:r>
              <w:rPr>
                <w:spacing w:val="2"/>
                <w:sz w:val="21"/>
                <w:szCs w:val="21"/>
              </w:rPr>
              <w:t>间隔</w:t>
            </w:r>
          </w:p>
        </w:tc>
        <w:tc>
          <w:tcPr>
            <w:tcW w:w="4075" w:type="dxa"/>
            <w:vAlign w:val="top"/>
          </w:tcPr>
          <w:p w14:paraId="145B0874">
            <w:pPr>
              <w:rPr>
                <w:rFonts w:ascii="Arial"/>
                <w:sz w:val="21"/>
              </w:rPr>
            </w:pPr>
          </w:p>
        </w:tc>
        <w:tc>
          <w:tcPr>
            <w:tcW w:w="579" w:type="dxa"/>
            <w:vAlign w:val="top"/>
          </w:tcPr>
          <w:p w14:paraId="0D925584">
            <w:pPr>
              <w:rPr>
                <w:rFonts w:ascii="Arial"/>
                <w:sz w:val="21"/>
              </w:rPr>
            </w:pPr>
          </w:p>
        </w:tc>
        <w:tc>
          <w:tcPr>
            <w:tcW w:w="959" w:type="dxa"/>
            <w:vAlign w:val="top"/>
          </w:tcPr>
          <w:p w14:paraId="76444A68">
            <w:pPr>
              <w:rPr>
                <w:rFonts w:ascii="Arial"/>
                <w:sz w:val="21"/>
              </w:rPr>
            </w:pPr>
          </w:p>
        </w:tc>
        <w:tc>
          <w:tcPr>
            <w:tcW w:w="135" w:type="dxa"/>
            <w:tcBorders>
              <w:top w:val="nil"/>
              <w:bottom w:val="nil"/>
            </w:tcBorders>
            <w:vAlign w:val="top"/>
          </w:tcPr>
          <w:p w14:paraId="220EAD59">
            <w:pPr>
              <w:rPr>
                <w:rFonts w:ascii="Arial"/>
                <w:sz w:val="21"/>
              </w:rPr>
            </w:pPr>
          </w:p>
        </w:tc>
      </w:tr>
      <w:tr w14:paraId="6FF6C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8" w:hRule="atLeast"/>
        </w:trPr>
        <w:tc>
          <w:tcPr>
            <w:tcW w:w="424" w:type="dxa"/>
            <w:vMerge w:val="continue"/>
            <w:tcBorders>
              <w:top w:val="nil"/>
              <w:bottom w:val="nil"/>
            </w:tcBorders>
            <w:vAlign w:val="top"/>
          </w:tcPr>
          <w:p w14:paraId="27F0E473">
            <w:pPr>
              <w:rPr>
                <w:rFonts w:ascii="Arial"/>
                <w:sz w:val="21"/>
              </w:rPr>
            </w:pPr>
          </w:p>
        </w:tc>
        <w:tc>
          <w:tcPr>
            <w:tcW w:w="130" w:type="dxa"/>
            <w:vMerge w:val="continue"/>
            <w:tcBorders>
              <w:top w:val="nil"/>
              <w:bottom w:val="nil"/>
            </w:tcBorders>
            <w:vAlign w:val="top"/>
          </w:tcPr>
          <w:p w14:paraId="799EB671">
            <w:pPr>
              <w:rPr>
                <w:rFonts w:ascii="Arial"/>
                <w:sz w:val="21"/>
              </w:rPr>
            </w:pPr>
          </w:p>
        </w:tc>
        <w:tc>
          <w:tcPr>
            <w:tcW w:w="539" w:type="dxa"/>
            <w:vAlign w:val="top"/>
          </w:tcPr>
          <w:p w14:paraId="6C3B707F">
            <w:pPr>
              <w:spacing w:line="260" w:lineRule="auto"/>
              <w:rPr>
                <w:rFonts w:ascii="Arial"/>
                <w:sz w:val="21"/>
              </w:rPr>
            </w:pPr>
          </w:p>
          <w:p w14:paraId="0A5B8607">
            <w:pPr>
              <w:spacing w:line="261" w:lineRule="auto"/>
              <w:rPr>
                <w:rFonts w:ascii="Arial"/>
                <w:sz w:val="21"/>
              </w:rPr>
            </w:pPr>
          </w:p>
          <w:p w14:paraId="6CC6D44F">
            <w:pPr>
              <w:spacing w:line="261" w:lineRule="auto"/>
              <w:rPr>
                <w:rFonts w:ascii="Arial"/>
                <w:sz w:val="21"/>
              </w:rPr>
            </w:pPr>
          </w:p>
          <w:p w14:paraId="71DAF632">
            <w:pPr>
              <w:spacing w:line="261" w:lineRule="auto"/>
              <w:rPr>
                <w:rFonts w:ascii="Arial"/>
                <w:sz w:val="21"/>
              </w:rPr>
            </w:pPr>
          </w:p>
          <w:p w14:paraId="05E64B16">
            <w:pPr>
              <w:pStyle w:val="6"/>
              <w:spacing w:before="68" w:line="202" w:lineRule="auto"/>
              <w:ind w:left="51"/>
              <w:rPr>
                <w:sz w:val="21"/>
                <w:szCs w:val="21"/>
              </w:rPr>
            </w:pPr>
            <w:r>
              <w:rPr>
                <w:spacing w:val="-3"/>
                <w:sz w:val="21"/>
                <w:szCs w:val="21"/>
              </w:rPr>
              <w:t>2.2.</w:t>
            </w:r>
          </w:p>
          <w:p w14:paraId="29A6C75E">
            <w:pPr>
              <w:pStyle w:val="6"/>
              <w:spacing w:before="1"/>
              <w:ind w:left="170"/>
              <w:rPr>
                <w:sz w:val="21"/>
                <w:szCs w:val="21"/>
              </w:rPr>
            </w:pPr>
            <w:r>
              <w:rPr>
                <w:sz w:val="21"/>
                <w:szCs w:val="21"/>
              </w:rPr>
              <w:t>1</w:t>
            </w:r>
          </w:p>
        </w:tc>
        <w:tc>
          <w:tcPr>
            <w:tcW w:w="2218" w:type="dxa"/>
            <w:vAlign w:val="top"/>
          </w:tcPr>
          <w:p w14:paraId="5646D32E">
            <w:pPr>
              <w:spacing w:line="294" w:lineRule="auto"/>
              <w:rPr>
                <w:rFonts w:ascii="Arial"/>
                <w:sz w:val="21"/>
              </w:rPr>
            </w:pPr>
          </w:p>
          <w:p w14:paraId="6C666228">
            <w:pPr>
              <w:spacing w:line="294" w:lineRule="auto"/>
              <w:rPr>
                <w:rFonts w:ascii="Arial"/>
                <w:sz w:val="21"/>
              </w:rPr>
            </w:pPr>
          </w:p>
          <w:p w14:paraId="6B3BE885">
            <w:pPr>
              <w:spacing w:line="295" w:lineRule="auto"/>
              <w:rPr>
                <w:rFonts w:ascii="Arial"/>
                <w:sz w:val="21"/>
              </w:rPr>
            </w:pPr>
          </w:p>
          <w:p w14:paraId="50938740">
            <w:pPr>
              <w:pStyle w:val="6"/>
              <w:spacing w:before="68" w:line="220" w:lineRule="auto"/>
              <w:ind w:left="411"/>
              <w:rPr>
                <w:sz w:val="21"/>
                <w:szCs w:val="21"/>
              </w:rPr>
            </w:pPr>
            <w:r>
              <w:rPr>
                <w:spacing w:val="3"/>
                <w:sz w:val="21"/>
                <w:szCs w:val="21"/>
              </w:rPr>
              <w:t>220</w:t>
            </w:r>
            <w:r>
              <w:rPr>
                <w:sz w:val="21"/>
                <w:szCs w:val="21"/>
              </w:rPr>
              <w:t>kV</w:t>
            </w:r>
            <w:r>
              <w:rPr>
                <w:spacing w:val="3"/>
                <w:sz w:val="21"/>
                <w:szCs w:val="21"/>
              </w:rPr>
              <w:t>出线间隔</w:t>
            </w:r>
          </w:p>
          <w:p w14:paraId="1610E171">
            <w:pPr>
              <w:pStyle w:val="6"/>
              <w:spacing w:before="11" w:line="221" w:lineRule="auto"/>
              <w:ind w:left="201"/>
              <w:rPr>
                <w:sz w:val="21"/>
                <w:szCs w:val="21"/>
              </w:rPr>
            </w:pPr>
            <w:r>
              <w:rPr>
                <w:spacing w:val="-1"/>
                <w:sz w:val="21"/>
                <w:szCs w:val="21"/>
              </w:rPr>
              <w:t>(ZF12-252</w:t>
            </w:r>
            <w:r>
              <w:rPr>
                <w:spacing w:val="26"/>
                <w:sz w:val="21"/>
                <w:szCs w:val="21"/>
              </w:rPr>
              <w:t xml:space="preserve"> </w:t>
            </w:r>
            <w:r>
              <w:rPr>
                <w:spacing w:val="-1"/>
                <w:sz w:val="21"/>
                <w:szCs w:val="21"/>
              </w:rPr>
              <w:t>SF6全封</w:t>
            </w:r>
          </w:p>
          <w:p w14:paraId="6ABA9121">
            <w:pPr>
              <w:pStyle w:val="6"/>
              <w:spacing w:before="19" w:line="223" w:lineRule="auto"/>
              <w:ind w:left="572"/>
              <w:rPr>
                <w:sz w:val="21"/>
                <w:szCs w:val="21"/>
              </w:rPr>
            </w:pPr>
            <w:r>
              <w:rPr>
                <w:spacing w:val="1"/>
                <w:sz w:val="21"/>
                <w:szCs w:val="21"/>
              </w:rPr>
              <w:t>闭组合电器</w:t>
            </w:r>
          </w:p>
        </w:tc>
        <w:tc>
          <w:tcPr>
            <w:tcW w:w="4075" w:type="dxa"/>
            <w:vAlign w:val="top"/>
          </w:tcPr>
          <w:p w14:paraId="31F59F4F">
            <w:pPr>
              <w:pStyle w:val="6"/>
              <w:spacing w:before="33" w:line="216" w:lineRule="auto"/>
              <w:ind w:left="143"/>
              <w:rPr>
                <w:sz w:val="21"/>
                <w:szCs w:val="21"/>
              </w:rPr>
            </w:pPr>
            <w:r>
              <w:rPr>
                <w:spacing w:val="-1"/>
                <w:sz w:val="21"/>
                <w:szCs w:val="21"/>
              </w:rPr>
              <w:t>隔离开关，252kV,3150A 50kA</w:t>
            </w:r>
            <w:r>
              <w:rPr>
                <w:spacing w:val="38"/>
                <w:sz w:val="21"/>
                <w:szCs w:val="21"/>
              </w:rPr>
              <w:t xml:space="preserve"> </w:t>
            </w:r>
            <w:r>
              <w:rPr>
                <w:spacing w:val="-1"/>
                <w:sz w:val="21"/>
                <w:szCs w:val="21"/>
              </w:rPr>
              <w:t>125kA2组，</w:t>
            </w:r>
          </w:p>
          <w:p w14:paraId="1EFFD2F7">
            <w:pPr>
              <w:pStyle w:val="6"/>
              <w:spacing w:before="44" w:line="216" w:lineRule="auto"/>
              <w:ind w:left="153"/>
              <w:rPr>
                <w:sz w:val="21"/>
                <w:szCs w:val="21"/>
              </w:rPr>
            </w:pPr>
            <w:r>
              <w:rPr>
                <w:sz w:val="21"/>
                <w:szCs w:val="21"/>
              </w:rPr>
              <w:t>快速接地开关，252kV 125kA</w:t>
            </w:r>
            <w:r>
              <w:rPr>
                <w:spacing w:val="21"/>
                <w:sz w:val="21"/>
                <w:szCs w:val="21"/>
              </w:rPr>
              <w:t xml:space="preserve"> </w:t>
            </w:r>
            <w:r>
              <w:rPr>
                <w:sz w:val="21"/>
                <w:szCs w:val="21"/>
              </w:rPr>
              <w:t>50kA,1</w:t>
            </w:r>
          </w:p>
          <w:p w14:paraId="4D2DD531">
            <w:pPr>
              <w:pStyle w:val="6"/>
              <w:spacing w:before="24" w:line="216" w:lineRule="auto"/>
              <w:ind w:left="193"/>
              <w:rPr>
                <w:sz w:val="21"/>
                <w:szCs w:val="21"/>
              </w:rPr>
            </w:pPr>
            <w:r>
              <w:rPr>
                <w:spacing w:val="1"/>
                <w:sz w:val="21"/>
                <w:szCs w:val="21"/>
              </w:rPr>
              <w:t>组，检修接地开关，252</w:t>
            </w:r>
            <w:r>
              <w:rPr>
                <w:sz w:val="21"/>
                <w:szCs w:val="21"/>
              </w:rPr>
              <w:t>kV</w:t>
            </w:r>
            <w:r>
              <w:rPr>
                <w:spacing w:val="1"/>
                <w:sz w:val="21"/>
                <w:szCs w:val="21"/>
              </w:rPr>
              <w:t>,50</w:t>
            </w:r>
            <w:r>
              <w:rPr>
                <w:sz w:val="21"/>
                <w:szCs w:val="21"/>
              </w:rPr>
              <w:t>kA</w:t>
            </w:r>
            <w:r>
              <w:rPr>
                <w:spacing w:val="41"/>
                <w:sz w:val="21"/>
                <w:szCs w:val="21"/>
              </w:rPr>
              <w:t xml:space="preserve"> </w:t>
            </w:r>
            <w:r>
              <w:rPr>
                <w:spacing w:val="1"/>
                <w:sz w:val="21"/>
                <w:szCs w:val="21"/>
              </w:rPr>
              <w:t>125</w:t>
            </w:r>
            <w:r>
              <w:rPr>
                <w:sz w:val="21"/>
                <w:szCs w:val="21"/>
              </w:rPr>
              <w:t>kA</w:t>
            </w:r>
            <w:r>
              <w:rPr>
                <w:spacing w:val="1"/>
                <w:sz w:val="21"/>
                <w:szCs w:val="21"/>
              </w:rPr>
              <w:t>,</w:t>
            </w:r>
          </w:p>
          <w:p w14:paraId="0D0EC56B">
            <w:pPr>
              <w:pStyle w:val="6"/>
              <w:spacing w:before="29" w:line="226" w:lineRule="auto"/>
              <w:ind w:left="1823"/>
              <w:rPr>
                <w:sz w:val="21"/>
                <w:szCs w:val="21"/>
              </w:rPr>
            </w:pPr>
            <w:r>
              <w:rPr>
                <w:spacing w:val="-1"/>
                <w:sz w:val="21"/>
                <w:szCs w:val="21"/>
              </w:rPr>
              <w:t>2组，</w:t>
            </w:r>
          </w:p>
          <w:p w14:paraId="68822942">
            <w:pPr>
              <w:pStyle w:val="6"/>
              <w:spacing w:before="1" w:line="216" w:lineRule="auto"/>
              <w:ind w:left="403"/>
              <w:rPr>
                <w:sz w:val="21"/>
                <w:szCs w:val="21"/>
              </w:rPr>
            </w:pPr>
            <w:r>
              <w:rPr>
                <w:sz w:val="21"/>
                <w:szCs w:val="21"/>
              </w:rPr>
              <w:t>电流互感器(母线侧):1000-2000/</w:t>
            </w:r>
            <w:r>
              <w:rPr>
                <w:spacing w:val="-1"/>
                <w:sz w:val="21"/>
                <w:szCs w:val="21"/>
              </w:rPr>
              <w:t>1A</w:t>
            </w:r>
          </w:p>
          <w:p w14:paraId="26FA2E4D">
            <w:pPr>
              <w:pStyle w:val="6"/>
              <w:spacing w:before="1" w:line="233" w:lineRule="auto"/>
              <w:ind w:left="193" w:right="197" w:firstLine="219"/>
              <w:rPr>
                <w:sz w:val="21"/>
                <w:szCs w:val="21"/>
              </w:rPr>
            </w:pPr>
            <w:r>
              <w:rPr>
                <w:sz w:val="21"/>
                <w:szCs w:val="21"/>
              </w:rPr>
              <w:t>5P30/5P30/5P30/5P30</w:t>
            </w:r>
            <w:r>
              <w:rPr>
                <w:spacing w:val="-1"/>
                <w:sz w:val="21"/>
                <w:szCs w:val="21"/>
              </w:rPr>
              <w:t>,20/20/20/20VA</w:t>
            </w:r>
            <w:r>
              <w:rPr>
                <w:sz w:val="21"/>
                <w:szCs w:val="21"/>
              </w:rPr>
              <w:t xml:space="preserve"> 电流互感器(线路侧):500-1000-2000</w:t>
            </w:r>
            <w:r>
              <w:rPr>
                <w:spacing w:val="-1"/>
                <w:sz w:val="21"/>
                <w:szCs w:val="21"/>
              </w:rPr>
              <w:t>/1A</w:t>
            </w:r>
          </w:p>
          <w:p w14:paraId="3E1D03A1">
            <w:pPr>
              <w:pStyle w:val="6"/>
              <w:spacing w:before="19" w:line="193" w:lineRule="auto"/>
              <w:ind w:left="1133"/>
              <w:rPr>
                <w:sz w:val="21"/>
                <w:szCs w:val="21"/>
              </w:rPr>
            </w:pPr>
            <w:r>
              <w:rPr>
                <w:spacing w:val="-1"/>
                <w:sz w:val="21"/>
                <w:szCs w:val="21"/>
              </w:rPr>
              <w:t>0.5S/0.2S,10/10VA</w:t>
            </w:r>
          </w:p>
          <w:p w14:paraId="4DF7C33D">
            <w:pPr>
              <w:pStyle w:val="6"/>
              <w:spacing w:before="2" w:line="208" w:lineRule="auto"/>
              <w:ind w:left="493" w:right="484" w:hanging="40"/>
              <w:rPr>
                <w:sz w:val="21"/>
                <w:szCs w:val="21"/>
              </w:rPr>
            </w:pPr>
            <w:r>
              <w:rPr>
                <w:spacing w:val="-1"/>
                <w:sz w:val="21"/>
                <w:szCs w:val="21"/>
              </w:rPr>
              <w:t>1000-2000/1A,5P30/5P30,20/20VA</w:t>
            </w:r>
            <w:r>
              <w:rPr>
                <w:spacing w:val="5"/>
                <w:sz w:val="21"/>
                <w:szCs w:val="21"/>
              </w:rPr>
              <w:t xml:space="preserve"> </w:t>
            </w:r>
            <w:r>
              <w:rPr>
                <w:sz w:val="21"/>
                <w:szCs w:val="21"/>
              </w:rPr>
              <w:t>断路器：252kV,3150A,50kA/4s</w:t>
            </w:r>
          </w:p>
        </w:tc>
        <w:tc>
          <w:tcPr>
            <w:tcW w:w="579" w:type="dxa"/>
            <w:vAlign w:val="top"/>
          </w:tcPr>
          <w:p w14:paraId="4CF73DF2">
            <w:pPr>
              <w:spacing w:line="285" w:lineRule="auto"/>
              <w:rPr>
                <w:rFonts w:ascii="Arial"/>
                <w:sz w:val="21"/>
              </w:rPr>
            </w:pPr>
          </w:p>
          <w:p w14:paraId="73108ED6">
            <w:pPr>
              <w:spacing w:line="285" w:lineRule="auto"/>
              <w:rPr>
                <w:rFonts w:ascii="Arial"/>
                <w:sz w:val="21"/>
              </w:rPr>
            </w:pPr>
          </w:p>
          <w:p w14:paraId="008F185C">
            <w:pPr>
              <w:spacing w:line="285" w:lineRule="auto"/>
              <w:rPr>
                <w:rFonts w:ascii="Arial"/>
                <w:sz w:val="21"/>
              </w:rPr>
            </w:pPr>
          </w:p>
          <w:p w14:paraId="293F982A">
            <w:pPr>
              <w:spacing w:line="286" w:lineRule="auto"/>
              <w:rPr>
                <w:rFonts w:ascii="Arial"/>
                <w:sz w:val="21"/>
              </w:rPr>
            </w:pPr>
          </w:p>
          <w:p w14:paraId="2139A431">
            <w:pPr>
              <w:pStyle w:val="6"/>
              <w:spacing w:before="69" w:line="220" w:lineRule="auto"/>
              <w:ind w:left="178"/>
              <w:rPr>
                <w:sz w:val="21"/>
                <w:szCs w:val="21"/>
              </w:rPr>
            </w:pPr>
            <w:r>
              <w:rPr>
                <w:sz w:val="21"/>
                <w:szCs w:val="21"/>
              </w:rPr>
              <w:t>套</w:t>
            </w:r>
          </w:p>
        </w:tc>
        <w:tc>
          <w:tcPr>
            <w:tcW w:w="959" w:type="dxa"/>
            <w:vAlign w:val="top"/>
          </w:tcPr>
          <w:p w14:paraId="7984064E">
            <w:pPr>
              <w:spacing w:line="290" w:lineRule="auto"/>
              <w:rPr>
                <w:rFonts w:ascii="Arial"/>
                <w:sz w:val="21"/>
              </w:rPr>
            </w:pPr>
          </w:p>
          <w:p w14:paraId="0C5A74A4">
            <w:pPr>
              <w:spacing w:line="290" w:lineRule="auto"/>
              <w:rPr>
                <w:rFonts w:ascii="Arial"/>
                <w:sz w:val="21"/>
              </w:rPr>
            </w:pPr>
          </w:p>
          <w:p w14:paraId="51E71899">
            <w:pPr>
              <w:spacing w:line="290" w:lineRule="auto"/>
              <w:rPr>
                <w:rFonts w:ascii="Arial"/>
                <w:sz w:val="21"/>
              </w:rPr>
            </w:pPr>
          </w:p>
          <w:p w14:paraId="3E9E292D">
            <w:pPr>
              <w:spacing w:line="291" w:lineRule="auto"/>
              <w:rPr>
                <w:rFonts w:ascii="Arial"/>
                <w:sz w:val="21"/>
              </w:rPr>
            </w:pPr>
          </w:p>
          <w:p w14:paraId="31DFA418">
            <w:pPr>
              <w:pStyle w:val="6"/>
              <w:spacing w:before="69" w:line="239" w:lineRule="auto"/>
              <w:ind w:left="269"/>
              <w:rPr>
                <w:sz w:val="21"/>
                <w:szCs w:val="21"/>
              </w:rPr>
            </w:pPr>
            <w:r>
              <w:rPr>
                <w:spacing w:val="-3"/>
                <w:sz w:val="21"/>
                <w:szCs w:val="21"/>
              </w:rPr>
              <w:t>2.00</w:t>
            </w:r>
          </w:p>
        </w:tc>
        <w:tc>
          <w:tcPr>
            <w:tcW w:w="135" w:type="dxa"/>
            <w:tcBorders>
              <w:top w:val="nil"/>
              <w:bottom w:val="nil"/>
            </w:tcBorders>
            <w:vAlign w:val="top"/>
          </w:tcPr>
          <w:p w14:paraId="78676B5A">
            <w:pPr>
              <w:rPr>
                <w:rFonts w:ascii="Arial"/>
                <w:sz w:val="21"/>
              </w:rPr>
            </w:pPr>
          </w:p>
        </w:tc>
      </w:tr>
      <w:tr w14:paraId="6D36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24" w:type="dxa"/>
            <w:vMerge w:val="continue"/>
            <w:tcBorders>
              <w:top w:val="nil"/>
              <w:bottom w:val="nil"/>
            </w:tcBorders>
            <w:vAlign w:val="top"/>
          </w:tcPr>
          <w:p w14:paraId="5382CB0D">
            <w:pPr>
              <w:rPr>
                <w:rFonts w:ascii="Arial"/>
                <w:sz w:val="21"/>
              </w:rPr>
            </w:pPr>
          </w:p>
        </w:tc>
        <w:tc>
          <w:tcPr>
            <w:tcW w:w="130" w:type="dxa"/>
            <w:vMerge w:val="continue"/>
            <w:tcBorders>
              <w:top w:val="nil"/>
              <w:bottom w:val="nil"/>
            </w:tcBorders>
            <w:vAlign w:val="top"/>
          </w:tcPr>
          <w:p w14:paraId="24D7E3BB">
            <w:pPr>
              <w:rPr>
                <w:rFonts w:ascii="Arial"/>
                <w:sz w:val="21"/>
              </w:rPr>
            </w:pPr>
          </w:p>
        </w:tc>
        <w:tc>
          <w:tcPr>
            <w:tcW w:w="539" w:type="dxa"/>
            <w:vAlign w:val="top"/>
          </w:tcPr>
          <w:p w14:paraId="440E3F9C">
            <w:pPr>
              <w:pStyle w:val="6"/>
              <w:spacing w:before="50" w:line="167" w:lineRule="auto"/>
              <w:ind w:left="100"/>
              <w:rPr>
                <w:sz w:val="21"/>
                <w:szCs w:val="21"/>
              </w:rPr>
            </w:pPr>
            <w:r>
              <w:rPr>
                <w:spacing w:val="-3"/>
                <w:sz w:val="21"/>
                <w:szCs w:val="21"/>
              </w:rPr>
              <w:t>2.3</w:t>
            </w:r>
          </w:p>
        </w:tc>
        <w:tc>
          <w:tcPr>
            <w:tcW w:w="2218" w:type="dxa"/>
            <w:vAlign w:val="top"/>
          </w:tcPr>
          <w:p w14:paraId="50F04047">
            <w:pPr>
              <w:pStyle w:val="6"/>
              <w:spacing w:before="29" w:line="185" w:lineRule="auto"/>
              <w:ind w:left="471"/>
              <w:rPr>
                <w:sz w:val="21"/>
                <w:szCs w:val="21"/>
              </w:rPr>
            </w:pPr>
            <w:r>
              <w:rPr>
                <w:spacing w:val="-2"/>
                <w:sz w:val="21"/>
                <w:szCs w:val="21"/>
              </w:rPr>
              <w:t>35kV配电装置</w:t>
            </w:r>
          </w:p>
        </w:tc>
        <w:tc>
          <w:tcPr>
            <w:tcW w:w="4075" w:type="dxa"/>
            <w:vAlign w:val="top"/>
          </w:tcPr>
          <w:p w14:paraId="535257BB">
            <w:pPr>
              <w:spacing w:line="240" w:lineRule="exact"/>
              <w:rPr>
                <w:rFonts w:ascii="Arial"/>
                <w:sz w:val="20"/>
              </w:rPr>
            </w:pPr>
          </w:p>
        </w:tc>
        <w:tc>
          <w:tcPr>
            <w:tcW w:w="579" w:type="dxa"/>
            <w:vAlign w:val="top"/>
          </w:tcPr>
          <w:p w14:paraId="4E9B7F9A">
            <w:pPr>
              <w:spacing w:line="240" w:lineRule="exact"/>
              <w:rPr>
                <w:rFonts w:ascii="Arial"/>
                <w:sz w:val="20"/>
              </w:rPr>
            </w:pPr>
          </w:p>
        </w:tc>
        <w:tc>
          <w:tcPr>
            <w:tcW w:w="959" w:type="dxa"/>
            <w:vAlign w:val="top"/>
          </w:tcPr>
          <w:p w14:paraId="69785409">
            <w:pPr>
              <w:spacing w:line="240" w:lineRule="exact"/>
              <w:rPr>
                <w:rFonts w:ascii="Arial"/>
                <w:sz w:val="20"/>
              </w:rPr>
            </w:pPr>
          </w:p>
        </w:tc>
        <w:tc>
          <w:tcPr>
            <w:tcW w:w="135" w:type="dxa"/>
            <w:tcBorders>
              <w:top w:val="nil"/>
              <w:bottom w:val="nil"/>
            </w:tcBorders>
            <w:vAlign w:val="top"/>
          </w:tcPr>
          <w:p w14:paraId="7AB647DC">
            <w:pPr>
              <w:spacing w:line="240" w:lineRule="exact"/>
              <w:rPr>
                <w:rFonts w:ascii="Arial"/>
                <w:sz w:val="20"/>
              </w:rPr>
            </w:pPr>
          </w:p>
        </w:tc>
      </w:tr>
      <w:tr w14:paraId="6EE3B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424" w:type="dxa"/>
            <w:vMerge w:val="continue"/>
            <w:tcBorders>
              <w:top w:val="nil"/>
              <w:bottom w:val="nil"/>
            </w:tcBorders>
            <w:vAlign w:val="top"/>
          </w:tcPr>
          <w:p w14:paraId="3327FCC5">
            <w:pPr>
              <w:rPr>
                <w:rFonts w:ascii="Arial"/>
                <w:sz w:val="21"/>
              </w:rPr>
            </w:pPr>
          </w:p>
        </w:tc>
        <w:tc>
          <w:tcPr>
            <w:tcW w:w="130" w:type="dxa"/>
            <w:vMerge w:val="continue"/>
            <w:tcBorders>
              <w:top w:val="nil"/>
              <w:bottom w:val="nil"/>
            </w:tcBorders>
            <w:vAlign w:val="top"/>
          </w:tcPr>
          <w:p w14:paraId="26CD7FF1">
            <w:pPr>
              <w:rPr>
                <w:rFonts w:ascii="Arial"/>
                <w:sz w:val="21"/>
              </w:rPr>
            </w:pPr>
          </w:p>
        </w:tc>
        <w:tc>
          <w:tcPr>
            <w:tcW w:w="539" w:type="dxa"/>
            <w:vAlign w:val="top"/>
          </w:tcPr>
          <w:p w14:paraId="4B555E11">
            <w:pPr>
              <w:pStyle w:val="6"/>
              <w:spacing w:before="109" w:line="229" w:lineRule="auto"/>
              <w:ind w:left="51"/>
              <w:rPr>
                <w:sz w:val="21"/>
                <w:szCs w:val="21"/>
              </w:rPr>
            </w:pPr>
            <w:r>
              <w:rPr>
                <w:spacing w:val="-3"/>
                <w:sz w:val="21"/>
                <w:szCs w:val="21"/>
              </w:rPr>
              <w:t>2.3.</w:t>
            </w:r>
          </w:p>
          <w:p w14:paraId="79AB6B2A">
            <w:pPr>
              <w:pStyle w:val="6"/>
              <w:spacing w:line="166" w:lineRule="auto"/>
              <w:ind w:left="200"/>
              <w:rPr>
                <w:sz w:val="21"/>
                <w:szCs w:val="21"/>
              </w:rPr>
            </w:pPr>
            <w:r>
              <w:rPr>
                <w:sz w:val="21"/>
                <w:szCs w:val="21"/>
              </w:rPr>
              <w:t>1</w:t>
            </w:r>
          </w:p>
        </w:tc>
        <w:tc>
          <w:tcPr>
            <w:tcW w:w="2218" w:type="dxa"/>
            <w:vAlign w:val="top"/>
          </w:tcPr>
          <w:p w14:paraId="07303A08">
            <w:pPr>
              <w:pStyle w:val="6"/>
              <w:spacing w:before="69" w:line="215" w:lineRule="auto"/>
              <w:ind w:left="991" w:right="148" w:hanging="840"/>
              <w:rPr>
                <w:sz w:val="21"/>
                <w:szCs w:val="21"/>
              </w:rPr>
            </w:pPr>
            <w:r>
              <w:rPr>
                <w:spacing w:val="2"/>
                <w:sz w:val="21"/>
                <w:szCs w:val="21"/>
              </w:rPr>
              <w:t>35</w:t>
            </w:r>
            <w:r>
              <w:rPr>
                <w:sz w:val="21"/>
                <w:szCs w:val="21"/>
              </w:rPr>
              <w:t>kV</w:t>
            </w:r>
            <w:r>
              <w:rPr>
                <w:spacing w:val="2"/>
                <w:sz w:val="21"/>
                <w:szCs w:val="21"/>
              </w:rPr>
              <w:t>配电装置室预制</w:t>
            </w:r>
            <w:r>
              <w:rPr>
                <w:sz w:val="21"/>
                <w:szCs w:val="21"/>
              </w:rPr>
              <w:t xml:space="preserve"> 舱</w:t>
            </w:r>
          </w:p>
        </w:tc>
        <w:tc>
          <w:tcPr>
            <w:tcW w:w="4075" w:type="dxa"/>
            <w:vAlign w:val="top"/>
          </w:tcPr>
          <w:p w14:paraId="25851E50">
            <w:pPr>
              <w:rPr>
                <w:rFonts w:ascii="Arial"/>
                <w:sz w:val="21"/>
              </w:rPr>
            </w:pPr>
          </w:p>
        </w:tc>
        <w:tc>
          <w:tcPr>
            <w:tcW w:w="579" w:type="dxa"/>
            <w:vAlign w:val="top"/>
          </w:tcPr>
          <w:p w14:paraId="57F4ECDC">
            <w:pPr>
              <w:pStyle w:val="6"/>
              <w:spacing w:before="230" w:line="194" w:lineRule="auto"/>
              <w:ind w:left="128"/>
              <w:rPr>
                <w:sz w:val="21"/>
                <w:szCs w:val="21"/>
              </w:rPr>
            </w:pPr>
            <w:r>
              <w:rPr>
                <w:spacing w:val="-1"/>
                <w:sz w:val="21"/>
                <w:szCs w:val="21"/>
              </w:rPr>
              <w:t>m²</w:t>
            </w:r>
          </w:p>
        </w:tc>
        <w:tc>
          <w:tcPr>
            <w:tcW w:w="959" w:type="dxa"/>
            <w:vAlign w:val="top"/>
          </w:tcPr>
          <w:p w14:paraId="031E888E">
            <w:pPr>
              <w:pStyle w:val="6"/>
              <w:spacing w:before="209" w:line="239" w:lineRule="auto"/>
              <w:ind w:left="160"/>
              <w:rPr>
                <w:sz w:val="21"/>
                <w:szCs w:val="21"/>
              </w:rPr>
            </w:pPr>
            <w:r>
              <w:rPr>
                <w:spacing w:val="-2"/>
                <w:sz w:val="21"/>
                <w:szCs w:val="21"/>
              </w:rPr>
              <w:t>319.20</w:t>
            </w:r>
          </w:p>
        </w:tc>
        <w:tc>
          <w:tcPr>
            <w:tcW w:w="135" w:type="dxa"/>
            <w:tcBorders>
              <w:top w:val="nil"/>
              <w:bottom w:val="nil"/>
            </w:tcBorders>
            <w:vAlign w:val="top"/>
          </w:tcPr>
          <w:p w14:paraId="4D854515">
            <w:pPr>
              <w:rPr>
                <w:rFonts w:ascii="Arial"/>
                <w:sz w:val="21"/>
              </w:rPr>
            </w:pPr>
          </w:p>
        </w:tc>
      </w:tr>
      <w:tr w14:paraId="7A4D9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4" w:type="dxa"/>
            <w:vMerge w:val="continue"/>
            <w:tcBorders>
              <w:top w:val="nil"/>
            </w:tcBorders>
            <w:vAlign w:val="top"/>
          </w:tcPr>
          <w:p w14:paraId="28E4533D">
            <w:pPr>
              <w:rPr>
                <w:rFonts w:ascii="Arial"/>
                <w:sz w:val="21"/>
              </w:rPr>
            </w:pPr>
          </w:p>
        </w:tc>
        <w:tc>
          <w:tcPr>
            <w:tcW w:w="130" w:type="dxa"/>
            <w:vMerge w:val="continue"/>
            <w:tcBorders>
              <w:top w:val="nil"/>
            </w:tcBorders>
            <w:vAlign w:val="top"/>
          </w:tcPr>
          <w:p w14:paraId="4FA51A4C">
            <w:pPr>
              <w:rPr>
                <w:rFonts w:ascii="Arial"/>
                <w:sz w:val="21"/>
              </w:rPr>
            </w:pPr>
          </w:p>
        </w:tc>
        <w:tc>
          <w:tcPr>
            <w:tcW w:w="539" w:type="dxa"/>
            <w:vAlign w:val="top"/>
          </w:tcPr>
          <w:p w14:paraId="70EA1A48">
            <w:pPr>
              <w:pStyle w:val="6"/>
              <w:spacing w:before="60" w:line="180" w:lineRule="auto"/>
              <w:ind w:left="100"/>
              <w:rPr>
                <w:sz w:val="21"/>
                <w:szCs w:val="21"/>
              </w:rPr>
            </w:pPr>
            <w:r>
              <w:rPr>
                <w:spacing w:val="-3"/>
                <w:sz w:val="21"/>
                <w:szCs w:val="21"/>
              </w:rPr>
              <w:t>2.4</w:t>
            </w:r>
          </w:p>
        </w:tc>
        <w:tc>
          <w:tcPr>
            <w:tcW w:w="2218" w:type="dxa"/>
            <w:vAlign w:val="top"/>
          </w:tcPr>
          <w:p w14:paraId="0A6F666D">
            <w:pPr>
              <w:pStyle w:val="6"/>
              <w:spacing w:before="39" w:line="198" w:lineRule="auto"/>
              <w:ind w:left="471"/>
              <w:rPr>
                <w:sz w:val="21"/>
                <w:szCs w:val="21"/>
              </w:rPr>
            </w:pPr>
            <w:r>
              <w:rPr>
                <w:spacing w:val="-2"/>
                <w:sz w:val="21"/>
                <w:szCs w:val="21"/>
              </w:rPr>
              <w:t>无功补偿系统</w:t>
            </w:r>
          </w:p>
        </w:tc>
        <w:tc>
          <w:tcPr>
            <w:tcW w:w="4075" w:type="dxa"/>
            <w:vAlign w:val="top"/>
          </w:tcPr>
          <w:p w14:paraId="0FAC4F58">
            <w:pPr>
              <w:rPr>
                <w:rFonts w:ascii="Arial"/>
                <w:sz w:val="21"/>
              </w:rPr>
            </w:pPr>
          </w:p>
        </w:tc>
        <w:tc>
          <w:tcPr>
            <w:tcW w:w="579" w:type="dxa"/>
            <w:vAlign w:val="top"/>
          </w:tcPr>
          <w:p w14:paraId="10C8A746">
            <w:pPr>
              <w:rPr>
                <w:rFonts w:ascii="Arial"/>
                <w:sz w:val="21"/>
              </w:rPr>
            </w:pPr>
          </w:p>
        </w:tc>
        <w:tc>
          <w:tcPr>
            <w:tcW w:w="959" w:type="dxa"/>
            <w:vAlign w:val="top"/>
          </w:tcPr>
          <w:p w14:paraId="0BBBBB06">
            <w:pPr>
              <w:rPr>
                <w:rFonts w:ascii="Arial"/>
                <w:sz w:val="21"/>
              </w:rPr>
            </w:pPr>
          </w:p>
        </w:tc>
        <w:tc>
          <w:tcPr>
            <w:tcW w:w="135" w:type="dxa"/>
            <w:tcBorders>
              <w:top w:val="nil"/>
            </w:tcBorders>
            <w:vAlign w:val="top"/>
          </w:tcPr>
          <w:p w14:paraId="62A25B0C">
            <w:pPr>
              <w:rPr>
                <w:rFonts w:ascii="Arial"/>
                <w:sz w:val="21"/>
              </w:rPr>
            </w:pPr>
          </w:p>
        </w:tc>
      </w:tr>
    </w:tbl>
    <w:p w14:paraId="446B126F">
      <w:pPr>
        <w:pStyle w:val="2"/>
      </w:pPr>
    </w:p>
    <w:p w14:paraId="7B695B56">
      <w:pPr>
        <w:sectPr>
          <w:footerReference r:id="rId49" w:type="default"/>
          <w:pgSz w:w="11910" w:h="16840"/>
          <w:pgMar w:top="1431" w:right="1435" w:bottom="1253" w:left="1405" w:header="0" w:footer="1091" w:gutter="0"/>
          <w:cols w:space="720" w:num="1"/>
        </w:sectPr>
      </w:pPr>
    </w:p>
    <w:p w14:paraId="47FC1B5D">
      <w:pPr>
        <w:spacing w:line="93"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30"/>
        <w:gridCol w:w="559"/>
        <w:gridCol w:w="2217"/>
        <w:gridCol w:w="4076"/>
        <w:gridCol w:w="559"/>
        <w:gridCol w:w="979"/>
        <w:gridCol w:w="115"/>
      </w:tblGrid>
      <w:tr w14:paraId="34D3E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24" w:type="dxa"/>
            <w:vMerge w:val="restart"/>
            <w:tcBorders>
              <w:bottom w:val="nil"/>
            </w:tcBorders>
            <w:vAlign w:val="top"/>
          </w:tcPr>
          <w:p w14:paraId="54DA2A82">
            <w:pPr>
              <w:rPr>
                <w:rFonts w:ascii="Arial"/>
                <w:sz w:val="21"/>
              </w:rPr>
            </w:pPr>
          </w:p>
        </w:tc>
        <w:tc>
          <w:tcPr>
            <w:tcW w:w="130" w:type="dxa"/>
            <w:vMerge w:val="restart"/>
            <w:tcBorders>
              <w:bottom w:val="nil"/>
            </w:tcBorders>
            <w:vAlign w:val="top"/>
          </w:tcPr>
          <w:p w14:paraId="037AEDE8">
            <w:pPr>
              <w:rPr>
                <w:rFonts w:ascii="Arial"/>
                <w:sz w:val="21"/>
              </w:rPr>
            </w:pPr>
          </w:p>
        </w:tc>
        <w:tc>
          <w:tcPr>
            <w:tcW w:w="559" w:type="dxa"/>
            <w:vAlign w:val="top"/>
          </w:tcPr>
          <w:p w14:paraId="291918B7">
            <w:pPr>
              <w:spacing w:line="304" w:lineRule="auto"/>
              <w:rPr>
                <w:rFonts w:ascii="Arial"/>
                <w:sz w:val="21"/>
              </w:rPr>
            </w:pPr>
          </w:p>
          <w:p w14:paraId="149D1697">
            <w:pPr>
              <w:pStyle w:val="6"/>
              <w:spacing w:before="69" w:line="193" w:lineRule="auto"/>
              <w:ind w:left="61"/>
              <w:rPr>
                <w:sz w:val="21"/>
                <w:szCs w:val="21"/>
              </w:rPr>
            </w:pPr>
            <w:r>
              <w:rPr>
                <w:spacing w:val="-3"/>
                <w:sz w:val="21"/>
                <w:szCs w:val="21"/>
              </w:rPr>
              <w:t>2.4.</w:t>
            </w:r>
          </w:p>
          <w:p w14:paraId="50CF854A">
            <w:pPr>
              <w:pStyle w:val="6"/>
              <w:spacing w:before="1"/>
              <w:ind w:left="210"/>
              <w:rPr>
                <w:sz w:val="21"/>
                <w:szCs w:val="21"/>
              </w:rPr>
            </w:pPr>
            <w:r>
              <w:rPr>
                <w:sz w:val="21"/>
                <w:szCs w:val="21"/>
              </w:rPr>
              <w:t>1</w:t>
            </w:r>
          </w:p>
        </w:tc>
        <w:tc>
          <w:tcPr>
            <w:tcW w:w="2217" w:type="dxa"/>
            <w:vAlign w:val="top"/>
          </w:tcPr>
          <w:p w14:paraId="2A117C56">
            <w:pPr>
              <w:pStyle w:val="6"/>
              <w:spacing w:before="44" w:line="220" w:lineRule="auto"/>
              <w:ind w:left="262"/>
              <w:rPr>
                <w:sz w:val="21"/>
                <w:szCs w:val="21"/>
              </w:rPr>
            </w:pPr>
            <w:r>
              <w:rPr>
                <w:spacing w:val="-1"/>
                <w:sz w:val="21"/>
                <w:szCs w:val="21"/>
              </w:rPr>
              <w:t>动态无功补偿装置</w:t>
            </w:r>
          </w:p>
          <w:p w14:paraId="7E8FBF8A">
            <w:pPr>
              <w:pStyle w:val="6"/>
              <w:spacing w:before="9" w:line="220" w:lineRule="auto"/>
              <w:ind w:left="411"/>
              <w:rPr>
                <w:sz w:val="21"/>
                <w:szCs w:val="21"/>
              </w:rPr>
            </w:pPr>
            <w:r>
              <w:rPr>
                <w:spacing w:val="2"/>
                <w:sz w:val="21"/>
                <w:szCs w:val="21"/>
              </w:rPr>
              <w:t>(</w:t>
            </w:r>
            <w:r>
              <w:rPr>
                <w:sz w:val="21"/>
                <w:szCs w:val="21"/>
              </w:rPr>
              <w:t>SVG</w:t>
            </w:r>
            <w:r>
              <w:rPr>
                <w:spacing w:val="2"/>
                <w:sz w:val="21"/>
                <w:szCs w:val="21"/>
              </w:rPr>
              <w:t>)户外直挂</w:t>
            </w:r>
          </w:p>
          <w:p w14:paraId="07E189D2">
            <w:pPr>
              <w:pStyle w:val="6"/>
              <w:spacing w:before="46" w:line="216" w:lineRule="auto"/>
              <w:ind w:left="151"/>
              <w:rPr>
                <w:sz w:val="21"/>
                <w:szCs w:val="21"/>
              </w:rPr>
            </w:pPr>
            <w:r>
              <w:rPr>
                <w:sz w:val="21"/>
                <w:szCs w:val="21"/>
              </w:rPr>
              <w:t>35kV,±15Mvar,直挂</w:t>
            </w:r>
          </w:p>
          <w:p w14:paraId="6C822B38">
            <w:pPr>
              <w:pStyle w:val="6"/>
              <w:spacing w:before="6" w:line="211" w:lineRule="auto"/>
              <w:ind w:left="151"/>
              <w:rPr>
                <w:sz w:val="21"/>
                <w:szCs w:val="21"/>
              </w:rPr>
            </w:pPr>
            <w:r>
              <w:rPr>
                <w:spacing w:val="4"/>
                <w:sz w:val="21"/>
                <w:szCs w:val="21"/>
              </w:rPr>
              <w:t>式水冷(含功率电源)</w:t>
            </w:r>
          </w:p>
        </w:tc>
        <w:tc>
          <w:tcPr>
            <w:tcW w:w="4076" w:type="dxa"/>
            <w:vAlign w:val="top"/>
          </w:tcPr>
          <w:p w14:paraId="0921C60E">
            <w:pPr>
              <w:pStyle w:val="6"/>
              <w:spacing w:before="300" w:line="216" w:lineRule="auto"/>
              <w:ind w:left="294"/>
              <w:rPr>
                <w:sz w:val="21"/>
                <w:szCs w:val="21"/>
              </w:rPr>
            </w:pPr>
            <w:r>
              <w:rPr>
                <w:spacing w:val="1"/>
                <w:sz w:val="21"/>
                <w:szCs w:val="21"/>
              </w:rPr>
              <w:t>35</w:t>
            </w:r>
            <w:r>
              <w:rPr>
                <w:sz w:val="21"/>
                <w:szCs w:val="21"/>
              </w:rPr>
              <w:t>kV</w:t>
            </w:r>
            <w:r>
              <w:rPr>
                <w:spacing w:val="1"/>
                <w:sz w:val="21"/>
                <w:szCs w:val="21"/>
              </w:rPr>
              <w:t>,±15</w:t>
            </w:r>
            <w:r>
              <w:rPr>
                <w:sz w:val="21"/>
                <w:szCs w:val="21"/>
              </w:rPr>
              <w:t>Mvar</w:t>
            </w:r>
            <w:r>
              <w:rPr>
                <w:spacing w:val="1"/>
                <w:sz w:val="21"/>
                <w:szCs w:val="21"/>
              </w:rPr>
              <w:t>,直挂式水冷(含功率电</w:t>
            </w:r>
          </w:p>
          <w:p w14:paraId="493B6EF8">
            <w:pPr>
              <w:pStyle w:val="6"/>
              <w:spacing w:before="60" w:line="222" w:lineRule="auto"/>
              <w:ind w:left="1875"/>
              <w:rPr>
                <w:sz w:val="21"/>
                <w:szCs w:val="21"/>
              </w:rPr>
            </w:pPr>
            <w:r>
              <w:rPr>
                <w:spacing w:val="20"/>
                <w:sz w:val="21"/>
                <w:szCs w:val="21"/>
              </w:rPr>
              <w:t>源)</w:t>
            </w:r>
          </w:p>
        </w:tc>
        <w:tc>
          <w:tcPr>
            <w:tcW w:w="559" w:type="dxa"/>
            <w:vAlign w:val="top"/>
          </w:tcPr>
          <w:p w14:paraId="1A51759D">
            <w:pPr>
              <w:spacing w:line="383" w:lineRule="auto"/>
              <w:rPr>
                <w:rFonts w:ascii="Arial"/>
                <w:sz w:val="21"/>
              </w:rPr>
            </w:pPr>
          </w:p>
          <w:p w14:paraId="01E152F2">
            <w:pPr>
              <w:pStyle w:val="6"/>
              <w:spacing w:before="68" w:line="220" w:lineRule="auto"/>
              <w:ind w:left="169"/>
              <w:rPr>
                <w:sz w:val="21"/>
                <w:szCs w:val="21"/>
              </w:rPr>
            </w:pPr>
            <w:r>
              <w:rPr>
                <w:sz w:val="21"/>
                <w:szCs w:val="21"/>
              </w:rPr>
              <w:t>套</w:t>
            </w:r>
          </w:p>
        </w:tc>
        <w:tc>
          <w:tcPr>
            <w:tcW w:w="979" w:type="dxa"/>
            <w:vAlign w:val="top"/>
          </w:tcPr>
          <w:p w14:paraId="3A885553">
            <w:pPr>
              <w:spacing w:line="403" w:lineRule="auto"/>
              <w:rPr>
                <w:rFonts w:ascii="Arial"/>
                <w:sz w:val="21"/>
              </w:rPr>
            </w:pPr>
          </w:p>
          <w:p w14:paraId="6DCEDC26">
            <w:pPr>
              <w:pStyle w:val="6"/>
              <w:spacing w:before="68" w:line="239" w:lineRule="auto"/>
              <w:ind w:left="279"/>
              <w:rPr>
                <w:sz w:val="21"/>
                <w:szCs w:val="21"/>
              </w:rPr>
            </w:pPr>
            <w:r>
              <w:rPr>
                <w:spacing w:val="-3"/>
                <w:sz w:val="21"/>
                <w:szCs w:val="21"/>
              </w:rPr>
              <w:t>2.00</w:t>
            </w:r>
          </w:p>
        </w:tc>
        <w:tc>
          <w:tcPr>
            <w:tcW w:w="115" w:type="dxa"/>
            <w:tcBorders>
              <w:bottom w:val="nil"/>
            </w:tcBorders>
            <w:vAlign w:val="top"/>
          </w:tcPr>
          <w:p w14:paraId="594F8CB4">
            <w:pPr>
              <w:rPr>
                <w:rFonts w:ascii="Arial"/>
                <w:sz w:val="21"/>
              </w:rPr>
            </w:pPr>
          </w:p>
        </w:tc>
      </w:tr>
      <w:tr w14:paraId="18357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24" w:type="dxa"/>
            <w:vMerge w:val="continue"/>
            <w:tcBorders>
              <w:top w:val="nil"/>
              <w:bottom w:val="nil"/>
            </w:tcBorders>
            <w:vAlign w:val="top"/>
          </w:tcPr>
          <w:p w14:paraId="3A535160">
            <w:pPr>
              <w:rPr>
                <w:rFonts w:ascii="Arial"/>
                <w:sz w:val="21"/>
              </w:rPr>
            </w:pPr>
          </w:p>
        </w:tc>
        <w:tc>
          <w:tcPr>
            <w:tcW w:w="130" w:type="dxa"/>
            <w:vMerge w:val="continue"/>
            <w:tcBorders>
              <w:top w:val="nil"/>
              <w:bottom w:val="nil"/>
            </w:tcBorders>
            <w:vAlign w:val="top"/>
          </w:tcPr>
          <w:p w14:paraId="5F6CBF84">
            <w:pPr>
              <w:rPr>
                <w:rFonts w:ascii="Arial"/>
                <w:sz w:val="21"/>
              </w:rPr>
            </w:pPr>
          </w:p>
        </w:tc>
        <w:tc>
          <w:tcPr>
            <w:tcW w:w="559" w:type="dxa"/>
            <w:vAlign w:val="top"/>
          </w:tcPr>
          <w:p w14:paraId="79408519">
            <w:pPr>
              <w:pStyle w:val="6"/>
              <w:spacing w:before="61" w:line="192" w:lineRule="auto"/>
              <w:ind w:left="110"/>
              <w:rPr>
                <w:sz w:val="21"/>
                <w:szCs w:val="21"/>
              </w:rPr>
            </w:pPr>
            <w:r>
              <w:rPr>
                <w:spacing w:val="-3"/>
                <w:sz w:val="21"/>
                <w:szCs w:val="21"/>
              </w:rPr>
              <w:t>2.5</w:t>
            </w:r>
          </w:p>
        </w:tc>
        <w:tc>
          <w:tcPr>
            <w:tcW w:w="2217" w:type="dxa"/>
            <w:vAlign w:val="top"/>
          </w:tcPr>
          <w:p w14:paraId="6B075424">
            <w:pPr>
              <w:pStyle w:val="6"/>
              <w:spacing w:before="42" w:line="209" w:lineRule="auto"/>
              <w:ind w:left="572"/>
              <w:rPr>
                <w:sz w:val="21"/>
                <w:szCs w:val="21"/>
              </w:rPr>
            </w:pPr>
            <w:r>
              <w:rPr>
                <w:spacing w:val="-2"/>
                <w:sz w:val="21"/>
                <w:szCs w:val="21"/>
              </w:rPr>
              <w:t>站用电设备</w:t>
            </w:r>
          </w:p>
        </w:tc>
        <w:tc>
          <w:tcPr>
            <w:tcW w:w="4076" w:type="dxa"/>
            <w:vAlign w:val="top"/>
          </w:tcPr>
          <w:p w14:paraId="53846827">
            <w:pPr>
              <w:rPr>
                <w:rFonts w:ascii="Arial"/>
                <w:sz w:val="21"/>
              </w:rPr>
            </w:pPr>
          </w:p>
        </w:tc>
        <w:tc>
          <w:tcPr>
            <w:tcW w:w="559" w:type="dxa"/>
            <w:vAlign w:val="top"/>
          </w:tcPr>
          <w:p w14:paraId="68B44ADE">
            <w:pPr>
              <w:rPr>
                <w:rFonts w:ascii="Arial"/>
                <w:sz w:val="21"/>
              </w:rPr>
            </w:pPr>
          </w:p>
        </w:tc>
        <w:tc>
          <w:tcPr>
            <w:tcW w:w="979" w:type="dxa"/>
            <w:vAlign w:val="top"/>
          </w:tcPr>
          <w:p w14:paraId="59D5C63E">
            <w:pPr>
              <w:rPr>
                <w:rFonts w:ascii="Arial"/>
                <w:sz w:val="21"/>
              </w:rPr>
            </w:pPr>
          </w:p>
        </w:tc>
        <w:tc>
          <w:tcPr>
            <w:tcW w:w="115" w:type="dxa"/>
            <w:tcBorders>
              <w:top w:val="nil"/>
              <w:bottom w:val="nil"/>
            </w:tcBorders>
            <w:vAlign w:val="top"/>
          </w:tcPr>
          <w:p w14:paraId="19E2A71F">
            <w:pPr>
              <w:rPr>
                <w:rFonts w:ascii="Arial"/>
                <w:sz w:val="21"/>
              </w:rPr>
            </w:pPr>
          </w:p>
        </w:tc>
      </w:tr>
      <w:tr w14:paraId="6D8FB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24" w:type="dxa"/>
            <w:vMerge w:val="continue"/>
            <w:tcBorders>
              <w:top w:val="nil"/>
              <w:bottom w:val="nil"/>
            </w:tcBorders>
            <w:vAlign w:val="top"/>
          </w:tcPr>
          <w:p w14:paraId="634A15D3">
            <w:pPr>
              <w:rPr>
                <w:rFonts w:ascii="Arial"/>
                <w:sz w:val="21"/>
              </w:rPr>
            </w:pPr>
          </w:p>
        </w:tc>
        <w:tc>
          <w:tcPr>
            <w:tcW w:w="130" w:type="dxa"/>
            <w:vMerge w:val="continue"/>
            <w:tcBorders>
              <w:top w:val="nil"/>
              <w:bottom w:val="nil"/>
            </w:tcBorders>
            <w:vAlign w:val="top"/>
          </w:tcPr>
          <w:p w14:paraId="33A62127">
            <w:pPr>
              <w:rPr>
                <w:rFonts w:ascii="Arial"/>
                <w:sz w:val="21"/>
              </w:rPr>
            </w:pPr>
          </w:p>
        </w:tc>
        <w:tc>
          <w:tcPr>
            <w:tcW w:w="559" w:type="dxa"/>
            <w:vAlign w:val="top"/>
          </w:tcPr>
          <w:p w14:paraId="58FB2CBE">
            <w:pPr>
              <w:pStyle w:val="6"/>
              <w:spacing w:before="61" w:line="211" w:lineRule="auto"/>
              <w:ind w:left="61"/>
              <w:rPr>
                <w:sz w:val="21"/>
                <w:szCs w:val="21"/>
              </w:rPr>
            </w:pPr>
            <w:r>
              <w:rPr>
                <w:spacing w:val="-3"/>
                <w:sz w:val="21"/>
                <w:szCs w:val="21"/>
              </w:rPr>
              <w:t>2.5.</w:t>
            </w:r>
          </w:p>
          <w:p w14:paraId="56849061">
            <w:pPr>
              <w:pStyle w:val="6"/>
              <w:spacing w:line="164" w:lineRule="auto"/>
              <w:ind w:left="210"/>
              <w:rPr>
                <w:sz w:val="21"/>
                <w:szCs w:val="21"/>
              </w:rPr>
            </w:pPr>
            <w:r>
              <w:rPr>
                <w:sz w:val="21"/>
                <w:szCs w:val="21"/>
              </w:rPr>
              <w:t>1</w:t>
            </w:r>
          </w:p>
        </w:tc>
        <w:tc>
          <w:tcPr>
            <w:tcW w:w="2217" w:type="dxa"/>
            <w:vAlign w:val="top"/>
          </w:tcPr>
          <w:p w14:paraId="01B879FF">
            <w:pPr>
              <w:pStyle w:val="6"/>
              <w:spacing w:before="151" w:line="220" w:lineRule="auto"/>
              <w:ind w:left="151"/>
              <w:rPr>
                <w:sz w:val="21"/>
                <w:szCs w:val="21"/>
              </w:rPr>
            </w:pPr>
            <w:r>
              <w:rPr>
                <w:spacing w:val="-1"/>
                <w:sz w:val="21"/>
                <w:szCs w:val="21"/>
              </w:rPr>
              <w:t>接地变压器成套装置</w:t>
            </w:r>
          </w:p>
        </w:tc>
        <w:tc>
          <w:tcPr>
            <w:tcW w:w="4076" w:type="dxa"/>
            <w:vAlign w:val="top"/>
          </w:tcPr>
          <w:p w14:paraId="333FC9DF">
            <w:pPr>
              <w:pStyle w:val="6"/>
              <w:spacing w:before="36" w:line="199" w:lineRule="auto"/>
              <w:ind w:left="1615" w:right="396" w:hanging="1160"/>
              <w:rPr>
                <w:sz w:val="21"/>
                <w:szCs w:val="21"/>
              </w:rPr>
            </w:pPr>
            <w:r>
              <w:rPr>
                <w:sz w:val="21"/>
                <w:szCs w:val="21"/>
              </w:rPr>
              <w:t>KSC</w:t>
            </w:r>
            <w:r>
              <w:rPr>
                <w:spacing w:val="3"/>
                <w:sz w:val="21"/>
                <w:szCs w:val="21"/>
              </w:rPr>
              <w:t>-400/35,400</w:t>
            </w:r>
            <w:r>
              <w:rPr>
                <w:sz w:val="21"/>
                <w:szCs w:val="21"/>
              </w:rPr>
              <w:t>kVA</w:t>
            </w:r>
            <w:r>
              <w:rPr>
                <w:spacing w:val="3"/>
                <w:sz w:val="21"/>
                <w:szCs w:val="21"/>
              </w:rPr>
              <w:t xml:space="preserve">,小电阻101Ω, </w:t>
            </w:r>
            <w:r>
              <w:rPr>
                <w:spacing w:val="-2"/>
                <w:sz w:val="21"/>
                <w:szCs w:val="21"/>
              </w:rPr>
              <w:t>200A-10s</w:t>
            </w:r>
          </w:p>
        </w:tc>
        <w:tc>
          <w:tcPr>
            <w:tcW w:w="559" w:type="dxa"/>
            <w:vAlign w:val="top"/>
          </w:tcPr>
          <w:p w14:paraId="7E9B0EF6">
            <w:pPr>
              <w:pStyle w:val="6"/>
              <w:spacing w:before="153" w:line="221" w:lineRule="auto"/>
              <w:ind w:left="169"/>
              <w:rPr>
                <w:sz w:val="21"/>
                <w:szCs w:val="21"/>
              </w:rPr>
            </w:pPr>
            <w:r>
              <w:rPr>
                <w:sz w:val="21"/>
                <w:szCs w:val="21"/>
              </w:rPr>
              <w:t>台</w:t>
            </w:r>
          </w:p>
        </w:tc>
        <w:tc>
          <w:tcPr>
            <w:tcW w:w="979" w:type="dxa"/>
            <w:vAlign w:val="top"/>
          </w:tcPr>
          <w:p w14:paraId="2FA4F22E">
            <w:pPr>
              <w:pStyle w:val="6"/>
              <w:spacing w:before="171" w:line="239" w:lineRule="auto"/>
              <w:ind w:left="279"/>
              <w:rPr>
                <w:sz w:val="21"/>
                <w:szCs w:val="21"/>
              </w:rPr>
            </w:pPr>
            <w:r>
              <w:rPr>
                <w:spacing w:val="-3"/>
                <w:sz w:val="21"/>
                <w:szCs w:val="21"/>
              </w:rPr>
              <w:t>2.00</w:t>
            </w:r>
          </w:p>
        </w:tc>
        <w:tc>
          <w:tcPr>
            <w:tcW w:w="115" w:type="dxa"/>
            <w:tcBorders>
              <w:top w:val="nil"/>
              <w:bottom w:val="nil"/>
            </w:tcBorders>
            <w:vAlign w:val="top"/>
          </w:tcPr>
          <w:p w14:paraId="5442AED8">
            <w:pPr>
              <w:rPr>
                <w:rFonts w:ascii="Arial"/>
                <w:sz w:val="21"/>
              </w:rPr>
            </w:pPr>
          </w:p>
        </w:tc>
      </w:tr>
      <w:tr w14:paraId="6BE45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424" w:type="dxa"/>
            <w:vMerge w:val="continue"/>
            <w:tcBorders>
              <w:top w:val="nil"/>
              <w:bottom w:val="nil"/>
            </w:tcBorders>
            <w:vAlign w:val="top"/>
          </w:tcPr>
          <w:p w14:paraId="7E2277C2">
            <w:pPr>
              <w:rPr>
                <w:rFonts w:ascii="Arial"/>
                <w:sz w:val="21"/>
              </w:rPr>
            </w:pPr>
          </w:p>
        </w:tc>
        <w:tc>
          <w:tcPr>
            <w:tcW w:w="130" w:type="dxa"/>
            <w:vMerge w:val="continue"/>
            <w:tcBorders>
              <w:top w:val="nil"/>
              <w:bottom w:val="nil"/>
            </w:tcBorders>
            <w:vAlign w:val="top"/>
          </w:tcPr>
          <w:p w14:paraId="24A0365E">
            <w:pPr>
              <w:rPr>
                <w:rFonts w:ascii="Arial"/>
                <w:sz w:val="21"/>
              </w:rPr>
            </w:pPr>
          </w:p>
        </w:tc>
        <w:tc>
          <w:tcPr>
            <w:tcW w:w="559" w:type="dxa"/>
            <w:vAlign w:val="top"/>
          </w:tcPr>
          <w:p w14:paraId="6061C233">
            <w:pPr>
              <w:pStyle w:val="6"/>
              <w:spacing w:before="213" w:line="193" w:lineRule="auto"/>
              <w:ind w:left="61"/>
              <w:rPr>
                <w:sz w:val="21"/>
                <w:szCs w:val="21"/>
              </w:rPr>
            </w:pPr>
            <w:r>
              <w:rPr>
                <w:spacing w:val="-3"/>
                <w:sz w:val="21"/>
                <w:szCs w:val="21"/>
              </w:rPr>
              <w:t>2.5.</w:t>
            </w:r>
          </w:p>
          <w:p w14:paraId="0C2F384D">
            <w:pPr>
              <w:pStyle w:val="6"/>
              <w:spacing w:before="1"/>
              <w:ind w:left="210"/>
              <w:rPr>
                <w:sz w:val="21"/>
                <w:szCs w:val="21"/>
              </w:rPr>
            </w:pPr>
            <w:r>
              <w:rPr>
                <w:sz w:val="21"/>
                <w:szCs w:val="21"/>
              </w:rPr>
              <w:t>2</w:t>
            </w:r>
          </w:p>
        </w:tc>
        <w:tc>
          <w:tcPr>
            <w:tcW w:w="2217" w:type="dxa"/>
            <w:vAlign w:val="top"/>
          </w:tcPr>
          <w:p w14:paraId="6FAE67AF">
            <w:pPr>
              <w:pStyle w:val="6"/>
              <w:spacing w:before="282" w:line="221" w:lineRule="auto"/>
              <w:ind w:left="361"/>
              <w:rPr>
                <w:sz w:val="21"/>
                <w:szCs w:val="21"/>
              </w:rPr>
            </w:pPr>
            <w:r>
              <w:rPr>
                <w:spacing w:val="1"/>
                <w:sz w:val="21"/>
                <w:szCs w:val="21"/>
              </w:rPr>
              <w:t>35</w:t>
            </w:r>
            <w:r>
              <w:rPr>
                <w:sz w:val="21"/>
                <w:szCs w:val="21"/>
              </w:rPr>
              <w:t>kV</w:t>
            </w:r>
            <w:r>
              <w:rPr>
                <w:spacing w:val="1"/>
                <w:sz w:val="21"/>
                <w:szCs w:val="21"/>
              </w:rPr>
              <w:t>站用变压器</w:t>
            </w:r>
          </w:p>
        </w:tc>
        <w:tc>
          <w:tcPr>
            <w:tcW w:w="4076" w:type="dxa"/>
            <w:vAlign w:val="top"/>
          </w:tcPr>
          <w:p w14:paraId="455A5DC0">
            <w:pPr>
              <w:pStyle w:val="6"/>
              <w:spacing w:before="158" w:line="216" w:lineRule="auto"/>
              <w:ind w:left="1134"/>
              <w:rPr>
                <w:sz w:val="21"/>
                <w:szCs w:val="21"/>
              </w:rPr>
            </w:pPr>
            <w:r>
              <w:rPr>
                <w:spacing w:val="-1"/>
                <w:sz w:val="21"/>
                <w:szCs w:val="21"/>
              </w:rPr>
              <w:t>S20-800/35,800kVA</w:t>
            </w:r>
          </w:p>
          <w:p w14:paraId="04B3B05A">
            <w:pPr>
              <w:pStyle w:val="6"/>
              <w:spacing w:before="42" w:line="215" w:lineRule="auto"/>
              <w:ind w:left="215"/>
              <w:rPr>
                <w:sz w:val="21"/>
                <w:szCs w:val="21"/>
              </w:rPr>
            </w:pPr>
            <w:r>
              <w:rPr>
                <w:spacing w:val="-1"/>
                <w:sz w:val="21"/>
                <w:szCs w:val="21"/>
              </w:rPr>
              <w:t>35±2×2.5%/0.4kV,D,yn11</w:t>
            </w:r>
            <w:r>
              <w:rPr>
                <w:spacing w:val="-2"/>
                <w:sz w:val="21"/>
                <w:szCs w:val="21"/>
              </w:rPr>
              <w:t>,Ud=4%。</w:t>
            </w:r>
          </w:p>
        </w:tc>
        <w:tc>
          <w:tcPr>
            <w:tcW w:w="559" w:type="dxa"/>
            <w:vAlign w:val="top"/>
          </w:tcPr>
          <w:p w14:paraId="14122294">
            <w:pPr>
              <w:pStyle w:val="6"/>
              <w:spacing w:before="284" w:line="221" w:lineRule="auto"/>
              <w:ind w:left="169"/>
              <w:rPr>
                <w:sz w:val="21"/>
                <w:szCs w:val="21"/>
              </w:rPr>
            </w:pPr>
            <w:r>
              <w:rPr>
                <w:sz w:val="21"/>
                <w:szCs w:val="21"/>
              </w:rPr>
              <w:t>台</w:t>
            </w:r>
          </w:p>
        </w:tc>
        <w:tc>
          <w:tcPr>
            <w:tcW w:w="979" w:type="dxa"/>
            <w:vAlign w:val="top"/>
          </w:tcPr>
          <w:p w14:paraId="3E654FAA">
            <w:pPr>
              <w:pStyle w:val="6"/>
              <w:spacing w:before="302" w:line="239" w:lineRule="auto"/>
              <w:ind w:left="279"/>
              <w:rPr>
                <w:sz w:val="21"/>
                <w:szCs w:val="21"/>
              </w:rPr>
            </w:pPr>
            <w:r>
              <w:rPr>
                <w:spacing w:val="-5"/>
                <w:sz w:val="21"/>
                <w:szCs w:val="21"/>
              </w:rPr>
              <w:t>1.00</w:t>
            </w:r>
          </w:p>
        </w:tc>
        <w:tc>
          <w:tcPr>
            <w:tcW w:w="115" w:type="dxa"/>
            <w:tcBorders>
              <w:top w:val="nil"/>
              <w:bottom w:val="nil"/>
            </w:tcBorders>
            <w:vAlign w:val="top"/>
          </w:tcPr>
          <w:p w14:paraId="0CC26616">
            <w:pPr>
              <w:rPr>
                <w:rFonts w:ascii="Arial"/>
                <w:sz w:val="21"/>
              </w:rPr>
            </w:pPr>
          </w:p>
        </w:tc>
      </w:tr>
      <w:tr w14:paraId="5D3DB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424" w:type="dxa"/>
            <w:vMerge w:val="continue"/>
            <w:tcBorders>
              <w:top w:val="nil"/>
              <w:bottom w:val="nil"/>
            </w:tcBorders>
            <w:vAlign w:val="top"/>
          </w:tcPr>
          <w:p w14:paraId="09EEA9E1">
            <w:pPr>
              <w:rPr>
                <w:rFonts w:ascii="Arial"/>
                <w:sz w:val="21"/>
              </w:rPr>
            </w:pPr>
          </w:p>
        </w:tc>
        <w:tc>
          <w:tcPr>
            <w:tcW w:w="130" w:type="dxa"/>
            <w:vMerge w:val="continue"/>
            <w:tcBorders>
              <w:top w:val="nil"/>
              <w:bottom w:val="nil"/>
            </w:tcBorders>
            <w:vAlign w:val="top"/>
          </w:tcPr>
          <w:p w14:paraId="40FD2BFD">
            <w:pPr>
              <w:rPr>
                <w:rFonts w:ascii="Arial"/>
                <w:sz w:val="21"/>
              </w:rPr>
            </w:pPr>
          </w:p>
        </w:tc>
        <w:tc>
          <w:tcPr>
            <w:tcW w:w="559" w:type="dxa"/>
            <w:vAlign w:val="top"/>
          </w:tcPr>
          <w:p w14:paraId="325F706C">
            <w:pPr>
              <w:pStyle w:val="6"/>
              <w:spacing w:before="203" w:line="193" w:lineRule="auto"/>
              <w:ind w:left="61"/>
              <w:rPr>
                <w:sz w:val="21"/>
                <w:szCs w:val="21"/>
              </w:rPr>
            </w:pPr>
            <w:r>
              <w:rPr>
                <w:spacing w:val="-3"/>
                <w:sz w:val="21"/>
                <w:szCs w:val="21"/>
              </w:rPr>
              <w:t>2.5.</w:t>
            </w:r>
          </w:p>
          <w:p w14:paraId="2E4FECCB">
            <w:pPr>
              <w:pStyle w:val="6"/>
              <w:spacing w:line="239" w:lineRule="auto"/>
              <w:ind w:left="210"/>
              <w:rPr>
                <w:sz w:val="21"/>
                <w:szCs w:val="21"/>
              </w:rPr>
            </w:pPr>
            <w:r>
              <w:rPr>
                <w:sz w:val="21"/>
                <w:szCs w:val="21"/>
              </w:rPr>
              <w:t>3</w:t>
            </w:r>
          </w:p>
        </w:tc>
        <w:tc>
          <w:tcPr>
            <w:tcW w:w="2217" w:type="dxa"/>
            <w:vAlign w:val="top"/>
          </w:tcPr>
          <w:p w14:paraId="12279CC4">
            <w:pPr>
              <w:pStyle w:val="6"/>
              <w:spacing w:before="283" w:line="221" w:lineRule="auto"/>
              <w:ind w:left="151"/>
              <w:rPr>
                <w:sz w:val="21"/>
                <w:szCs w:val="21"/>
              </w:rPr>
            </w:pPr>
            <w:r>
              <w:rPr>
                <w:spacing w:val="1"/>
                <w:sz w:val="21"/>
                <w:szCs w:val="21"/>
              </w:rPr>
              <w:t>10</w:t>
            </w:r>
            <w:r>
              <w:rPr>
                <w:sz w:val="21"/>
                <w:szCs w:val="21"/>
              </w:rPr>
              <w:t>kV</w:t>
            </w:r>
            <w:r>
              <w:rPr>
                <w:spacing w:val="1"/>
                <w:sz w:val="21"/>
                <w:szCs w:val="21"/>
              </w:rPr>
              <w:t>站用备用变压器</w:t>
            </w:r>
          </w:p>
        </w:tc>
        <w:tc>
          <w:tcPr>
            <w:tcW w:w="4076" w:type="dxa"/>
            <w:vAlign w:val="top"/>
          </w:tcPr>
          <w:p w14:paraId="5EF06A77">
            <w:pPr>
              <w:pStyle w:val="6"/>
              <w:spacing w:before="169" w:line="216" w:lineRule="auto"/>
              <w:ind w:left="1134"/>
              <w:rPr>
                <w:sz w:val="21"/>
                <w:szCs w:val="21"/>
              </w:rPr>
            </w:pPr>
            <w:r>
              <w:rPr>
                <w:spacing w:val="-1"/>
                <w:sz w:val="21"/>
                <w:szCs w:val="21"/>
              </w:rPr>
              <w:t>S20-800/10,800kVA</w:t>
            </w:r>
          </w:p>
          <w:p w14:paraId="4EDD1EA0">
            <w:pPr>
              <w:pStyle w:val="6"/>
              <w:spacing w:before="22" w:line="215" w:lineRule="auto"/>
              <w:ind w:left="404"/>
              <w:rPr>
                <w:sz w:val="21"/>
                <w:szCs w:val="21"/>
              </w:rPr>
            </w:pPr>
            <w:r>
              <w:rPr>
                <w:spacing w:val="-1"/>
                <w:sz w:val="21"/>
                <w:szCs w:val="21"/>
              </w:rPr>
              <w:t>10.5±2x2.5%/0.4kV,D,yn11,Ud=4%</w:t>
            </w:r>
          </w:p>
        </w:tc>
        <w:tc>
          <w:tcPr>
            <w:tcW w:w="559" w:type="dxa"/>
            <w:vAlign w:val="top"/>
          </w:tcPr>
          <w:p w14:paraId="4758048F">
            <w:pPr>
              <w:pStyle w:val="6"/>
              <w:spacing w:before="285" w:line="221" w:lineRule="auto"/>
              <w:ind w:left="169"/>
              <w:rPr>
                <w:sz w:val="21"/>
                <w:szCs w:val="21"/>
              </w:rPr>
            </w:pPr>
            <w:r>
              <w:rPr>
                <w:sz w:val="21"/>
                <w:szCs w:val="21"/>
              </w:rPr>
              <w:t>台</w:t>
            </w:r>
          </w:p>
        </w:tc>
        <w:tc>
          <w:tcPr>
            <w:tcW w:w="979" w:type="dxa"/>
            <w:vAlign w:val="top"/>
          </w:tcPr>
          <w:p w14:paraId="35D7B791">
            <w:pPr>
              <w:pStyle w:val="6"/>
              <w:spacing w:before="303" w:line="239" w:lineRule="auto"/>
              <w:ind w:left="279"/>
              <w:rPr>
                <w:sz w:val="21"/>
                <w:szCs w:val="21"/>
              </w:rPr>
            </w:pPr>
            <w:r>
              <w:rPr>
                <w:spacing w:val="-5"/>
                <w:sz w:val="21"/>
                <w:szCs w:val="21"/>
              </w:rPr>
              <w:t>1.00</w:t>
            </w:r>
          </w:p>
        </w:tc>
        <w:tc>
          <w:tcPr>
            <w:tcW w:w="115" w:type="dxa"/>
            <w:tcBorders>
              <w:top w:val="nil"/>
              <w:bottom w:val="nil"/>
            </w:tcBorders>
            <w:vAlign w:val="top"/>
          </w:tcPr>
          <w:p w14:paraId="4FE6B5C6">
            <w:pPr>
              <w:rPr>
                <w:rFonts w:ascii="Arial"/>
                <w:sz w:val="21"/>
              </w:rPr>
            </w:pPr>
          </w:p>
        </w:tc>
      </w:tr>
      <w:tr w14:paraId="204B6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24" w:type="dxa"/>
            <w:vMerge w:val="continue"/>
            <w:tcBorders>
              <w:top w:val="nil"/>
              <w:bottom w:val="nil"/>
            </w:tcBorders>
            <w:vAlign w:val="top"/>
          </w:tcPr>
          <w:p w14:paraId="43EAF1E1">
            <w:pPr>
              <w:rPr>
                <w:rFonts w:ascii="Arial"/>
                <w:sz w:val="21"/>
              </w:rPr>
            </w:pPr>
          </w:p>
        </w:tc>
        <w:tc>
          <w:tcPr>
            <w:tcW w:w="130" w:type="dxa"/>
            <w:vMerge w:val="continue"/>
            <w:tcBorders>
              <w:top w:val="nil"/>
              <w:bottom w:val="nil"/>
            </w:tcBorders>
            <w:vAlign w:val="top"/>
          </w:tcPr>
          <w:p w14:paraId="31DE8885">
            <w:pPr>
              <w:rPr>
                <w:rFonts w:ascii="Arial"/>
                <w:sz w:val="21"/>
              </w:rPr>
            </w:pPr>
          </w:p>
        </w:tc>
        <w:tc>
          <w:tcPr>
            <w:tcW w:w="559" w:type="dxa"/>
            <w:vAlign w:val="top"/>
          </w:tcPr>
          <w:p w14:paraId="21469891">
            <w:pPr>
              <w:pStyle w:val="6"/>
              <w:spacing w:before="64" w:line="181" w:lineRule="auto"/>
              <w:ind w:left="110"/>
              <w:rPr>
                <w:sz w:val="21"/>
                <w:szCs w:val="21"/>
              </w:rPr>
            </w:pPr>
            <w:r>
              <w:rPr>
                <w:spacing w:val="-3"/>
                <w:sz w:val="21"/>
                <w:szCs w:val="21"/>
              </w:rPr>
              <w:t>2.6</w:t>
            </w:r>
          </w:p>
        </w:tc>
        <w:tc>
          <w:tcPr>
            <w:tcW w:w="2217" w:type="dxa"/>
            <w:vAlign w:val="top"/>
          </w:tcPr>
          <w:p w14:paraId="0D60830F">
            <w:pPr>
              <w:pStyle w:val="6"/>
              <w:spacing w:before="43" w:line="199" w:lineRule="auto"/>
              <w:ind w:left="681"/>
              <w:rPr>
                <w:sz w:val="21"/>
                <w:szCs w:val="21"/>
              </w:rPr>
            </w:pPr>
            <w:r>
              <w:rPr>
                <w:spacing w:val="-2"/>
                <w:sz w:val="21"/>
                <w:szCs w:val="21"/>
              </w:rPr>
              <w:t>储能系统</w:t>
            </w:r>
          </w:p>
        </w:tc>
        <w:tc>
          <w:tcPr>
            <w:tcW w:w="4076" w:type="dxa"/>
            <w:vAlign w:val="top"/>
          </w:tcPr>
          <w:p w14:paraId="779C6544">
            <w:pPr>
              <w:rPr>
                <w:rFonts w:ascii="Arial"/>
                <w:sz w:val="21"/>
              </w:rPr>
            </w:pPr>
          </w:p>
        </w:tc>
        <w:tc>
          <w:tcPr>
            <w:tcW w:w="559" w:type="dxa"/>
            <w:vAlign w:val="top"/>
          </w:tcPr>
          <w:p w14:paraId="35ACA7CB">
            <w:pPr>
              <w:rPr>
                <w:rFonts w:ascii="Arial"/>
                <w:sz w:val="21"/>
              </w:rPr>
            </w:pPr>
          </w:p>
        </w:tc>
        <w:tc>
          <w:tcPr>
            <w:tcW w:w="979" w:type="dxa"/>
            <w:vAlign w:val="top"/>
          </w:tcPr>
          <w:p w14:paraId="5C9671FA">
            <w:pPr>
              <w:rPr>
                <w:rFonts w:ascii="Arial"/>
                <w:sz w:val="21"/>
              </w:rPr>
            </w:pPr>
          </w:p>
        </w:tc>
        <w:tc>
          <w:tcPr>
            <w:tcW w:w="115" w:type="dxa"/>
            <w:tcBorders>
              <w:top w:val="nil"/>
              <w:bottom w:val="nil"/>
            </w:tcBorders>
            <w:vAlign w:val="top"/>
          </w:tcPr>
          <w:p w14:paraId="06AA9CCF">
            <w:pPr>
              <w:rPr>
                <w:rFonts w:ascii="Arial"/>
                <w:sz w:val="21"/>
              </w:rPr>
            </w:pPr>
          </w:p>
        </w:tc>
      </w:tr>
      <w:tr w14:paraId="17BDB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424" w:type="dxa"/>
            <w:vMerge w:val="continue"/>
            <w:tcBorders>
              <w:top w:val="nil"/>
              <w:bottom w:val="nil"/>
            </w:tcBorders>
            <w:vAlign w:val="top"/>
          </w:tcPr>
          <w:p w14:paraId="568DC634">
            <w:pPr>
              <w:rPr>
                <w:rFonts w:ascii="Arial"/>
                <w:sz w:val="21"/>
              </w:rPr>
            </w:pPr>
          </w:p>
        </w:tc>
        <w:tc>
          <w:tcPr>
            <w:tcW w:w="130" w:type="dxa"/>
            <w:vMerge w:val="continue"/>
            <w:tcBorders>
              <w:top w:val="nil"/>
              <w:bottom w:val="nil"/>
            </w:tcBorders>
            <w:vAlign w:val="top"/>
          </w:tcPr>
          <w:p w14:paraId="6CBC50CB">
            <w:pPr>
              <w:rPr>
                <w:rFonts w:ascii="Arial"/>
                <w:sz w:val="21"/>
              </w:rPr>
            </w:pPr>
          </w:p>
        </w:tc>
        <w:tc>
          <w:tcPr>
            <w:tcW w:w="559" w:type="dxa"/>
            <w:vAlign w:val="top"/>
          </w:tcPr>
          <w:p w14:paraId="733C1328">
            <w:pPr>
              <w:spacing w:line="244" w:lineRule="auto"/>
              <w:rPr>
                <w:rFonts w:ascii="Arial"/>
                <w:sz w:val="21"/>
              </w:rPr>
            </w:pPr>
          </w:p>
          <w:p w14:paraId="21609D60">
            <w:pPr>
              <w:pStyle w:val="6"/>
              <w:spacing w:before="69" w:line="211" w:lineRule="auto"/>
              <w:ind w:left="61"/>
              <w:rPr>
                <w:sz w:val="21"/>
                <w:szCs w:val="21"/>
              </w:rPr>
            </w:pPr>
            <w:r>
              <w:rPr>
                <w:spacing w:val="-3"/>
                <w:sz w:val="21"/>
                <w:szCs w:val="21"/>
              </w:rPr>
              <w:t>2.6.</w:t>
            </w:r>
          </w:p>
          <w:p w14:paraId="43618C23">
            <w:pPr>
              <w:pStyle w:val="6"/>
              <w:spacing w:before="1"/>
              <w:ind w:left="210"/>
              <w:rPr>
                <w:sz w:val="21"/>
                <w:szCs w:val="21"/>
              </w:rPr>
            </w:pPr>
            <w:r>
              <w:rPr>
                <w:sz w:val="21"/>
                <w:szCs w:val="21"/>
              </w:rPr>
              <w:t>1</w:t>
            </w:r>
          </w:p>
        </w:tc>
        <w:tc>
          <w:tcPr>
            <w:tcW w:w="2217" w:type="dxa"/>
            <w:vAlign w:val="top"/>
          </w:tcPr>
          <w:p w14:paraId="6F3BE9F2">
            <w:pPr>
              <w:pStyle w:val="6"/>
              <w:spacing w:before="133" w:line="219" w:lineRule="auto"/>
              <w:ind w:left="201"/>
              <w:rPr>
                <w:sz w:val="21"/>
                <w:szCs w:val="21"/>
              </w:rPr>
            </w:pPr>
            <w:r>
              <w:rPr>
                <w:spacing w:val="1"/>
                <w:sz w:val="21"/>
                <w:szCs w:val="21"/>
              </w:rPr>
              <w:t>13.5</w:t>
            </w:r>
            <w:r>
              <w:rPr>
                <w:sz w:val="21"/>
                <w:szCs w:val="21"/>
              </w:rPr>
              <w:t>MW</w:t>
            </w:r>
            <w:r>
              <w:rPr>
                <w:spacing w:val="1"/>
                <w:sz w:val="21"/>
                <w:szCs w:val="21"/>
              </w:rPr>
              <w:t>/27</w:t>
            </w:r>
            <w:r>
              <w:rPr>
                <w:sz w:val="21"/>
                <w:szCs w:val="21"/>
              </w:rPr>
              <w:t>MWh</w:t>
            </w:r>
            <w:r>
              <w:rPr>
                <w:spacing w:val="1"/>
                <w:sz w:val="21"/>
                <w:szCs w:val="21"/>
              </w:rPr>
              <w:t>(含电</w:t>
            </w:r>
          </w:p>
          <w:p w14:paraId="7B3C1CAE">
            <w:pPr>
              <w:pStyle w:val="6"/>
              <w:spacing w:before="30" w:line="219" w:lineRule="auto"/>
              <w:ind w:left="51"/>
              <w:rPr>
                <w:sz w:val="21"/>
                <w:szCs w:val="21"/>
              </w:rPr>
            </w:pPr>
            <w:r>
              <w:rPr>
                <w:spacing w:val="-1"/>
                <w:sz w:val="21"/>
                <w:szCs w:val="21"/>
              </w:rPr>
              <w:t>池簇，变流一体化设备</w:t>
            </w:r>
          </w:p>
          <w:p w14:paraId="7A5593E3">
            <w:pPr>
              <w:pStyle w:val="6"/>
              <w:spacing w:before="20" w:line="219" w:lineRule="auto"/>
              <w:ind w:left="312"/>
              <w:rPr>
                <w:sz w:val="21"/>
                <w:szCs w:val="21"/>
              </w:rPr>
            </w:pPr>
            <w:r>
              <w:rPr>
                <w:spacing w:val="5"/>
                <w:sz w:val="21"/>
                <w:szCs w:val="21"/>
              </w:rPr>
              <w:t>及电池管理单元)</w:t>
            </w:r>
          </w:p>
        </w:tc>
        <w:tc>
          <w:tcPr>
            <w:tcW w:w="4076" w:type="dxa"/>
            <w:vAlign w:val="top"/>
          </w:tcPr>
          <w:p w14:paraId="684FEA5A">
            <w:pPr>
              <w:rPr>
                <w:rFonts w:ascii="Arial"/>
                <w:sz w:val="21"/>
              </w:rPr>
            </w:pPr>
          </w:p>
        </w:tc>
        <w:tc>
          <w:tcPr>
            <w:tcW w:w="559" w:type="dxa"/>
            <w:vAlign w:val="top"/>
          </w:tcPr>
          <w:p w14:paraId="493CF0D1">
            <w:pPr>
              <w:spacing w:line="333" w:lineRule="auto"/>
              <w:rPr>
                <w:rFonts w:ascii="Arial"/>
                <w:sz w:val="21"/>
              </w:rPr>
            </w:pPr>
          </w:p>
          <w:p w14:paraId="589A1879">
            <w:pPr>
              <w:pStyle w:val="6"/>
              <w:spacing w:before="69" w:line="220" w:lineRule="auto"/>
              <w:ind w:left="169"/>
              <w:rPr>
                <w:sz w:val="21"/>
                <w:szCs w:val="21"/>
              </w:rPr>
            </w:pPr>
            <w:r>
              <w:rPr>
                <w:sz w:val="21"/>
                <w:szCs w:val="21"/>
              </w:rPr>
              <w:t>套</w:t>
            </w:r>
          </w:p>
        </w:tc>
        <w:tc>
          <w:tcPr>
            <w:tcW w:w="979" w:type="dxa"/>
            <w:vAlign w:val="top"/>
          </w:tcPr>
          <w:p w14:paraId="0745B39B">
            <w:pPr>
              <w:spacing w:line="353" w:lineRule="auto"/>
              <w:rPr>
                <w:rFonts w:ascii="Arial"/>
                <w:sz w:val="21"/>
              </w:rPr>
            </w:pPr>
          </w:p>
          <w:p w14:paraId="5AB8A7B4">
            <w:pPr>
              <w:pStyle w:val="6"/>
              <w:spacing w:before="69" w:line="239" w:lineRule="auto"/>
              <w:ind w:left="279"/>
              <w:rPr>
                <w:sz w:val="21"/>
                <w:szCs w:val="21"/>
              </w:rPr>
            </w:pPr>
            <w:r>
              <w:rPr>
                <w:spacing w:val="-5"/>
                <w:sz w:val="21"/>
                <w:szCs w:val="21"/>
              </w:rPr>
              <w:t>1.00</w:t>
            </w:r>
          </w:p>
        </w:tc>
        <w:tc>
          <w:tcPr>
            <w:tcW w:w="115" w:type="dxa"/>
            <w:tcBorders>
              <w:top w:val="nil"/>
              <w:bottom w:val="nil"/>
            </w:tcBorders>
            <w:vAlign w:val="top"/>
          </w:tcPr>
          <w:p w14:paraId="2D637AA9">
            <w:pPr>
              <w:rPr>
                <w:rFonts w:ascii="Arial"/>
                <w:sz w:val="21"/>
              </w:rPr>
            </w:pPr>
          </w:p>
        </w:tc>
      </w:tr>
      <w:tr w14:paraId="25124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24" w:type="dxa"/>
            <w:vMerge w:val="continue"/>
            <w:tcBorders>
              <w:top w:val="nil"/>
              <w:bottom w:val="nil"/>
            </w:tcBorders>
            <w:vAlign w:val="top"/>
          </w:tcPr>
          <w:p w14:paraId="36F8714A">
            <w:pPr>
              <w:rPr>
                <w:rFonts w:ascii="Arial"/>
                <w:sz w:val="21"/>
              </w:rPr>
            </w:pPr>
          </w:p>
        </w:tc>
        <w:tc>
          <w:tcPr>
            <w:tcW w:w="130" w:type="dxa"/>
            <w:vMerge w:val="continue"/>
            <w:tcBorders>
              <w:top w:val="nil"/>
              <w:bottom w:val="nil"/>
            </w:tcBorders>
            <w:vAlign w:val="top"/>
          </w:tcPr>
          <w:p w14:paraId="771FB5F9">
            <w:pPr>
              <w:rPr>
                <w:rFonts w:ascii="Arial"/>
                <w:sz w:val="21"/>
              </w:rPr>
            </w:pPr>
          </w:p>
        </w:tc>
        <w:tc>
          <w:tcPr>
            <w:tcW w:w="559" w:type="dxa"/>
            <w:vAlign w:val="top"/>
          </w:tcPr>
          <w:p w14:paraId="79075783">
            <w:pPr>
              <w:pStyle w:val="6"/>
              <w:spacing w:before="65" w:line="180" w:lineRule="auto"/>
              <w:ind w:left="110"/>
              <w:rPr>
                <w:sz w:val="21"/>
                <w:szCs w:val="21"/>
              </w:rPr>
            </w:pPr>
            <w:r>
              <w:rPr>
                <w:spacing w:val="-3"/>
                <w:sz w:val="21"/>
                <w:szCs w:val="21"/>
              </w:rPr>
              <w:t>2.7</w:t>
            </w:r>
          </w:p>
        </w:tc>
        <w:tc>
          <w:tcPr>
            <w:tcW w:w="2217" w:type="dxa"/>
            <w:vAlign w:val="top"/>
          </w:tcPr>
          <w:p w14:paraId="247F1E0D">
            <w:pPr>
              <w:pStyle w:val="6"/>
              <w:spacing w:before="44" w:line="198" w:lineRule="auto"/>
              <w:ind w:left="681"/>
              <w:rPr>
                <w:sz w:val="21"/>
                <w:szCs w:val="21"/>
              </w:rPr>
            </w:pPr>
            <w:r>
              <w:rPr>
                <w:spacing w:val="2"/>
                <w:sz w:val="21"/>
                <w:szCs w:val="21"/>
              </w:rPr>
              <w:t>电力电缆</w:t>
            </w:r>
          </w:p>
        </w:tc>
        <w:tc>
          <w:tcPr>
            <w:tcW w:w="4076" w:type="dxa"/>
            <w:vAlign w:val="top"/>
          </w:tcPr>
          <w:p w14:paraId="116F201D">
            <w:pPr>
              <w:rPr>
                <w:rFonts w:ascii="Arial"/>
                <w:sz w:val="21"/>
              </w:rPr>
            </w:pPr>
          </w:p>
        </w:tc>
        <w:tc>
          <w:tcPr>
            <w:tcW w:w="559" w:type="dxa"/>
            <w:vAlign w:val="top"/>
          </w:tcPr>
          <w:p w14:paraId="26170321">
            <w:pPr>
              <w:rPr>
                <w:rFonts w:ascii="Arial"/>
                <w:sz w:val="21"/>
              </w:rPr>
            </w:pPr>
          </w:p>
        </w:tc>
        <w:tc>
          <w:tcPr>
            <w:tcW w:w="979" w:type="dxa"/>
            <w:vAlign w:val="top"/>
          </w:tcPr>
          <w:p w14:paraId="4F1FFB4A">
            <w:pPr>
              <w:rPr>
                <w:rFonts w:ascii="Arial"/>
                <w:sz w:val="21"/>
              </w:rPr>
            </w:pPr>
          </w:p>
        </w:tc>
        <w:tc>
          <w:tcPr>
            <w:tcW w:w="115" w:type="dxa"/>
            <w:tcBorders>
              <w:top w:val="nil"/>
              <w:bottom w:val="nil"/>
            </w:tcBorders>
            <w:vAlign w:val="top"/>
          </w:tcPr>
          <w:p w14:paraId="736B574F">
            <w:pPr>
              <w:rPr>
                <w:rFonts w:ascii="Arial"/>
                <w:sz w:val="21"/>
              </w:rPr>
            </w:pPr>
          </w:p>
        </w:tc>
      </w:tr>
      <w:tr w14:paraId="300C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424" w:type="dxa"/>
            <w:vMerge w:val="continue"/>
            <w:tcBorders>
              <w:top w:val="nil"/>
              <w:bottom w:val="nil"/>
            </w:tcBorders>
            <w:vAlign w:val="top"/>
          </w:tcPr>
          <w:p w14:paraId="15E721D5">
            <w:pPr>
              <w:rPr>
                <w:rFonts w:ascii="Arial"/>
                <w:sz w:val="21"/>
              </w:rPr>
            </w:pPr>
          </w:p>
        </w:tc>
        <w:tc>
          <w:tcPr>
            <w:tcW w:w="130" w:type="dxa"/>
            <w:vMerge w:val="continue"/>
            <w:tcBorders>
              <w:top w:val="nil"/>
              <w:bottom w:val="nil"/>
            </w:tcBorders>
            <w:vAlign w:val="top"/>
          </w:tcPr>
          <w:p w14:paraId="1D55D2B9">
            <w:pPr>
              <w:rPr>
                <w:rFonts w:ascii="Arial"/>
                <w:sz w:val="21"/>
              </w:rPr>
            </w:pPr>
          </w:p>
        </w:tc>
        <w:tc>
          <w:tcPr>
            <w:tcW w:w="559" w:type="dxa"/>
            <w:vAlign w:val="top"/>
          </w:tcPr>
          <w:p w14:paraId="425CA322">
            <w:pPr>
              <w:pStyle w:val="6"/>
              <w:spacing w:before="195" w:line="220" w:lineRule="auto"/>
              <w:ind w:left="61"/>
              <w:rPr>
                <w:sz w:val="21"/>
                <w:szCs w:val="21"/>
              </w:rPr>
            </w:pPr>
            <w:r>
              <w:rPr>
                <w:spacing w:val="-3"/>
                <w:sz w:val="21"/>
                <w:szCs w:val="21"/>
              </w:rPr>
              <w:t>2.7.</w:t>
            </w:r>
          </w:p>
          <w:p w14:paraId="70254D0C">
            <w:pPr>
              <w:pStyle w:val="6"/>
              <w:spacing w:before="1"/>
              <w:ind w:left="210"/>
              <w:rPr>
                <w:sz w:val="21"/>
                <w:szCs w:val="21"/>
              </w:rPr>
            </w:pPr>
            <w:r>
              <w:rPr>
                <w:sz w:val="21"/>
                <w:szCs w:val="21"/>
              </w:rPr>
              <w:t>1</w:t>
            </w:r>
          </w:p>
        </w:tc>
        <w:tc>
          <w:tcPr>
            <w:tcW w:w="2217" w:type="dxa"/>
            <w:vAlign w:val="top"/>
          </w:tcPr>
          <w:p w14:paraId="08ACF5EF">
            <w:pPr>
              <w:pStyle w:val="6"/>
              <w:spacing w:before="284" w:line="219" w:lineRule="auto"/>
              <w:ind w:left="262"/>
              <w:rPr>
                <w:sz w:val="21"/>
                <w:szCs w:val="21"/>
              </w:rPr>
            </w:pPr>
            <w:r>
              <w:rPr>
                <w:spacing w:val="1"/>
                <w:sz w:val="21"/>
                <w:szCs w:val="21"/>
              </w:rPr>
              <w:t>35</w:t>
            </w:r>
            <w:r>
              <w:rPr>
                <w:sz w:val="21"/>
                <w:szCs w:val="21"/>
              </w:rPr>
              <w:t>kV</w:t>
            </w:r>
            <w:r>
              <w:rPr>
                <w:spacing w:val="1"/>
                <w:sz w:val="21"/>
                <w:szCs w:val="21"/>
              </w:rPr>
              <w:t>铜芯电力电缆</w:t>
            </w:r>
          </w:p>
        </w:tc>
        <w:tc>
          <w:tcPr>
            <w:tcW w:w="4076" w:type="dxa"/>
            <w:vAlign w:val="top"/>
          </w:tcPr>
          <w:p w14:paraId="5BB558AF">
            <w:pPr>
              <w:pStyle w:val="6"/>
              <w:spacing w:before="282" w:line="218" w:lineRule="auto"/>
              <w:ind w:left="984"/>
              <w:rPr>
                <w:sz w:val="21"/>
                <w:szCs w:val="21"/>
              </w:rPr>
            </w:pPr>
            <w:r>
              <w:rPr>
                <w:spacing w:val="-1"/>
                <w:sz w:val="21"/>
                <w:szCs w:val="21"/>
              </w:rPr>
              <w:t>ZC-YJV22-26/35-3x120</w:t>
            </w:r>
          </w:p>
        </w:tc>
        <w:tc>
          <w:tcPr>
            <w:tcW w:w="559" w:type="dxa"/>
            <w:vAlign w:val="top"/>
          </w:tcPr>
          <w:p w14:paraId="130FDCEC">
            <w:pPr>
              <w:pStyle w:val="6"/>
              <w:spacing w:before="305" w:line="241" w:lineRule="auto"/>
              <w:ind w:left="219"/>
              <w:rPr>
                <w:sz w:val="21"/>
                <w:szCs w:val="21"/>
              </w:rPr>
            </w:pPr>
            <w:r>
              <w:rPr>
                <w:sz w:val="21"/>
                <w:szCs w:val="21"/>
              </w:rPr>
              <w:t>m</w:t>
            </w:r>
          </w:p>
        </w:tc>
        <w:tc>
          <w:tcPr>
            <w:tcW w:w="979" w:type="dxa"/>
            <w:vAlign w:val="top"/>
          </w:tcPr>
          <w:p w14:paraId="6A90F10F">
            <w:pPr>
              <w:pStyle w:val="6"/>
              <w:spacing w:before="305" w:line="239" w:lineRule="auto"/>
              <w:ind w:left="119"/>
              <w:rPr>
                <w:sz w:val="21"/>
                <w:szCs w:val="21"/>
              </w:rPr>
            </w:pPr>
            <w:r>
              <w:rPr>
                <w:spacing w:val="-3"/>
                <w:sz w:val="21"/>
                <w:szCs w:val="21"/>
              </w:rPr>
              <w:t>1200.00</w:t>
            </w:r>
          </w:p>
        </w:tc>
        <w:tc>
          <w:tcPr>
            <w:tcW w:w="115" w:type="dxa"/>
            <w:tcBorders>
              <w:top w:val="nil"/>
              <w:bottom w:val="nil"/>
            </w:tcBorders>
            <w:vAlign w:val="top"/>
          </w:tcPr>
          <w:p w14:paraId="5ADF495A">
            <w:pPr>
              <w:rPr>
                <w:rFonts w:ascii="Arial"/>
                <w:sz w:val="21"/>
              </w:rPr>
            </w:pPr>
          </w:p>
        </w:tc>
      </w:tr>
      <w:tr w14:paraId="6113B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24" w:type="dxa"/>
            <w:vMerge w:val="continue"/>
            <w:tcBorders>
              <w:top w:val="nil"/>
              <w:bottom w:val="nil"/>
            </w:tcBorders>
            <w:vAlign w:val="top"/>
          </w:tcPr>
          <w:p w14:paraId="1094524A">
            <w:pPr>
              <w:rPr>
                <w:rFonts w:ascii="Arial"/>
                <w:sz w:val="21"/>
              </w:rPr>
            </w:pPr>
          </w:p>
        </w:tc>
        <w:tc>
          <w:tcPr>
            <w:tcW w:w="130" w:type="dxa"/>
            <w:vMerge w:val="continue"/>
            <w:tcBorders>
              <w:top w:val="nil"/>
              <w:bottom w:val="nil"/>
            </w:tcBorders>
            <w:vAlign w:val="top"/>
          </w:tcPr>
          <w:p w14:paraId="05977857">
            <w:pPr>
              <w:rPr>
                <w:rFonts w:ascii="Arial"/>
                <w:sz w:val="21"/>
              </w:rPr>
            </w:pPr>
          </w:p>
        </w:tc>
        <w:tc>
          <w:tcPr>
            <w:tcW w:w="559" w:type="dxa"/>
            <w:vAlign w:val="top"/>
          </w:tcPr>
          <w:p w14:paraId="0881CE3F">
            <w:pPr>
              <w:pStyle w:val="6"/>
              <w:spacing w:before="67" w:line="193" w:lineRule="auto"/>
              <w:ind w:left="61"/>
              <w:rPr>
                <w:sz w:val="21"/>
                <w:szCs w:val="21"/>
              </w:rPr>
            </w:pPr>
            <w:r>
              <w:rPr>
                <w:spacing w:val="-3"/>
                <w:sz w:val="21"/>
                <w:szCs w:val="21"/>
              </w:rPr>
              <w:t>2.7.</w:t>
            </w:r>
          </w:p>
          <w:p w14:paraId="64F913D4">
            <w:pPr>
              <w:pStyle w:val="6"/>
              <w:spacing w:line="160" w:lineRule="auto"/>
              <w:ind w:left="210"/>
              <w:rPr>
                <w:sz w:val="21"/>
                <w:szCs w:val="21"/>
              </w:rPr>
            </w:pPr>
            <w:r>
              <w:rPr>
                <w:sz w:val="21"/>
                <w:szCs w:val="21"/>
              </w:rPr>
              <w:t>2</w:t>
            </w:r>
          </w:p>
        </w:tc>
        <w:tc>
          <w:tcPr>
            <w:tcW w:w="2217" w:type="dxa"/>
            <w:vAlign w:val="top"/>
          </w:tcPr>
          <w:p w14:paraId="36B49AD4">
            <w:pPr>
              <w:pStyle w:val="6"/>
              <w:spacing w:before="145" w:line="219" w:lineRule="auto"/>
              <w:ind w:left="262"/>
              <w:rPr>
                <w:sz w:val="21"/>
                <w:szCs w:val="21"/>
              </w:rPr>
            </w:pPr>
            <w:r>
              <w:rPr>
                <w:spacing w:val="1"/>
                <w:sz w:val="21"/>
                <w:szCs w:val="21"/>
              </w:rPr>
              <w:t>35</w:t>
            </w:r>
            <w:r>
              <w:rPr>
                <w:sz w:val="21"/>
                <w:szCs w:val="21"/>
              </w:rPr>
              <w:t>kV</w:t>
            </w:r>
            <w:r>
              <w:rPr>
                <w:spacing w:val="1"/>
                <w:sz w:val="21"/>
                <w:szCs w:val="21"/>
              </w:rPr>
              <w:t>铜芯电力电缆</w:t>
            </w:r>
          </w:p>
        </w:tc>
        <w:tc>
          <w:tcPr>
            <w:tcW w:w="4076" w:type="dxa"/>
            <w:vAlign w:val="top"/>
          </w:tcPr>
          <w:p w14:paraId="4AB4FEEC">
            <w:pPr>
              <w:pStyle w:val="6"/>
              <w:spacing w:before="143" w:line="218" w:lineRule="auto"/>
              <w:ind w:left="984"/>
              <w:rPr>
                <w:sz w:val="21"/>
                <w:szCs w:val="21"/>
              </w:rPr>
            </w:pPr>
            <w:r>
              <w:rPr>
                <w:spacing w:val="-1"/>
                <w:sz w:val="21"/>
                <w:szCs w:val="21"/>
              </w:rPr>
              <w:t>ZC-YJV22-26/35-3x185</w:t>
            </w:r>
          </w:p>
        </w:tc>
        <w:tc>
          <w:tcPr>
            <w:tcW w:w="559" w:type="dxa"/>
            <w:vAlign w:val="top"/>
          </w:tcPr>
          <w:p w14:paraId="0D29497B">
            <w:pPr>
              <w:pStyle w:val="6"/>
              <w:spacing w:before="166" w:line="241" w:lineRule="auto"/>
              <w:ind w:left="219"/>
              <w:rPr>
                <w:sz w:val="21"/>
                <w:szCs w:val="21"/>
              </w:rPr>
            </w:pPr>
            <w:r>
              <w:rPr>
                <w:sz w:val="21"/>
                <w:szCs w:val="21"/>
              </w:rPr>
              <w:t>m</w:t>
            </w:r>
          </w:p>
        </w:tc>
        <w:tc>
          <w:tcPr>
            <w:tcW w:w="979" w:type="dxa"/>
            <w:vAlign w:val="top"/>
          </w:tcPr>
          <w:p w14:paraId="4045DCEA">
            <w:pPr>
              <w:pStyle w:val="6"/>
              <w:spacing w:before="166" w:line="239" w:lineRule="auto"/>
              <w:ind w:left="170"/>
              <w:rPr>
                <w:sz w:val="21"/>
                <w:szCs w:val="21"/>
              </w:rPr>
            </w:pPr>
            <w:r>
              <w:rPr>
                <w:spacing w:val="-2"/>
                <w:sz w:val="21"/>
                <w:szCs w:val="21"/>
              </w:rPr>
              <w:t>200.00</w:t>
            </w:r>
          </w:p>
        </w:tc>
        <w:tc>
          <w:tcPr>
            <w:tcW w:w="115" w:type="dxa"/>
            <w:tcBorders>
              <w:top w:val="nil"/>
              <w:bottom w:val="nil"/>
            </w:tcBorders>
            <w:vAlign w:val="top"/>
          </w:tcPr>
          <w:p w14:paraId="41A36DBE">
            <w:pPr>
              <w:rPr>
                <w:rFonts w:ascii="Arial"/>
                <w:sz w:val="21"/>
              </w:rPr>
            </w:pPr>
          </w:p>
        </w:tc>
      </w:tr>
      <w:tr w14:paraId="1970F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24" w:type="dxa"/>
            <w:vMerge w:val="continue"/>
            <w:tcBorders>
              <w:top w:val="nil"/>
              <w:bottom w:val="nil"/>
            </w:tcBorders>
            <w:vAlign w:val="top"/>
          </w:tcPr>
          <w:p w14:paraId="66DFA335">
            <w:pPr>
              <w:rPr>
                <w:rFonts w:ascii="Arial"/>
                <w:sz w:val="21"/>
              </w:rPr>
            </w:pPr>
          </w:p>
        </w:tc>
        <w:tc>
          <w:tcPr>
            <w:tcW w:w="130" w:type="dxa"/>
            <w:vMerge w:val="continue"/>
            <w:tcBorders>
              <w:top w:val="nil"/>
              <w:bottom w:val="nil"/>
            </w:tcBorders>
            <w:vAlign w:val="top"/>
          </w:tcPr>
          <w:p w14:paraId="7528A966">
            <w:pPr>
              <w:rPr>
                <w:rFonts w:ascii="Arial"/>
                <w:sz w:val="21"/>
              </w:rPr>
            </w:pPr>
          </w:p>
        </w:tc>
        <w:tc>
          <w:tcPr>
            <w:tcW w:w="559" w:type="dxa"/>
            <w:vAlign w:val="top"/>
          </w:tcPr>
          <w:p w14:paraId="49B701F9">
            <w:pPr>
              <w:pStyle w:val="6"/>
              <w:spacing w:before="117" w:line="193" w:lineRule="auto"/>
              <w:ind w:left="61"/>
              <w:rPr>
                <w:sz w:val="21"/>
                <w:szCs w:val="21"/>
              </w:rPr>
            </w:pPr>
            <w:r>
              <w:rPr>
                <w:spacing w:val="-3"/>
                <w:sz w:val="21"/>
                <w:szCs w:val="21"/>
              </w:rPr>
              <w:t>2.7.</w:t>
            </w:r>
          </w:p>
          <w:p w14:paraId="15F1497D">
            <w:pPr>
              <w:pStyle w:val="6"/>
              <w:spacing w:line="168" w:lineRule="auto"/>
              <w:ind w:left="210"/>
              <w:rPr>
                <w:sz w:val="21"/>
                <w:szCs w:val="21"/>
              </w:rPr>
            </w:pPr>
            <w:r>
              <w:rPr>
                <w:sz w:val="21"/>
                <w:szCs w:val="21"/>
              </w:rPr>
              <w:t>3</w:t>
            </w:r>
          </w:p>
        </w:tc>
        <w:tc>
          <w:tcPr>
            <w:tcW w:w="2217" w:type="dxa"/>
            <w:vAlign w:val="top"/>
          </w:tcPr>
          <w:p w14:paraId="2B3713FB">
            <w:pPr>
              <w:pStyle w:val="6"/>
              <w:spacing w:before="55" w:line="208" w:lineRule="auto"/>
              <w:ind w:left="891" w:right="255" w:hanging="629"/>
              <w:rPr>
                <w:sz w:val="21"/>
                <w:szCs w:val="21"/>
              </w:rPr>
            </w:pPr>
            <w:r>
              <w:rPr>
                <w:spacing w:val="1"/>
                <w:sz w:val="21"/>
                <w:szCs w:val="21"/>
              </w:rPr>
              <w:t>10</w:t>
            </w:r>
            <w:r>
              <w:rPr>
                <w:sz w:val="21"/>
                <w:szCs w:val="21"/>
              </w:rPr>
              <w:t>kV</w:t>
            </w:r>
            <w:r>
              <w:rPr>
                <w:spacing w:val="1"/>
                <w:sz w:val="21"/>
                <w:szCs w:val="21"/>
              </w:rPr>
              <w:t>铜芯电力电缆</w:t>
            </w:r>
            <w:r>
              <w:rPr>
                <w:sz w:val="21"/>
                <w:szCs w:val="21"/>
              </w:rPr>
              <w:t xml:space="preserve"> </w:t>
            </w:r>
            <w:r>
              <w:rPr>
                <w:spacing w:val="4"/>
                <w:sz w:val="21"/>
                <w:szCs w:val="21"/>
              </w:rPr>
              <w:t>电缆</w:t>
            </w:r>
          </w:p>
        </w:tc>
        <w:tc>
          <w:tcPr>
            <w:tcW w:w="4076" w:type="dxa"/>
            <w:vAlign w:val="top"/>
          </w:tcPr>
          <w:p w14:paraId="496783D3">
            <w:pPr>
              <w:pStyle w:val="6"/>
              <w:spacing w:before="174" w:line="218" w:lineRule="auto"/>
              <w:ind w:left="984"/>
              <w:rPr>
                <w:sz w:val="21"/>
                <w:szCs w:val="21"/>
              </w:rPr>
            </w:pPr>
            <w:r>
              <w:rPr>
                <w:spacing w:val="-1"/>
                <w:sz w:val="21"/>
                <w:szCs w:val="21"/>
              </w:rPr>
              <w:t>ZC-YJV22-8.7/10-3x70</w:t>
            </w:r>
          </w:p>
        </w:tc>
        <w:tc>
          <w:tcPr>
            <w:tcW w:w="559" w:type="dxa"/>
            <w:vAlign w:val="top"/>
          </w:tcPr>
          <w:p w14:paraId="04531950">
            <w:pPr>
              <w:pStyle w:val="6"/>
              <w:spacing w:before="267" w:line="230" w:lineRule="auto"/>
              <w:ind w:left="219"/>
              <w:rPr>
                <w:sz w:val="21"/>
                <w:szCs w:val="21"/>
              </w:rPr>
            </w:pPr>
            <w:r>
              <w:rPr>
                <w:sz w:val="21"/>
                <w:szCs w:val="21"/>
              </w:rPr>
              <w:t>m</w:t>
            </w:r>
          </w:p>
        </w:tc>
        <w:tc>
          <w:tcPr>
            <w:tcW w:w="979" w:type="dxa"/>
            <w:vAlign w:val="top"/>
          </w:tcPr>
          <w:p w14:paraId="6B7FF3B7">
            <w:pPr>
              <w:pStyle w:val="6"/>
              <w:spacing w:before="197" w:line="239" w:lineRule="auto"/>
              <w:ind w:left="170"/>
              <w:rPr>
                <w:sz w:val="21"/>
                <w:szCs w:val="21"/>
              </w:rPr>
            </w:pPr>
            <w:r>
              <w:rPr>
                <w:spacing w:val="-2"/>
                <w:sz w:val="21"/>
                <w:szCs w:val="21"/>
              </w:rPr>
              <w:t>600.00</w:t>
            </w:r>
          </w:p>
        </w:tc>
        <w:tc>
          <w:tcPr>
            <w:tcW w:w="115" w:type="dxa"/>
            <w:tcBorders>
              <w:top w:val="nil"/>
              <w:bottom w:val="nil"/>
            </w:tcBorders>
            <w:vAlign w:val="top"/>
          </w:tcPr>
          <w:p w14:paraId="0D3BD1E6">
            <w:pPr>
              <w:rPr>
                <w:rFonts w:ascii="Arial"/>
                <w:sz w:val="21"/>
              </w:rPr>
            </w:pPr>
          </w:p>
        </w:tc>
      </w:tr>
      <w:tr w14:paraId="6B338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24" w:type="dxa"/>
            <w:vMerge w:val="continue"/>
            <w:tcBorders>
              <w:top w:val="nil"/>
              <w:bottom w:val="nil"/>
            </w:tcBorders>
            <w:vAlign w:val="top"/>
          </w:tcPr>
          <w:p w14:paraId="596A1161">
            <w:pPr>
              <w:rPr>
                <w:rFonts w:ascii="Arial"/>
                <w:sz w:val="21"/>
              </w:rPr>
            </w:pPr>
          </w:p>
        </w:tc>
        <w:tc>
          <w:tcPr>
            <w:tcW w:w="130" w:type="dxa"/>
            <w:vMerge w:val="continue"/>
            <w:tcBorders>
              <w:top w:val="nil"/>
              <w:bottom w:val="nil"/>
            </w:tcBorders>
            <w:vAlign w:val="top"/>
          </w:tcPr>
          <w:p w14:paraId="2BF0716B">
            <w:pPr>
              <w:rPr>
                <w:rFonts w:ascii="Arial"/>
                <w:sz w:val="21"/>
              </w:rPr>
            </w:pPr>
          </w:p>
        </w:tc>
        <w:tc>
          <w:tcPr>
            <w:tcW w:w="559" w:type="dxa"/>
            <w:vAlign w:val="top"/>
          </w:tcPr>
          <w:p w14:paraId="741C226D">
            <w:pPr>
              <w:pStyle w:val="6"/>
              <w:spacing w:before="69" w:line="193" w:lineRule="auto"/>
              <w:ind w:left="61"/>
              <w:rPr>
                <w:sz w:val="21"/>
                <w:szCs w:val="21"/>
              </w:rPr>
            </w:pPr>
            <w:r>
              <w:rPr>
                <w:spacing w:val="-3"/>
                <w:sz w:val="21"/>
                <w:szCs w:val="21"/>
              </w:rPr>
              <w:t>2.7.</w:t>
            </w:r>
          </w:p>
          <w:p w14:paraId="63EA5E98">
            <w:pPr>
              <w:pStyle w:val="6"/>
              <w:spacing w:line="176" w:lineRule="auto"/>
              <w:ind w:left="210"/>
              <w:rPr>
                <w:sz w:val="21"/>
                <w:szCs w:val="21"/>
              </w:rPr>
            </w:pPr>
            <w:r>
              <w:rPr>
                <w:sz w:val="21"/>
                <w:szCs w:val="21"/>
              </w:rPr>
              <w:t>4</w:t>
            </w:r>
          </w:p>
        </w:tc>
        <w:tc>
          <w:tcPr>
            <w:tcW w:w="2217" w:type="dxa"/>
            <w:vAlign w:val="top"/>
          </w:tcPr>
          <w:p w14:paraId="050BD994">
            <w:pPr>
              <w:pStyle w:val="6"/>
              <w:spacing w:before="157" w:line="219" w:lineRule="auto"/>
              <w:ind w:left="522"/>
              <w:rPr>
                <w:sz w:val="21"/>
                <w:szCs w:val="21"/>
              </w:rPr>
            </w:pPr>
            <w:r>
              <w:rPr>
                <w:sz w:val="21"/>
                <w:szCs w:val="21"/>
              </w:rPr>
              <w:t>1kV动力电缆</w:t>
            </w:r>
          </w:p>
        </w:tc>
        <w:tc>
          <w:tcPr>
            <w:tcW w:w="4076" w:type="dxa"/>
            <w:vAlign w:val="top"/>
          </w:tcPr>
          <w:p w14:paraId="5ED9959C">
            <w:pPr>
              <w:pStyle w:val="6"/>
              <w:spacing w:before="154" w:line="216" w:lineRule="auto"/>
              <w:ind w:left="874"/>
              <w:rPr>
                <w:sz w:val="21"/>
                <w:szCs w:val="21"/>
              </w:rPr>
            </w:pPr>
            <w:r>
              <w:rPr>
                <w:sz w:val="21"/>
                <w:szCs w:val="21"/>
              </w:rPr>
              <w:t>ZC-VV22-0.6/1,各种型号</w:t>
            </w:r>
          </w:p>
        </w:tc>
        <w:tc>
          <w:tcPr>
            <w:tcW w:w="559" w:type="dxa"/>
            <w:vAlign w:val="top"/>
          </w:tcPr>
          <w:p w14:paraId="7A2D7AE6">
            <w:pPr>
              <w:pStyle w:val="6"/>
              <w:spacing w:before="238" w:line="220" w:lineRule="auto"/>
              <w:ind w:left="219"/>
              <w:rPr>
                <w:sz w:val="21"/>
                <w:szCs w:val="21"/>
              </w:rPr>
            </w:pPr>
            <w:r>
              <w:rPr>
                <w:sz w:val="21"/>
                <w:szCs w:val="21"/>
              </w:rPr>
              <w:t>m</w:t>
            </w:r>
          </w:p>
        </w:tc>
        <w:tc>
          <w:tcPr>
            <w:tcW w:w="979" w:type="dxa"/>
            <w:vAlign w:val="top"/>
          </w:tcPr>
          <w:p w14:paraId="23F25BDB">
            <w:pPr>
              <w:pStyle w:val="6"/>
              <w:spacing w:before="78" w:line="202" w:lineRule="auto"/>
              <w:ind w:left="119"/>
              <w:rPr>
                <w:sz w:val="21"/>
                <w:szCs w:val="21"/>
              </w:rPr>
            </w:pPr>
            <w:r>
              <w:rPr>
                <w:spacing w:val="-3"/>
                <w:sz w:val="21"/>
                <w:szCs w:val="21"/>
              </w:rPr>
              <w:t>12000.0</w:t>
            </w:r>
          </w:p>
          <w:p w14:paraId="29F141D6">
            <w:pPr>
              <w:pStyle w:val="6"/>
              <w:spacing w:line="158" w:lineRule="auto"/>
              <w:ind w:left="430"/>
              <w:rPr>
                <w:sz w:val="21"/>
                <w:szCs w:val="21"/>
              </w:rPr>
            </w:pPr>
            <w:r>
              <w:rPr>
                <w:sz w:val="21"/>
                <w:szCs w:val="21"/>
              </w:rPr>
              <w:t>0</w:t>
            </w:r>
          </w:p>
        </w:tc>
        <w:tc>
          <w:tcPr>
            <w:tcW w:w="115" w:type="dxa"/>
            <w:tcBorders>
              <w:top w:val="nil"/>
              <w:bottom w:val="nil"/>
            </w:tcBorders>
            <w:vAlign w:val="top"/>
          </w:tcPr>
          <w:p w14:paraId="6860BE3F">
            <w:pPr>
              <w:rPr>
                <w:rFonts w:ascii="Arial"/>
                <w:sz w:val="21"/>
              </w:rPr>
            </w:pPr>
          </w:p>
        </w:tc>
      </w:tr>
      <w:tr w14:paraId="17F74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24" w:type="dxa"/>
            <w:vMerge w:val="continue"/>
            <w:tcBorders>
              <w:top w:val="nil"/>
            </w:tcBorders>
            <w:vAlign w:val="top"/>
          </w:tcPr>
          <w:p w14:paraId="40E3BE5F">
            <w:pPr>
              <w:rPr>
                <w:rFonts w:ascii="Arial"/>
                <w:sz w:val="21"/>
              </w:rPr>
            </w:pPr>
          </w:p>
        </w:tc>
        <w:tc>
          <w:tcPr>
            <w:tcW w:w="130" w:type="dxa"/>
            <w:vMerge w:val="continue"/>
            <w:tcBorders>
              <w:top w:val="nil"/>
            </w:tcBorders>
            <w:vAlign w:val="top"/>
          </w:tcPr>
          <w:p w14:paraId="462CD95B">
            <w:pPr>
              <w:rPr>
                <w:rFonts w:ascii="Arial"/>
                <w:sz w:val="21"/>
              </w:rPr>
            </w:pPr>
          </w:p>
        </w:tc>
        <w:tc>
          <w:tcPr>
            <w:tcW w:w="559" w:type="dxa"/>
            <w:vAlign w:val="top"/>
          </w:tcPr>
          <w:p w14:paraId="006B478E">
            <w:pPr>
              <w:pStyle w:val="6"/>
              <w:spacing w:before="49" w:line="193" w:lineRule="auto"/>
              <w:ind w:left="61"/>
              <w:rPr>
                <w:sz w:val="21"/>
                <w:szCs w:val="21"/>
              </w:rPr>
            </w:pPr>
            <w:r>
              <w:rPr>
                <w:spacing w:val="-3"/>
                <w:sz w:val="21"/>
                <w:szCs w:val="21"/>
              </w:rPr>
              <w:t>2.7.</w:t>
            </w:r>
          </w:p>
          <w:p w14:paraId="12D7CB3D">
            <w:pPr>
              <w:pStyle w:val="6"/>
              <w:spacing w:line="166" w:lineRule="auto"/>
              <w:ind w:left="210"/>
              <w:rPr>
                <w:sz w:val="21"/>
                <w:szCs w:val="21"/>
              </w:rPr>
            </w:pPr>
            <w:r>
              <w:rPr>
                <w:sz w:val="21"/>
                <w:szCs w:val="21"/>
              </w:rPr>
              <w:t>5</w:t>
            </w:r>
          </w:p>
        </w:tc>
        <w:tc>
          <w:tcPr>
            <w:tcW w:w="2217" w:type="dxa"/>
            <w:vAlign w:val="top"/>
          </w:tcPr>
          <w:p w14:paraId="217BC148">
            <w:pPr>
              <w:pStyle w:val="6"/>
              <w:spacing w:before="138" w:line="219" w:lineRule="auto"/>
              <w:ind w:left="522"/>
              <w:rPr>
                <w:sz w:val="21"/>
                <w:szCs w:val="21"/>
              </w:rPr>
            </w:pPr>
            <w:r>
              <w:rPr>
                <w:sz w:val="21"/>
                <w:szCs w:val="21"/>
              </w:rPr>
              <w:t>1kV控制电缆</w:t>
            </w:r>
          </w:p>
        </w:tc>
        <w:tc>
          <w:tcPr>
            <w:tcW w:w="4076" w:type="dxa"/>
            <w:vAlign w:val="top"/>
          </w:tcPr>
          <w:p w14:paraId="69ACED1E">
            <w:pPr>
              <w:pStyle w:val="6"/>
              <w:spacing w:before="135" w:line="216" w:lineRule="auto"/>
              <w:ind w:left="614"/>
              <w:rPr>
                <w:sz w:val="21"/>
                <w:szCs w:val="21"/>
              </w:rPr>
            </w:pPr>
            <w:r>
              <w:rPr>
                <w:spacing w:val="-1"/>
                <w:sz w:val="21"/>
                <w:szCs w:val="21"/>
              </w:rPr>
              <w:t>ZC-kVVP22-450/750V,各种型号</w:t>
            </w:r>
          </w:p>
        </w:tc>
        <w:tc>
          <w:tcPr>
            <w:tcW w:w="559" w:type="dxa"/>
            <w:vAlign w:val="top"/>
          </w:tcPr>
          <w:p w14:paraId="42F65561">
            <w:pPr>
              <w:pStyle w:val="6"/>
              <w:spacing w:before="218" w:line="211" w:lineRule="auto"/>
              <w:ind w:left="219"/>
              <w:rPr>
                <w:sz w:val="21"/>
                <w:szCs w:val="21"/>
              </w:rPr>
            </w:pPr>
            <w:r>
              <w:rPr>
                <w:sz w:val="21"/>
                <w:szCs w:val="21"/>
              </w:rPr>
              <w:t>m</w:t>
            </w:r>
          </w:p>
        </w:tc>
        <w:tc>
          <w:tcPr>
            <w:tcW w:w="979" w:type="dxa"/>
            <w:vAlign w:val="top"/>
          </w:tcPr>
          <w:p w14:paraId="130D7612">
            <w:pPr>
              <w:pStyle w:val="6"/>
              <w:spacing w:before="49" w:line="193" w:lineRule="auto"/>
              <w:ind w:left="119"/>
              <w:rPr>
                <w:sz w:val="21"/>
                <w:szCs w:val="21"/>
              </w:rPr>
            </w:pPr>
            <w:r>
              <w:rPr>
                <w:spacing w:val="-2"/>
                <w:sz w:val="21"/>
                <w:szCs w:val="21"/>
              </w:rPr>
              <w:t>20000.0</w:t>
            </w:r>
          </w:p>
          <w:p w14:paraId="5CEF9042">
            <w:pPr>
              <w:pStyle w:val="6"/>
              <w:spacing w:line="166" w:lineRule="auto"/>
              <w:ind w:left="430"/>
              <w:rPr>
                <w:sz w:val="21"/>
                <w:szCs w:val="21"/>
              </w:rPr>
            </w:pPr>
            <w:r>
              <w:rPr>
                <w:sz w:val="21"/>
                <w:szCs w:val="21"/>
              </w:rPr>
              <w:t>0</w:t>
            </w:r>
          </w:p>
        </w:tc>
        <w:tc>
          <w:tcPr>
            <w:tcW w:w="115" w:type="dxa"/>
            <w:tcBorders>
              <w:top w:val="nil"/>
            </w:tcBorders>
            <w:vAlign w:val="top"/>
          </w:tcPr>
          <w:p w14:paraId="326CF6AF">
            <w:pPr>
              <w:rPr>
                <w:rFonts w:ascii="Arial"/>
                <w:sz w:val="21"/>
              </w:rPr>
            </w:pPr>
          </w:p>
        </w:tc>
      </w:tr>
    </w:tbl>
    <w:p w14:paraId="13F939CA">
      <w:pPr>
        <w:spacing w:before="268" w:line="220" w:lineRule="auto"/>
        <w:ind w:left="518"/>
        <w:rPr>
          <w:rFonts w:ascii="宋体" w:hAnsi="宋体" w:eastAsia="宋体" w:cs="宋体"/>
          <w:sz w:val="26"/>
          <w:szCs w:val="26"/>
        </w:rPr>
      </w:pPr>
      <w:r>
        <w:rPr>
          <w:rFonts w:ascii="宋体" w:hAnsi="宋体" w:eastAsia="宋体" w:cs="宋体"/>
          <w:b/>
          <w:bCs/>
          <w:spacing w:val="-20"/>
          <w:sz w:val="26"/>
          <w:szCs w:val="26"/>
        </w:rPr>
        <w:t>六、项目占地情况</w:t>
      </w:r>
    </w:p>
    <w:p w14:paraId="5A741DD6">
      <w:pPr>
        <w:spacing w:before="165" w:line="350" w:lineRule="auto"/>
        <w:ind w:left="514" w:right="125" w:firstLine="499"/>
        <w:rPr>
          <w:rFonts w:ascii="宋体" w:hAnsi="宋体" w:eastAsia="宋体" w:cs="宋体"/>
          <w:sz w:val="24"/>
          <w:szCs w:val="24"/>
        </w:rPr>
      </w:pPr>
      <w:r>
        <w:rPr>
          <w:rFonts w:ascii="宋体" w:hAnsi="宋体" w:eastAsia="宋体" w:cs="宋体"/>
          <w:spacing w:val="1"/>
          <w:sz w:val="24"/>
          <w:szCs w:val="24"/>
        </w:rPr>
        <w:t>项目总用地总面积208.8715</w:t>
      </w:r>
      <w:r>
        <w:rPr>
          <w:rFonts w:ascii="Times New Roman" w:hAnsi="Times New Roman" w:eastAsia="Times New Roman" w:cs="Times New Roman"/>
          <w:sz w:val="24"/>
          <w:szCs w:val="24"/>
        </w:rPr>
        <w:t>hm</w:t>
      </w:r>
      <w:r>
        <w:rPr>
          <w:rFonts w:ascii="Times New Roman" w:hAnsi="Times New Roman" w:eastAsia="Times New Roman" w:cs="Times New Roman"/>
          <w:spacing w:val="1"/>
          <w:sz w:val="24"/>
          <w:szCs w:val="24"/>
        </w:rPr>
        <w:t xml:space="preserve">²,  </w:t>
      </w:r>
      <w:r>
        <w:rPr>
          <w:rFonts w:ascii="宋体" w:hAnsi="宋体" w:eastAsia="宋体" w:cs="宋体"/>
          <w:spacing w:val="1"/>
          <w:sz w:val="24"/>
          <w:szCs w:val="24"/>
        </w:rPr>
        <w:t>其中升压站占地1.1014</w:t>
      </w:r>
      <w:r>
        <w:rPr>
          <w:rFonts w:ascii="Times New Roman" w:hAnsi="Times New Roman" w:eastAsia="Times New Roman" w:cs="Times New Roman"/>
          <w:sz w:val="24"/>
          <w:szCs w:val="24"/>
        </w:rPr>
        <w:t>hm</w:t>
      </w:r>
      <w:r>
        <w:rPr>
          <w:rFonts w:ascii="Times New Roman" w:hAnsi="Times New Roman" w:eastAsia="Times New Roman" w:cs="Times New Roman"/>
          <w:spacing w:val="1"/>
          <w:sz w:val="24"/>
          <w:szCs w:val="24"/>
        </w:rPr>
        <w:t>²,</w:t>
      </w:r>
      <w:r>
        <w:rPr>
          <w:rFonts w:ascii="Times New Roman" w:hAnsi="Times New Roman" w:eastAsia="Times New Roman" w:cs="Times New Roman"/>
          <w:spacing w:val="25"/>
          <w:sz w:val="24"/>
          <w:szCs w:val="24"/>
        </w:rPr>
        <w:t xml:space="preserve">  </w:t>
      </w:r>
      <w:r>
        <w:rPr>
          <w:rFonts w:ascii="宋体" w:hAnsi="宋体" w:eastAsia="宋体" w:cs="宋体"/>
          <w:spacing w:val="1"/>
          <w:sz w:val="24"/>
          <w:szCs w:val="24"/>
        </w:rPr>
        <w:t>光伏阵列占地</w:t>
      </w:r>
      <w:r>
        <w:rPr>
          <w:rFonts w:ascii="宋体" w:hAnsi="宋体" w:eastAsia="宋体" w:cs="宋体"/>
          <w:sz w:val="24"/>
          <w:szCs w:val="24"/>
        </w:rPr>
        <w:t xml:space="preserve"> </w:t>
      </w:r>
      <w:r>
        <w:rPr>
          <w:rFonts w:ascii="宋体" w:hAnsi="宋体" w:eastAsia="宋体" w:cs="宋体"/>
          <w:spacing w:val="-2"/>
          <w:sz w:val="24"/>
          <w:szCs w:val="24"/>
        </w:rPr>
        <w:t>207.2271</w:t>
      </w:r>
      <w:r>
        <w:rPr>
          <w:rFonts w:ascii="Times New Roman" w:hAnsi="Times New Roman" w:eastAsia="Times New Roman" w:cs="Times New Roman"/>
          <w:spacing w:val="-2"/>
          <w:sz w:val="24"/>
          <w:szCs w:val="24"/>
        </w:rPr>
        <w:t xml:space="preserve">hm²,   </w:t>
      </w:r>
      <w:r>
        <w:rPr>
          <w:rFonts w:ascii="宋体" w:hAnsi="宋体" w:eastAsia="宋体" w:cs="宋体"/>
          <w:spacing w:val="-2"/>
          <w:sz w:val="24"/>
          <w:szCs w:val="24"/>
        </w:rPr>
        <w:t>集电线路塔基占地0.543</w:t>
      </w:r>
      <w:r>
        <w:rPr>
          <w:rFonts w:ascii="Times New Roman" w:hAnsi="Times New Roman" w:eastAsia="Times New Roman" w:cs="Times New Roman"/>
          <w:spacing w:val="-2"/>
          <w:sz w:val="24"/>
          <w:szCs w:val="24"/>
        </w:rPr>
        <w:t>hm²</w:t>
      </w:r>
      <w:r>
        <w:rPr>
          <w:rFonts w:ascii="宋体" w:hAnsi="宋体" w:eastAsia="宋体" w:cs="宋体"/>
          <w:spacing w:val="-2"/>
          <w:sz w:val="24"/>
          <w:szCs w:val="24"/>
        </w:rPr>
        <w:t>。</w:t>
      </w:r>
    </w:p>
    <w:p w14:paraId="63BBAC54">
      <w:pPr>
        <w:spacing w:before="14" w:line="219" w:lineRule="auto"/>
        <w:ind w:left="518"/>
        <w:rPr>
          <w:rFonts w:ascii="宋体" w:hAnsi="宋体" w:eastAsia="宋体" w:cs="宋体"/>
          <w:sz w:val="26"/>
          <w:szCs w:val="26"/>
        </w:rPr>
      </w:pPr>
      <w:r>
        <w:rPr>
          <w:rFonts w:ascii="宋体" w:hAnsi="宋体" w:eastAsia="宋体" w:cs="宋体"/>
          <w:b/>
          <w:bCs/>
          <w:spacing w:val="-20"/>
          <w:sz w:val="26"/>
          <w:szCs w:val="26"/>
        </w:rPr>
        <w:t>七、主要经济技术指标</w:t>
      </w:r>
    </w:p>
    <w:p w14:paraId="1AFB23A5">
      <w:pPr>
        <w:spacing w:before="174" w:line="219" w:lineRule="auto"/>
        <w:ind w:left="1034"/>
        <w:rPr>
          <w:rFonts w:ascii="宋体" w:hAnsi="宋体" w:eastAsia="宋体" w:cs="宋体"/>
          <w:sz w:val="24"/>
          <w:szCs w:val="24"/>
        </w:rPr>
      </w:pPr>
      <w:r>
        <w:rPr>
          <w:rFonts w:ascii="宋体" w:hAnsi="宋体" w:eastAsia="宋体" w:cs="宋体"/>
          <w:sz w:val="24"/>
          <w:szCs w:val="24"/>
        </w:rPr>
        <w:t>工程主要技术经济指标见表2-6。</w:t>
      </w:r>
    </w:p>
    <w:p w14:paraId="7775C6C9">
      <w:pPr>
        <w:spacing w:before="162" w:line="219" w:lineRule="auto"/>
        <w:ind w:left="3098"/>
        <w:rPr>
          <w:rFonts w:ascii="宋体" w:hAnsi="宋体" w:eastAsia="宋体" w:cs="宋体"/>
          <w:sz w:val="26"/>
          <w:szCs w:val="26"/>
        </w:rPr>
      </w:pPr>
      <w:r>
        <w:rPr>
          <w:rFonts w:ascii="宋体" w:hAnsi="宋体" w:eastAsia="宋体" w:cs="宋体"/>
          <w:b/>
          <w:bCs/>
          <w:spacing w:val="-15"/>
          <w:sz w:val="26"/>
          <w:szCs w:val="26"/>
        </w:rPr>
        <w:t>表2-6</w:t>
      </w:r>
      <w:r>
        <w:rPr>
          <w:rFonts w:ascii="宋体" w:hAnsi="宋体" w:eastAsia="宋体" w:cs="宋体"/>
          <w:spacing w:val="90"/>
          <w:sz w:val="26"/>
          <w:szCs w:val="26"/>
        </w:rPr>
        <w:t xml:space="preserve"> </w:t>
      </w:r>
      <w:r>
        <w:rPr>
          <w:rFonts w:ascii="宋体" w:hAnsi="宋体" w:eastAsia="宋体" w:cs="宋体"/>
          <w:b/>
          <w:bCs/>
          <w:spacing w:val="-15"/>
          <w:sz w:val="26"/>
          <w:szCs w:val="26"/>
        </w:rPr>
        <w:t>工程主要技术经济指标</w:t>
      </w:r>
    </w:p>
    <w:p w14:paraId="7F0BB66C">
      <w:pPr>
        <w:spacing w:line="139"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10"/>
        <w:gridCol w:w="1059"/>
        <w:gridCol w:w="2907"/>
        <w:gridCol w:w="1139"/>
        <w:gridCol w:w="1638"/>
        <w:gridCol w:w="1338"/>
        <w:gridCol w:w="444"/>
      </w:tblGrid>
      <w:tr w14:paraId="24086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424" w:type="dxa"/>
            <w:vMerge w:val="restart"/>
            <w:tcBorders>
              <w:bottom w:val="nil"/>
            </w:tcBorders>
            <w:vAlign w:val="top"/>
          </w:tcPr>
          <w:p w14:paraId="475C4B5D">
            <w:pPr>
              <w:rPr>
                <w:rFonts w:ascii="Arial"/>
                <w:sz w:val="21"/>
              </w:rPr>
            </w:pPr>
          </w:p>
        </w:tc>
        <w:tc>
          <w:tcPr>
            <w:tcW w:w="110" w:type="dxa"/>
            <w:vMerge w:val="restart"/>
            <w:tcBorders>
              <w:bottom w:val="nil"/>
            </w:tcBorders>
            <w:vAlign w:val="top"/>
          </w:tcPr>
          <w:p w14:paraId="02466A04">
            <w:pPr>
              <w:rPr>
                <w:rFonts w:ascii="Arial"/>
                <w:sz w:val="21"/>
              </w:rPr>
            </w:pPr>
          </w:p>
        </w:tc>
        <w:tc>
          <w:tcPr>
            <w:tcW w:w="3966" w:type="dxa"/>
            <w:gridSpan w:val="2"/>
            <w:vAlign w:val="top"/>
          </w:tcPr>
          <w:p w14:paraId="55314837">
            <w:pPr>
              <w:pStyle w:val="6"/>
              <w:spacing w:before="34" w:line="202" w:lineRule="auto"/>
              <w:ind w:left="1760"/>
              <w:rPr>
                <w:sz w:val="21"/>
                <w:szCs w:val="21"/>
              </w:rPr>
            </w:pPr>
            <w:r>
              <w:rPr>
                <w:spacing w:val="-6"/>
                <w:sz w:val="21"/>
                <w:szCs w:val="21"/>
              </w:rPr>
              <w:t>项 目</w:t>
            </w:r>
          </w:p>
        </w:tc>
        <w:tc>
          <w:tcPr>
            <w:tcW w:w="1139" w:type="dxa"/>
            <w:vAlign w:val="top"/>
          </w:tcPr>
          <w:p w14:paraId="7E3830F7">
            <w:pPr>
              <w:pStyle w:val="6"/>
              <w:spacing w:before="34" w:line="202" w:lineRule="auto"/>
              <w:ind w:left="354"/>
              <w:rPr>
                <w:sz w:val="21"/>
                <w:szCs w:val="21"/>
              </w:rPr>
            </w:pPr>
            <w:r>
              <w:rPr>
                <w:spacing w:val="-3"/>
                <w:sz w:val="21"/>
                <w:szCs w:val="21"/>
              </w:rPr>
              <w:t>单位</w:t>
            </w:r>
          </w:p>
        </w:tc>
        <w:tc>
          <w:tcPr>
            <w:tcW w:w="1638" w:type="dxa"/>
            <w:vAlign w:val="top"/>
          </w:tcPr>
          <w:p w14:paraId="7C9C302C">
            <w:pPr>
              <w:pStyle w:val="6"/>
              <w:spacing w:before="33" w:line="203" w:lineRule="auto"/>
              <w:ind w:left="606"/>
              <w:rPr>
                <w:sz w:val="21"/>
                <w:szCs w:val="21"/>
              </w:rPr>
            </w:pPr>
            <w:r>
              <w:rPr>
                <w:spacing w:val="-3"/>
                <w:sz w:val="21"/>
                <w:szCs w:val="21"/>
              </w:rPr>
              <w:t>参数</w:t>
            </w:r>
          </w:p>
        </w:tc>
        <w:tc>
          <w:tcPr>
            <w:tcW w:w="1338" w:type="dxa"/>
            <w:vAlign w:val="top"/>
          </w:tcPr>
          <w:p w14:paraId="09019200">
            <w:pPr>
              <w:pStyle w:val="6"/>
              <w:spacing w:before="35" w:line="201" w:lineRule="auto"/>
              <w:ind w:left="457"/>
              <w:rPr>
                <w:sz w:val="21"/>
                <w:szCs w:val="21"/>
              </w:rPr>
            </w:pPr>
            <w:r>
              <w:rPr>
                <w:spacing w:val="5"/>
                <w:sz w:val="21"/>
                <w:szCs w:val="21"/>
              </w:rPr>
              <w:t>备注</w:t>
            </w:r>
          </w:p>
        </w:tc>
        <w:tc>
          <w:tcPr>
            <w:tcW w:w="444" w:type="dxa"/>
            <w:vMerge w:val="restart"/>
            <w:tcBorders>
              <w:bottom w:val="nil"/>
            </w:tcBorders>
            <w:vAlign w:val="top"/>
          </w:tcPr>
          <w:p w14:paraId="344BC7CD">
            <w:pPr>
              <w:rPr>
                <w:rFonts w:ascii="Arial"/>
                <w:sz w:val="21"/>
              </w:rPr>
            </w:pPr>
          </w:p>
        </w:tc>
      </w:tr>
      <w:tr w14:paraId="1F2E3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424" w:type="dxa"/>
            <w:vMerge w:val="continue"/>
            <w:tcBorders>
              <w:top w:val="nil"/>
              <w:bottom w:val="nil"/>
            </w:tcBorders>
            <w:vAlign w:val="top"/>
          </w:tcPr>
          <w:p w14:paraId="78D9A5C5">
            <w:pPr>
              <w:rPr>
                <w:rFonts w:ascii="Arial"/>
                <w:sz w:val="21"/>
              </w:rPr>
            </w:pPr>
          </w:p>
        </w:tc>
        <w:tc>
          <w:tcPr>
            <w:tcW w:w="110" w:type="dxa"/>
            <w:vMerge w:val="continue"/>
            <w:tcBorders>
              <w:top w:val="nil"/>
              <w:bottom w:val="nil"/>
            </w:tcBorders>
            <w:vAlign w:val="top"/>
          </w:tcPr>
          <w:p w14:paraId="61832A16">
            <w:pPr>
              <w:rPr>
                <w:rFonts w:ascii="Arial"/>
                <w:sz w:val="21"/>
              </w:rPr>
            </w:pPr>
          </w:p>
        </w:tc>
        <w:tc>
          <w:tcPr>
            <w:tcW w:w="3966" w:type="dxa"/>
            <w:gridSpan w:val="2"/>
            <w:vAlign w:val="top"/>
          </w:tcPr>
          <w:p w14:paraId="61D6F716">
            <w:pPr>
              <w:pStyle w:val="6"/>
              <w:spacing w:before="39" w:line="202" w:lineRule="auto"/>
              <w:ind w:left="1450"/>
              <w:rPr>
                <w:sz w:val="21"/>
                <w:szCs w:val="21"/>
              </w:rPr>
            </w:pPr>
            <w:r>
              <w:rPr>
                <w:spacing w:val="3"/>
                <w:sz w:val="21"/>
                <w:szCs w:val="21"/>
              </w:rPr>
              <w:t>征占地范围</w:t>
            </w:r>
          </w:p>
        </w:tc>
        <w:tc>
          <w:tcPr>
            <w:tcW w:w="1139" w:type="dxa"/>
            <w:vAlign w:val="top"/>
          </w:tcPr>
          <w:p w14:paraId="0C2CC904">
            <w:pPr>
              <w:pStyle w:val="6"/>
              <w:spacing w:before="81" w:line="165" w:lineRule="auto"/>
              <w:ind w:left="354"/>
              <w:rPr>
                <w:sz w:val="21"/>
                <w:szCs w:val="21"/>
              </w:rPr>
            </w:pPr>
            <w:r>
              <w:rPr>
                <w:spacing w:val="-2"/>
                <w:sz w:val="21"/>
                <w:szCs w:val="21"/>
              </w:rPr>
              <w:t>hm²</w:t>
            </w:r>
          </w:p>
        </w:tc>
        <w:tc>
          <w:tcPr>
            <w:tcW w:w="1638" w:type="dxa"/>
            <w:vAlign w:val="top"/>
          </w:tcPr>
          <w:p w14:paraId="614205BB">
            <w:pPr>
              <w:pStyle w:val="6"/>
              <w:spacing w:before="60" w:line="183" w:lineRule="auto"/>
              <w:ind w:left="395"/>
              <w:rPr>
                <w:sz w:val="21"/>
                <w:szCs w:val="21"/>
              </w:rPr>
            </w:pPr>
            <w:r>
              <w:rPr>
                <w:spacing w:val="-2"/>
                <w:sz w:val="21"/>
                <w:szCs w:val="21"/>
              </w:rPr>
              <w:t>208.8715</w:t>
            </w:r>
          </w:p>
        </w:tc>
        <w:tc>
          <w:tcPr>
            <w:tcW w:w="1338" w:type="dxa"/>
            <w:vAlign w:val="top"/>
          </w:tcPr>
          <w:p w14:paraId="057C3906">
            <w:pPr>
              <w:rPr>
                <w:rFonts w:ascii="Arial"/>
                <w:sz w:val="21"/>
              </w:rPr>
            </w:pPr>
          </w:p>
        </w:tc>
        <w:tc>
          <w:tcPr>
            <w:tcW w:w="444" w:type="dxa"/>
            <w:vMerge w:val="continue"/>
            <w:tcBorders>
              <w:top w:val="nil"/>
              <w:bottom w:val="nil"/>
            </w:tcBorders>
            <w:vAlign w:val="top"/>
          </w:tcPr>
          <w:p w14:paraId="47886733">
            <w:pPr>
              <w:rPr>
                <w:rFonts w:ascii="Arial"/>
                <w:sz w:val="21"/>
              </w:rPr>
            </w:pPr>
          </w:p>
        </w:tc>
      </w:tr>
      <w:tr w14:paraId="7F7B1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424" w:type="dxa"/>
            <w:vMerge w:val="continue"/>
            <w:tcBorders>
              <w:top w:val="nil"/>
              <w:bottom w:val="nil"/>
            </w:tcBorders>
            <w:vAlign w:val="top"/>
          </w:tcPr>
          <w:p w14:paraId="2746C64F">
            <w:pPr>
              <w:rPr>
                <w:rFonts w:ascii="Arial"/>
                <w:sz w:val="21"/>
              </w:rPr>
            </w:pPr>
          </w:p>
        </w:tc>
        <w:tc>
          <w:tcPr>
            <w:tcW w:w="110" w:type="dxa"/>
            <w:vMerge w:val="continue"/>
            <w:tcBorders>
              <w:top w:val="nil"/>
              <w:bottom w:val="nil"/>
            </w:tcBorders>
            <w:vAlign w:val="top"/>
          </w:tcPr>
          <w:p w14:paraId="7D8733BF">
            <w:pPr>
              <w:rPr>
                <w:rFonts w:ascii="Arial"/>
                <w:sz w:val="21"/>
              </w:rPr>
            </w:pPr>
          </w:p>
        </w:tc>
        <w:tc>
          <w:tcPr>
            <w:tcW w:w="3966" w:type="dxa"/>
            <w:gridSpan w:val="2"/>
            <w:vAlign w:val="top"/>
          </w:tcPr>
          <w:p w14:paraId="2523E9A6">
            <w:pPr>
              <w:pStyle w:val="6"/>
              <w:spacing w:before="169" w:line="219" w:lineRule="auto"/>
              <w:ind w:left="1240"/>
              <w:rPr>
                <w:sz w:val="21"/>
                <w:szCs w:val="21"/>
              </w:rPr>
            </w:pPr>
            <w:r>
              <w:rPr>
                <w:spacing w:val="1"/>
                <w:sz w:val="21"/>
                <w:szCs w:val="21"/>
              </w:rPr>
              <w:t>光伏区用地面积</w:t>
            </w:r>
          </w:p>
        </w:tc>
        <w:tc>
          <w:tcPr>
            <w:tcW w:w="1139" w:type="dxa"/>
            <w:vAlign w:val="top"/>
          </w:tcPr>
          <w:p w14:paraId="0B24A578">
            <w:pPr>
              <w:pStyle w:val="6"/>
              <w:spacing w:before="212" w:line="194" w:lineRule="auto"/>
              <w:ind w:left="354"/>
              <w:rPr>
                <w:sz w:val="21"/>
                <w:szCs w:val="21"/>
              </w:rPr>
            </w:pPr>
            <w:r>
              <w:rPr>
                <w:spacing w:val="-2"/>
                <w:sz w:val="21"/>
                <w:szCs w:val="21"/>
              </w:rPr>
              <w:t>hm²</w:t>
            </w:r>
          </w:p>
        </w:tc>
        <w:tc>
          <w:tcPr>
            <w:tcW w:w="1638" w:type="dxa"/>
            <w:vAlign w:val="top"/>
          </w:tcPr>
          <w:p w14:paraId="34DF7470">
            <w:pPr>
              <w:pStyle w:val="6"/>
              <w:spacing w:before="191" w:line="239" w:lineRule="auto"/>
              <w:ind w:left="395"/>
              <w:rPr>
                <w:sz w:val="21"/>
                <w:szCs w:val="21"/>
              </w:rPr>
            </w:pPr>
            <w:r>
              <w:rPr>
                <w:spacing w:val="-2"/>
                <w:sz w:val="21"/>
                <w:szCs w:val="21"/>
              </w:rPr>
              <w:t>207.2271</w:t>
            </w:r>
          </w:p>
        </w:tc>
        <w:tc>
          <w:tcPr>
            <w:tcW w:w="1338" w:type="dxa"/>
            <w:vAlign w:val="top"/>
          </w:tcPr>
          <w:p w14:paraId="249AD683">
            <w:pPr>
              <w:pStyle w:val="6"/>
              <w:spacing w:before="41" w:line="218" w:lineRule="auto"/>
              <w:ind w:left="38" w:right="37"/>
              <w:rPr>
                <w:sz w:val="21"/>
                <w:szCs w:val="21"/>
              </w:rPr>
            </w:pPr>
            <w:r>
              <w:rPr>
                <w:spacing w:val="-2"/>
                <w:sz w:val="21"/>
                <w:szCs w:val="21"/>
              </w:rPr>
              <w:t>按单个方阵边</w:t>
            </w:r>
            <w:r>
              <w:rPr>
                <w:spacing w:val="1"/>
                <w:sz w:val="21"/>
                <w:szCs w:val="21"/>
              </w:rPr>
              <w:t xml:space="preserve"> </w:t>
            </w:r>
            <w:r>
              <w:rPr>
                <w:spacing w:val="-2"/>
                <w:sz w:val="21"/>
                <w:szCs w:val="21"/>
              </w:rPr>
              <w:t>框线叠加计算</w:t>
            </w:r>
          </w:p>
        </w:tc>
        <w:tc>
          <w:tcPr>
            <w:tcW w:w="444" w:type="dxa"/>
            <w:vMerge w:val="continue"/>
            <w:tcBorders>
              <w:top w:val="nil"/>
              <w:bottom w:val="nil"/>
            </w:tcBorders>
            <w:vAlign w:val="top"/>
          </w:tcPr>
          <w:p w14:paraId="3C861468">
            <w:pPr>
              <w:rPr>
                <w:rFonts w:ascii="Arial"/>
                <w:sz w:val="21"/>
              </w:rPr>
            </w:pPr>
          </w:p>
        </w:tc>
      </w:tr>
      <w:tr w14:paraId="0EF00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4" w:type="dxa"/>
            <w:vMerge w:val="continue"/>
            <w:tcBorders>
              <w:top w:val="nil"/>
              <w:bottom w:val="nil"/>
            </w:tcBorders>
            <w:vAlign w:val="top"/>
          </w:tcPr>
          <w:p w14:paraId="7465A114">
            <w:pPr>
              <w:rPr>
                <w:rFonts w:ascii="Arial"/>
                <w:sz w:val="21"/>
              </w:rPr>
            </w:pPr>
          </w:p>
        </w:tc>
        <w:tc>
          <w:tcPr>
            <w:tcW w:w="110" w:type="dxa"/>
            <w:vMerge w:val="continue"/>
            <w:tcBorders>
              <w:top w:val="nil"/>
              <w:bottom w:val="nil"/>
            </w:tcBorders>
            <w:vAlign w:val="top"/>
          </w:tcPr>
          <w:p w14:paraId="746E6436">
            <w:pPr>
              <w:rPr>
                <w:rFonts w:ascii="Arial"/>
                <w:sz w:val="21"/>
              </w:rPr>
            </w:pPr>
          </w:p>
        </w:tc>
        <w:tc>
          <w:tcPr>
            <w:tcW w:w="3966" w:type="dxa"/>
            <w:gridSpan w:val="2"/>
            <w:vAlign w:val="top"/>
          </w:tcPr>
          <w:p w14:paraId="1C1C599B">
            <w:pPr>
              <w:pStyle w:val="6"/>
              <w:spacing w:before="63" w:line="215" w:lineRule="auto"/>
              <w:ind w:left="1450"/>
              <w:rPr>
                <w:sz w:val="21"/>
                <w:szCs w:val="21"/>
              </w:rPr>
            </w:pPr>
            <w:r>
              <w:rPr>
                <w:spacing w:val="-2"/>
                <w:sz w:val="21"/>
                <w:szCs w:val="21"/>
              </w:rPr>
              <w:t>年均发电量</w:t>
            </w:r>
          </w:p>
        </w:tc>
        <w:tc>
          <w:tcPr>
            <w:tcW w:w="1139" w:type="dxa"/>
            <w:vAlign w:val="top"/>
          </w:tcPr>
          <w:p w14:paraId="295B426A">
            <w:pPr>
              <w:pStyle w:val="6"/>
              <w:spacing w:before="64" w:line="214" w:lineRule="auto"/>
              <w:ind w:left="125"/>
              <w:rPr>
                <w:sz w:val="21"/>
                <w:szCs w:val="21"/>
              </w:rPr>
            </w:pPr>
            <w:r>
              <w:rPr>
                <w:spacing w:val="-5"/>
                <w:sz w:val="21"/>
                <w:szCs w:val="21"/>
              </w:rPr>
              <w:t>万</w:t>
            </w:r>
            <w:r>
              <w:rPr>
                <w:spacing w:val="-35"/>
                <w:sz w:val="21"/>
                <w:szCs w:val="21"/>
              </w:rPr>
              <w:t xml:space="preserve"> </w:t>
            </w:r>
            <w:r>
              <w:rPr>
                <w:spacing w:val="-5"/>
                <w:sz w:val="21"/>
                <w:szCs w:val="21"/>
              </w:rPr>
              <w:t>M</w:t>
            </w:r>
            <w:r>
              <w:rPr>
                <w:spacing w:val="-36"/>
                <w:sz w:val="21"/>
                <w:szCs w:val="21"/>
              </w:rPr>
              <w:t xml:space="preserve"> </w:t>
            </w:r>
            <w:r>
              <w:rPr>
                <w:spacing w:val="-5"/>
                <w:sz w:val="21"/>
                <w:szCs w:val="21"/>
              </w:rPr>
              <w:t>W</w:t>
            </w:r>
            <w:r>
              <w:rPr>
                <w:spacing w:val="-31"/>
                <w:sz w:val="21"/>
                <w:szCs w:val="21"/>
              </w:rPr>
              <w:t xml:space="preserve"> </w:t>
            </w:r>
            <w:r>
              <w:rPr>
                <w:spacing w:val="-5"/>
                <w:sz w:val="21"/>
                <w:szCs w:val="21"/>
              </w:rPr>
              <w:t>-</w:t>
            </w:r>
            <w:r>
              <w:rPr>
                <w:spacing w:val="-32"/>
                <w:sz w:val="21"/>
                <w:szCs w:val="21"/>
              </w:rPr>
              <w:t xml:space="preserve"> </w:t>
            </w:r>
            <w:r>
              <w:rPr>
                <w:spacing w:val="-5"/>
                <w:sz w:val="21"/>
                <w:szCs w:val="21"/>
              </w:rPr>
              <w:t>h</w:t>
            </w:r>
          </w:p>
        </w:tc>
        <w:tc>
          <w:tcPr>
            <w:tcW w:w="1638" w:type="dxa"/>
            <w:vAlign w:val="top"/>
          </w:tcPr>
          <w:p w14:paraId="1851364C">
            <w:pPr>
              <w:pStyle w:val="6"/>
              <w:spacing w:before="85" w:line="196" w:lineRule="auto"/>
              <w:ind w:left="395"/>
              <w:rPr>
                <w:sz w:val="21"/>
                <w:szCs w:val="21"/>
              </w:rPr>
            </w:pPr>
            <w:r>
              <w:rPr>
                <w:spacing w:val="-2"/>
                <w:sz w:val="21"/>
                <w:szCs w:val="21"/>
              </w:rPr>
              <w:t>22505.45</w:t>
            </w:r>
          </w:p>
        </w:tc>
        <w:tc>
          <w:tcPr>
            <w:tcW w:w="1338" w:type="dxa"/>
            <w:vAlign w:val="top"/>
          </w:tcPr>
          <w:p w14:paraId="165CD034">
            <w:pPr>
              <w:rPr>
                <w:rFonts w:ascii="Arial"/>
                <w:sz w:val="21"/>
              </w:rPr>
            </w:pPr>
          </w:p>
        </w:tc>
        <w:tc>
          <w:tcPr>
            <w:tcW w:w="444" w:type="dxa"/>
            <w:vMerge w:val="continue"/>
            <w:tcBorders>
              <w:top w:val="nil"/>
              <w:bottom w:val="nil"/>
            </w:tcBorders>
            <w:vAlign w:val="top"/>
          </w:tcPr>
          <w:p w14:paraId="59821AC6">
            <w:pPr>
              <w:rPr>
                <w:rFonts w:ascii="Arial"/>
                <w:sz w:val="21"/>
              </w:rPr>
            </w:pPr>
          </w:p>
        </w:tc>
      </w:tr>
      <w:tr w14:paraId="47729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24" w:type="dxa"/>
            <w:vMerge w:val="continue"/>
            <w:tcBorders>
              <w:top w:val="nil"/>
              <w:bottom w:val="nil"/>
            </w:tcBorders>
            <w:vAlign w:val="top"/>
          </w:tcPr>
          <w:p w14:paraId="5B4266E9">
            <w:pPr>
              <w:rPr>
                <w:rFonts w:ascii="Arial"/>
                <w:sz w:val="21"/>
              </w:rPr>
            </w:pPr>
          </w:p>
        </w:tc>
        <w:tc>
          <w:tcPr>
            <w:tcW w:w="110" w:type="dxa"/>
            <w:vMerge w:val="continue"/>
            <w:tcBorders>
              <w:top w:val="nil"/>
              <w:bottom w:val="nil"/>
            </w:tcBorders>
            <w:vAlign w:val="top"/>
          </w:tcPr>
          <w:p w14:paraId="3174761D">
            <w:pPr>
              <w:rPr>
                <w:rFonts w:ascii="Arial"/>
                <w:sz w:val="21"/>
              </w:rPr>
            </w:pPr>
          </w:p>
        </w:tc>
        <w:tc>
          <w:tcPr>
            <w:tcW w:w="3966" w:type="dxa"/>
            <w:gridSpan w:val="2"/>
            <w:vAlign w:val="top"/>
          </w:tcPr>
          <w:p w14:paraId="67DF0D57">
            <w:pPr>
              <w:pStyle w:val="6"/>
              <w:spacing w:before="34" w:line="197" w:lineRule="auto"/>
              <w:ind w:left="1240"/>
              <w:rPr>
                <w:sz w:val="21"/>
                <w:szCs w:val="21"/>
              </w:rPr>
            </w:pPr>
            <w:r>
              <w:rPr>
                <w:spacing w:val="-2"/>
                <w:sz w:val="21"/>
                <w:szCs w:val="21"/>
              </w:rPr>
              <w:t>额定总装机容量</w:t>
            </w:r>
          </w:p>
        </w:tc>
        <w:tc>
          <w:tcPr>
            <w:tcW w:w="1139" w:type="dxa"/>
            <w:vAlign w:val="top"/>
          </w:tcPr>
          <w:p w14:paraId="4052D052">
            <w:pPr>
              <w:pStyle w:val="6"/>
              <w:spacing w:before="91" w:line="167" w:lineRule="exact"/>
              <w:ind w:left="454"/>
              <w:rPr>
                <w:sz w:val="21"/>
                <w:szCs w:val="21"/>
              </w:rPr>
            </w:pPr>
            <w:r>
              <w:rPr>
                <w:spacing w:val="-1"/>
                <w:position w:val="-2"/>
                <w:sz w:val="21"/>
                <w:szCs w:val="21"/>
              </w:rPr>
              <w:t>MW</w:t>
            </w:r>
          </w:p>
        </w:tc>
        <w:tc>
          <w:tcPr>
            <w:tcW w:w="1638" w:type="dxa"/>
            <w:vAlign w:val="top"/>
          </w:tcPr>
          <w:p w14:paraId="15E0E200">
            <w:pPr>
              <w:pStyle w:val="6"/>
              <w:spacing w:before="56" w:line="178" w:lineRule="auto"/>
              <w:ind w:left="656"/>
              <w:rPr>
                <w:sz w:val="21"/>
                <w:szCs w:val="21"/>
              </w:rPr>
            </w:pPr>
            <w:r>
              <w:rPr>
                <w:spacing w:val="-6"/>
                <w:sz w:val="21"/>
                <w:szCs w:val="21"/>
              </w:rPr>
              <w:t>135</w:t>
            </w:r>
          </w:p>
        </w:tc>
        <w:tc>
          <w:tcPr>
            <w:tcW w:w="1338" w:type="dxa"/>
            <w:vAlign w:val="top"/>
          </w:tcPr>
          <w:p w14:paraId="3A475420">
            <w:pPr>
              <w:rPr>
                <w:rFonts w:ascii="Arial"/>
                <w:sz w:val="21"/>
              </w:rPr>
            </w:pPr>
          </w:p>
        </w:tc>
        <w:tc>
          <w:tcPr>
            <w:tcW w:w="444" w:type="dxa"/>
            <w:vMerge w:val="continue"/>
            <w:tcBorders>
              <w:top w:val="nil"/>
              <w:bottom w:val="nil"/>
            </w:tcBorders>
            <w:vAlign w:val="top"/>
          </w:tcPr>
          <w:p w14:paraId="6AFC43B7">
            <w:pPr>
              <w:rPr>
                <w:rFonts w:ascii="Arial"/>
                <w:sz w:val="21"/>
              </w:rPr>
            </w:pPr>
          </w:p>
        </w:tc>
      </w:tr>
      <w:tr w14:paraId="5F16D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424" w:type="dxa"/>
            <w:vMerge w:val="continue"/>
            <w:tcBorders>
              <w:top w:val="nil"/>
              <w:bottom w:val="nil"/>
            </w:tcBorders>
            <w:vAlign w:val="top"/>
          </w:tcPr>
          <w:p w14:paraId="3D31882D">
            <w:pPr>
              <w:rPr>
                <w:rFonts w:ascii="Arial"/>
                <w:sz w:val="21"/>
              </w:rPr>
            </w:pPr>
          </w:p>
        </w:tc>
        <w:tc>
          <w:tcPr>
            <w:tcW w:w="110" w:type="dxa"/>
            <w:vMerge w:val="continue"/>
            <w:tcBorders>
              <w:top w:val="nil"/>
              <w:bottom w:val="nil"/>
            </w:tcBorders>
            <w:vAlign w:val="top"/>
          </w:tcPr>
          <w:p w14:paraId="6A6812E6">
            <w:pPr>
              <w:rPr>
                <w:rFonts w:ascii="Arial"/>
                <w:sz w:val="21"/>
              </w:rPr>
            </w:pPr>
          </w:p>
        </w:tc>
        <w:tc>
          <w:tcPr>
            <w:tcW w:w="1059" w:type="dxa"/>
            <w:vMerge w:val="restart"/>
            <w:tcBorders>
              <w:bottom w:val="nil"/>
            </w:tcBorders>
            <w:vAlign w:val="top"/>
          </w:tcPr>
          <w:p w14:paraId="574D00ED">
            <w:pPr>
              <w:spacing w:line="255" w:lineRule="auto"/>
              <w:rPr>
                <w:rFonts w:ascii="Arial"/>
                <w:sz w:val="21"/>
              </w:rPr>
            </w:pPr>
          </w:p>
          <w:p w14:paraId="63188C50">
            <w:pPr>
              <w:pStyle w:val="6"/>
              <w:spacing w:before="68" w:line="219" w:lineRule="auto"/>
              <w:ind w:left="90"/>
              <w:rPr>
                <w:sz w:val="21"/>
                <w:szCs w:val="21"/>
              </w:rPr>
            </w:pPr>
            <w:r>
              <w:rPr>
                <w:spacing w:val="-2"/>
                <w:sz w:val="21"/>
                <w:szCs w:val="21"/>
              </w:rPr>
              <w:t>光伏组件</w:t>
            </w:r>
          </w:p>
        </w:tc>
        <w:tc>
          <w:tcPr>
            <w:tcW w:w="2907" w:type="dxa"/>
            <w:vAlign w:val="top"/>
          </w:tcPr>
          <w:p w14:paraId="66B404AF">
            <w:pPr>
              <w:pStyle w:val="6"/>
              <w:spacing w:before="10" w:line="223" w:lineRule="auto"/>
              <w:ind w:left="1341" w:right="204" w:hanging="1160"/>
              <w:rPr>
                <w:sz w:val="21"/>
                <w:szCs w:val="21"/>
              </w:rPr>
            </w:pPr>
            <w:r>
              <w:rPr>
                <w:spacing w:val="-1"/>
                <w:sz w:val="21"/>
                <w:szCs w:val="21"/>
              </w:rPr>
              <w:t>630Wp双面单晶硅N型电池组</w:t>
            </w:r>
            <w:r>
              <w:rPr>
                <w:spacing w:val="4"/>
                <w:sz w:val="21"/>
                <w:szCs w:val="21"/>
              </w:rPr>
              <w:t xml:space="preserve"> </w:t>
            </w:r>
            <w:r>
              <w:rPr>
                <w:sz w:val="21"/>
                <w:szCs w:val="21"/>
              </w:rPr>
              <w:t>件</w:t>
            </w:r>
          </w:p>
        </w:tc>
        <w:tc>
          <w:tcPr>
            <w:tcW w:w="1139" w:type="dxa"/>
            <w:vAlign w:val="top"/>
          </w:tcPr>
          <w:p w14:paraId="13564ADE">
            <w:pPr>
              <w:pStyle w:val="6"/>
              <w:spacing w:before="167" w:line="220" w:lineRule="auto"/>
              <w:ind w:left="454"/>
              <w:rPr>
                <w:sz w:val="21"/>
                <w:szCs w:val="21"/>
              </w:rPr>
            </w:pPr>
            <w:r>
              <w:rPr>
                <w:sz w:val="21"/>
                <w:szCs w:val="21"/>
              </w:rPr>
              <w:t>块</w:t>
            </w:r>
          </w:p>
        </w:tc>
        <w:tc>
          <w:tcPr>
            <w:tcW w:w="1638" w:type="dxa"/>
            <w:vAlign w:val="top"/>
          </w:tcPr>
          <w:p w14:paraId="55B03779">
            <w:pPr>
              <w:pStyle w:val="6"/>
              <w:spacing w:before="187"/>
              <w:ind w:left="495"/>
              <w:rPr>
                <w:sz w:val="21"/>
                <w:szCs w:val="21"/>
              </w:rPr>
            </w:pPr>
            <w:r>
              <w:rPr>
                <w:spacing w:val="-2"/>
                <w:sz w:val="21"/>
                <w:szCs w:val="21"/>
              </w:rPr>
              <w:t>262184</w:t>
            </w:r>
          </w:p>
        </w:tc>
        <w:tc>
          <w:tcPr>
            <w:tcW w:w="1338" w:type="dxa"/>
            <w:vAlign w:val="top"/>
          </w:tcPr>
          <w:p w14:paraId="6D02B6AD">
            <w:pPr>
              <w:rPr>
                <w:rFonts w:ascii="Arial"/>
                <w:sz w:val="21"/>
              </w:rPr>
            </w:pPr>
          </w:p>
        </w:tc>
        <w:tc>
          <w:tcPr>
            <w:tcW w:w="444" w:type="dxa"/>
            <w:vMerge w:val="continue"/>
            <w:tcBorders>
              <w:top w:val="nil"/>
              <w:bottom w:val="nil"/>
            </w:tcBorders>
            <w:vAlign w:val="top"/>
          </w:tcPr>
          <w:p w14:paraId="5D9C2454">
            <w:pPr>
              <w:rPr>
                <w:rFonts w:ascii="Arial"/>
                <w:sz w:val="21"/>
              </w:rPr>
            </w:pPr>
          </w:p>
        </w:tc>
      </w:tr>
      <w:tr w14:paraId="172AC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24" w:type="dxa"/>
            <w:vMerge w:val="continue"/>
            <w:tcBorders>
              <w:top w:val="nil"/>
            </w:tcBorders>
            <w:vAlign w:val="top"/>
          </w:tcPr>
          <w:p w14:paraId="30698145">
            <w:pPr>
              <w:rPr>
                <w:rFonts w:ascii="Arial"/>
                <w:sz w:val="21"/>
              </w:rPr>
            </w:pPr>
          </w:p>
        </w:tc>
        <w:tc>
          <w:tcPr>
            <w:tcW w:w="110" w:type="dxa"/>
            <w:vMerge w:val="continue"/>
            <w:tcBorders>
              <w:top w:val="nil"/>
            </w:tcBorders>
            <w:vAlign w:val="top"/>
          </w:tcPr>
          <w:p w14:paraId="69736CE5">
            <w:pPr>
              <w:rPr>
                <w:rFonts w:ascii="Arial"/>
                <w:sz w:val="21"/>
              </w:rPr>
            </w:pPr>
          </w:p>
        </w:tc>
        <w:tc>
          <w:tcPr>
            <w:tcW w:w="1059" w:type="dxa"/>
            <w:vMerge w:val="continue"/>
            <w:tcBorders>
              <w:top w:val="nil"/>
            </w:tcBorders>
            <w:vAlign w:val="top"/>
          </w:tcPr>
          <w:p w14:paraId="4536334C">
            <w:pPr>
              <w:rPr>
                <w:rFonts w:ascii="Arial"/>
                <w:sz w:val="21"/>
              </w:rPr>
            </w:pPr>
          </w:p>
        </w:tc>
        <w:tc>
          <w:tcPr>
            <w:tcW w:w="2907" w:type="dxa"/>
            <w:vAlign w:val="top"/>
          </w:tcPr>
          <w:p w14:paraId="45B75D2D">
            <w:pPr>
              <w:pStyle w:val="6"/>
              <w:spacing w:before="58" w:line="207" w:lineRule="auto"/>
              <w:ind w:left="1021"/>
              <w:rPr>
                <w:sz w:val="21"/>
                <w:szCs w:val="21"/>
              </w:rPr>
            </w:pPr>
            <w:r>
              <w:rPr>
                <w:spacing w:val="2"/>
                <w:sz w:val="21"/>
                <w:szCs w:val="21"/>
              </w:rPr>
              <w:t>峰值功率</w:t>
            </w:r>
          </w:p>
        </w:tc>
        <w:tc>
          <w:tcPr>
            <w:tcW w:w="1139" w:type="dxa"/>
            <w:vAlign w:val="top"/>
          </w:tcPr>
          <w:p w14:paraId="5F2492BB">
            <w:pPr>
              <w:pStyle w:val="6"/>
              <w:spacing w:before="86" w:line="182" w:lineRule="auto"/>
              <w:ind w:left="454"/>
              <w:rPr>
                <w:sz w:val="21"/>
                <w:szCs w:val="21"/>
              </w:rPr>
            </w:pPr>
            <w:r>
              <w:rPr>
                <w:spacing w:val="-1"/>
                <w:sz w:val="21"/>
                <w:szCs w:val="21"/>
              </w:rPr>
              <w:t>Wp</w:t>
            </w:r>
          </w:p>
        </w:tc>
        <w:tc>
          <w:tcPr>
            <w:tcW w:w="1638" w:type="dxa"/>
            <w:vAlign w:val="top"/>
          </w:tcPr>
          <w:p w14:paraId="26474656">
            <w:pPr>
              <w:pStyle w:val="6"/>
              <w:spacing w:before="80" w:line="188" w:lineRule="auto"/>
              <w:ind w:left="656"/>
              <w:rPr>
                <w:sz w:val="21"/>
                <w:szCs w:val="21"/>
              </w:rPr>
            </w:pPr>
            <w:r>
              <w:rPr>
                <w:spacing w:val="-3"/>
                <w:sz w:val="21"/>
                <w:szCs w:val="21"/>
              </w:rPr>
              <w:t>580</w:t>
            </w:r>
          </w:p>
        </w:tc>
        <w:tc>
          <w:tcPr>
            <w:tcW w:w="1338" w:type="dxa"/>
            <w:vAlign w:val="top"/>
          </w:tcPr>
          <w:p w14:paraId="69090714">
            <w:pPr>
              <w:rPr>
                <w:rFonts w:ascii="Arial"/>
                <w:sz w:val="21"/>
              </w:rPr>
            </w:pPr>
          </w:p>
        </w:tc>
        <w:tc>
          <w:tcPr>
            <w:tcW w:w="444" w:type="dxa"/>
            <w:vMerge w:val="continue"/>
            <w:tcBorders>
              <w:top w:val="nil"/>
            </w:tcBorders>
            <w:vAlign w:val="top"/>
          </w:tcPr>
          <w:p w14:paraId="046571A1">
            <w:pPr>
              <w:rPr>
                <w:rFonts w:ascii="Arial"/>
                <w:sz w:val="21"/>
              </w:rPr>
            </w:pPr>
          </w:p>
        </w:tc>
      </w:tr>
    </w:tbl>
    <w:p w14:paraId="2E349E47">
      <w:pPr>
        <w:pStyle w:val="2"/>
      </w:pPr>
    </w:p>
    <w:p w14:paraId="69711069">
      <w:pPr>
        <w:sectPr>
          <w:footerReference r:id="rId50" w:type="default"/>
          <w:pgSz w:w="11910" w:h="16840"/>
          <w:pgMar w:top="1431" w:right="1435" w:bottom="1255" w:left="1405" w:header="0" w:footer="1093" w:gutter="0"/>
          <w:cols w:space="720" w:num="1"/>
        </w:sectPr>
      </w:pPr>
    </w:p>
    <w:p w14:paraId="3FF9D834">
      <w:pPr>
        <w:spacing w:line="93" w:lineRule="exact"/>
      </w:pPr>
    </w:p>
    <w:tbl>
      <w:tblPr>
        <w:tblStyle w:val="5"/>
        <w:tblW w:w="90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
        <w:gridCol w:w="110"/>
        <w:gridCol w:w="1039"/>
        <w:gridCol w:w="2897"/>
        <w:gridCol w:w="1159"/>
        <w:gridCol w:w="1638"/>
        <w:gridCol w:w="1308"/>
        <w:gridCol w:w="494"/>
      </w:tblGrid>
      <w:tr w14:paraId="3467B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34" w:type="dxa"/>
            <w:vMerge w:val="restart"/>
            <w:tcBorders>
              <w:bottom w:val="nil"/>
            </w:tcBorders>
            <w:vAlign w:val="top"/>
          </w:tcPr>
          <w:p w14:paraId="1D9980EC">
            <w:pPr>
              <w:rPr>
                <w:rFonts w:ascii="Arial"/>
                <w:sz w:val="21"/>
              </w:rPr>
            </w:pPr>
          </w:p>
        </w:tc>
        <w:tc>
          <w:tcPr>
            <w:tcW w:w="110" w:type="dxa"/>
            <w:tcBorders>
              <w:bottom w:val="nil"/>
            </w:tcBorders>
            <w:vAlign w:val="top"/>
          </w:tcPr>
          <w:p w14:paraId="352EFB01">
            <w:pPr>
              <w:rPr>
                <w:rFonts w:ascii="Arial"/>
                <w:sz w:val="21"/>
              </w:rPr>
            </w:pPr>
          </w:p>
        </w:tc>
        <w:tc>
          <w:tcPr>
            <w:tcW w:w="1039" w:type="dxa"/>
            <w:vMerge w:val="restart"/>
            <w:tcBorders>
              <w:bottom w:val="nil"/>
            </w:tcBorders>
            <w:vAlign w:val="top"/>
          </w:tcPr>
          <w:p w14:paraId="07E3901E">
            <w:pPr>
              <w:rPr>
                <w:rFonts w:ascii="Arial"/>
                <w:sz w:val="21"/>
              </w:rPr>
            </w:pPr>
          </w:p>
        </w:tc>
        <w:tc>
          <w:tcPr>
            <w:tcW w:w="2897" w:type="dxa"/>
            <w:vAlign w:val="top"/>
          </w:tcPr>
          <w:p w14:paraId="214D125C">
            <w:pPr>
              <w:pStyle w:val="6"/>
              <w:spacing w:before="33" w:line="190" w:lineRule="auto"/>
              <w:ind w:left="1111"/>
              <w:rPr>
                <w:sz w:val="22"/>
                <w:szCs w:val="22"/>
              </w:rPr>
            </w:pPr>
            <w:bookmarkStart w:id="3" w:name="bookmark9"/>
            <w:bookmarkEnd w:id="3"/>
            <w:r>
              <w:rPr>
                <w:spacing w:val="3"/>
                <w:sz w:val="22"/>
                <w:szCs w:val="22"/>
              </w:rPr>
              <w:t>组件长</w:t>
            </w:r>
          </w:p>
        </w:tc>
        <w:tc>
          <w:tcPr>
            <w:tcW w:w="1159" w:type="dxa"/>
            <w:vAlign w:val="top"/>
          </w:tcPr>
          <w:p w14:paraId="04E62BBA">
            <w:pPr>
              <w:pStyle w:val="6"/>
              <w:spacing w:before="86" w:line="214" w:lineRule="auto"/>
              <w:ind w:left="494"/>
              <w:rPr>
                <w:sz w:val="15"/>
                <w:szCs w:val="15"/>
              </w:rPr>
            </w:pPr>
            <w:r>
              <w:rPr>
                <w:spacing w:val="-1"/>
                <w:sz w:val="15"/>
                <w:szCs w:val="15"/>
              </w:rPr>
              <w:t>mm</w:t>
            </w:r>
          </w:p>
        </w:tc>
        <w:tc>
          <w:tcPr>
            <w:tcW w:w="1638" w:type="dxa"/>
            <w:vAlign w:val="top"/>
          </w:tcPr>
          <w:p w14:paraId="6BAB5A8E">
            <w:pPr>
              <w:pStyle w:val="6"/>
              <w:spacing w:before="56" w:line="171" w:lineRule="auto"/>
              <w:ind w:left="596"/>
              <w:rPr>
                <w:sz w:val="22"/>
                <w:szCs w:val="22"/>
              </w:rPr>
            </w:pPr>
            <w:r>
              <w:rPr>
                <w:spacing w:val="-3"/>
                <w:sz w:val="22"/>
                <w:szCs w:val="22"/>
              </w:rPr>
              <w:t>2278</w:t>
            </w:r>
          </w:p>
        </w:tc>
        <w:tc>
          <w:tcPr>
            <w:tcW w:w="1308" w:type="dxa"/>
            <w:vAlign w:val="top"/>
          </w:tcPr>
          <w:p w14:paraId="4154EE32">
            <w:pPr>
              <w:rPr>
                <w:rFonts w:ascii="Arial"/>
                <w:sz w:val="21"/>
              </w:rPr>
            </w:pPr>
          </w:p>
        </w:tc>
        <w:tc>
          <w:tcPr>
            <w:tcW w:w="494" w:type="dxa"/>
            <w:vMerge w:val="restart"/>
            <w:tcBorders>
              <w:bottom w:val="nil"/>
            </w:tcBorders>
            <w:vAlign w:val="top"/>
          </w:tcPr>
          <w:p w14:paraId="25D2B58D">
            <w:pPr>
              <w:rPr>
                <w:rFonts w:ascii="Arial"/>
                <w:sz w:val="21"/>
              </w:rPr>
            </w:pPr>
          </w:p>
        </w:tc>
      </w:tr>
      <w:tr w14:paraId="0A6E7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434" w:type="dxa"/>
            <w:vMerge w:val="continue"/>
            <w:tcBorders>
              <w:top w:val="nil"/>
              <w:bottom w:val="nil"/>
            </w:tcBorders>
            <w:vAlign w:val="top"/>
          </w:tcPr>
          <w:p w14:paraId="0A59A8CD">
            <w:pPr>
              <w:rPr>
                <w:rFonts w:ascii="Arial"/>
                <w:sz w:val="21"/>
              </w:rPr>
            </w:pPr>
          </w:p>
        </w:tc>
        <w:tc>
          <w:tcPr>
            <w:tcW w:w="110" w:type="dxa"/>
            <w:tcBorders>
              <w:top w:val="nil"/>
              <w:bottom w:val="nil"/>
            </w:tcBorders>
            <w:vAlign w:val="top"/>
          </w:tcPr>
          <w:p w14:paraId="06CF233D">
            <w:pPr>
              <w:rPr>
                <w:rFonts w:ascii="Arial"/>
                <w:sz w:val="21"/>
              </w:rPr>
            </w:pPr>
          </w:p>
        </w:tc>
        <w:tc>
          <w:tcPr>
            <w:tcW w:w="1039" w:type="dxa"/>
            <w:vMerge w:val="continue"/>
            <w:tcBorders>
              <w:top w:val="nil"/>
              <w:bottom w:val="nil"/>
            </w:tcBorders>
            <w:vAlign w:val="top"/>
          </w:tcPr>
          <w:p w14:paraId="78A8C8AB">
            <w:pPr>
              <w:rPr>
                <w:rFonts w:ascii="Arial"/>
                <w:sz w:val="21"/>
              </w:rPr>
            </w:pPr>
          </w:p>
        </w:tc>
        <w:tc>
          <w:tcPr>
            <w:tcW w:w="2897" w:type="dxa"/>
            <w:vAlign w:val="top"/>
          </w:tcPr>
          <w:p w14:paraId="0DAC65FF">
            <w:pPr>
              <w:pStyle w:val="6"/>
              <w:spacing w:before="53" w:line="195" w:lineRule="auto"/>
              <w:ind w:left="1111"/>
              <w:rPr>
                <w:sz w:val="22"/>
                <w:szCs w:val="22"/>
              </w:rPr>
            </w:pPr>
            <w:r>
              <w:rPr>
                <w:spacing w:val="5"/>
                <w:sz w:val="22"/>
                <w:szCs w:val="22"/>
              </w:rPr>
              <w:t>组件宽</w:t>
            </w:r>
          </w:p>
        </w:tc>
        <w:tc>
          <w:tcPr>
            <w:tcW w:w="1159" w:type="dxa"/>
            <w:vAlign w:val="top"/>
          </w:tcPr>
          <w:p w14:paraId="758C4F26">
            <w:pPr>
              <w:pStyle w:val="6"/>
              <w:spacing w:before="76" w:line="176" w:lineRule="auto"/>
              <w:ind w:left="465"/>
              <w:rPr>
                <w:sz w:val="22"/>
                <w:szCs w:val="22"/>
              </w:rPr>
            </w:pPr>
            <w:r>
              <w:rPr>
                <w:spacing w:val="-1"/>
                <w:sz w:val="22"/>
                <w:szCs w:val="22"/>
              </w:rPr>
              <w:t>mm</w:t>
            </w:r>
          </w:p>
        </w:tc>
        <w:tc>
          <w:tcPr>
            <w:tcW w:w="1638" w:type="dxa"/>
            <w:vAlign w:val="top"/>
          </w:tcPr>
          <w:p w14:paraId="278CCBAA">
            <w:pPr>
              <w:pStyle w:val="6"/>
              <w:spacing w:before="76" w:line="176" w:lineRule="auto"/>
              <w:ind w:left="596"/>
              <w:rPr>
                <w:sz w:val="22"/>
                <w:szCs w:val="22"/>
              </w:rPr>
            </w:pPr>
            <w:r>
              <w:rPr>
                <w:spacing w:val="-5"/>
                <w:sz w:val="22"/>
                <w:szCs w:val="22"/>
              </w:rPr>
              <w:t>1134</w:t>
            </w:r>
          </w:p>
        </w:tc>
        <w:tc>
          <w:tcPr>
            <w:tcW w:w="1308" w:type="dxa"/>
            <w:vAlign w:val="top"/>
          </w:tcPr>
          <w:p w14:paraId="684CCC9E">
            <w:pPr>
              <w:rPr>
                <w:rFonts w:ascii="Arial"/>
                <w:sz w:val="21"/>
              </w:rPr>
            </w:pPr>
          </w:p>
        </w:tc>
        <w:tc>
          <w:tcPr>
            <w:tcW w:w="494" w:type="dxa"/>
            <w:vMerge w:val="continue"/>
            <w:tcBorders>
              <w:top w:val="nil"/>
              <w:bottom w:val="nil"/>
            </w:tcBorders>
            <w:vAlign w:val="top"/>
          </w:tcPr>
          <w:p w14:paraId="4A282F15">
            <w:pPr>
              <w:rPr>
                <w:rFonts w:ascii="Arial"/>
                <w:sz w:val="21"/>
              </w:rPr>
            </w:pPr>
          </w:p>
        </w:tc>
      </w:tr>
      <w:tr w14:paraId="1C4BF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434" w:type="dxa"/>
            <w:vMerge w:val="continue"/>
            <w:tcBorders>
              <w:top w:val="nil"/>
              <w:bottom w:val="nil"/>
            </w:tcBorders>
            <w:vAlign w:val="top"/>
          </w:tcPr>
          <w:p w14:paraId="311BC2B2">
            <w:pPr>
              <w:rPr>
                <w:rFonts w:ascii="Arial"/>
                <w:sz w:val="21"/>
              </w:rPr>
            </w:pPr>
          </w:p>
        </w:tc>
        <w:tc>
          <w:tcPr>
            <w:tcW w:w="110" w:type="dxa"/>
            <w:tcBorders>
              <w:top w:val="nil"/>
              <w:bottom w:val="nil"/>
            </w:tcBorders>
            <w:vAlign w:val="top"/>
          </w:tcPr>
          <w:p w14:paraId="75515B1B">
            <w:pPr>
              <w:rPr>
                <w:rFonts w:ascii="Arial"/>
                <w:sz w:val="21"/>
              </w:rPr>
            </w:pPr>
          </w:p>
        </w:tc>
        <w:tc>
          <w:tcPr>
            <w:tcW w:w="1039" w:type="dxa"/>
            <w:vMerge w:val="continue"/>
            <w:tcBorders>
              <w:top w:val="nil"/>
              <w:bottom w:val="nil"/>
            </w:tcBorders>
            <w:vAlign w:val="top"/>
          </w:tcPr>
          <w:p w14:paraId="7B639AEC">
            <w:pPr>
              <w:rPr>
                <w:rFonts w:ascii="Arial"/>
                <w:sz w:val="21"/>
              </w:rPr>
            </w:pPr>
          </w:p>
        </w:tc>
        <w:tc>
          <w:tcPr>
            <w:tcW w:w="2897" w:type="dxa"/>
            <w:vAlign w:val="top"/>
          </w:tcPr>
          <w:p w14:paraId="0D763F90">
            <w:pPr>
              <w:pStyle w:val="6"/>
              <w:spacing w:before="47" w:line="200" w:lineRule="auto"/>
              <w:ind w:left="1111"/>
              <w:rPr>
                <w:sz w:val="22"/>
                <w:szCs w:val="22"/>
              </w:rPr>
            </w:pPr>
            <w:r>
              <w:rPr>
                <w:spacing w:val="3"/>
                <w:sz w:val="22"/>
                <w:szCs w:val="22"/>
              </w:rPr>
              <w:t>组件高</w:t>
            </w:r>
          </w:p>
        </w:tc>
        <w:tc>
          <w:tcPr>
            <w:tcW w:w="1159" w:type="dxa"/>
            <w:vAlign w:val="top"/>
          </w:tcPr>
          <w:p w14:paraId="459EBBCF">
            <w:pPr>
              <w:pStyle w:val="6"/>
              <w:spacing w:before="70" w:line="181" w:lineRule="auto"/>
              <w:ind w:left="465"/>
              <w:rPr>
                <w:sz w:val="22"/>
                <w:szCs w:val="22"/>
              </w:rPr>
            </w:pPr>
            <w:r>
              <w:rPr>
                <w:spacing w:val="-1"/>
                <w:sz w:val="22"/>
                <w:szCs w:val="22"/>
              </w:rPr>
              <w:t>mm</w:t>
            </w:r>
          </w:p>
        </w:tc>
        <w:tc>
          <w:tcPr>
            <w:tcW w:w="1638" w:type="dxa"/>
            <w:vAlign w:val="top"/>
          </w:tcPr>
          <w:p w14:paraId="425CFBBF">
            <w:pPr>
              <w:pStyle w:val="6"/>
              <w:spacing w:before="70" w:line="181" w:lineRule="auto"/>
              <w:ind w:left="705"/>
              <w:rPr>
                <w:sz w:val="22"/>
                <w:szCs w:val="22"/>
              </w:rPr>
            </w:pPr>
            <w:r>
              <w:rPr>
                <w:spacing w:val="-4"/>
                <w:sz w:val="22"/>
                <w:szCs w:val="22"/>
              </w:rPr>
              <w:t>35</w:t>
            </w:r>
          </w:p>
        </w:tc>
        <w:tc>
          <w:tcPr>
            <w:tcW w:w="1308" w:type="dxa"/>
            <w:vAlign w:val="top"/>
          </w:tcPr>
          <w:p w14:paraId="09AF0AE4">
            <w:pPr>
              <w:rPr>
                <w:rFonts w:ascii="Arial"/>
                <w:sz w:val="21"/>
              </w:rPr>
            </w:pPr>
          </w:p>
        </w:tc>
        <w:tc>
          <w:tcPr>
            <w:tcW w:w="494" w:type="dxa"/>
            <w:vMerge w:val="continue"/>
            <w:tcBorders>
              <w:top w:val="nil"/>
              <w:bottom w:val="nil"/>
            </w:tcBorders>
            <w:vAlign w:val="top"/>
          </w:tcPr>
          <w:p w14:paraId="43A9BB1B">
            <w:pPr>
              <w:rPr>
                <w:rFonts w:ascii="Arial"/>
                <w:sz w:val="21"/>
              </w:rPr>
            </w:pPr>
          </w:p>
        </w:tc>
      </w:tr>
      <w:tr w14:paraId="3D379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434" w:type="dxa"/>
            <w:vMerge w:val="continue"/>
            <w:tcBorders>
              <w:top w:val="nil"/>
              <w:bottom w:val="nil"/>
            </w:tcBorders>
            <w:vAlign w:val="top"/>
          </w:tcPr>
          <w:p w14:paraId="34A3071D">
            <w:pPr>
              <w:rPr>
                <w:rFonts w:ascii="Arial"/>
                <w:sz w:val="21"/>
              </w:rPr>
            </w:pPr>
          </w:p>
        </w:tc>
        <w:tc>
          <w:tcPr>
            <w:tcW w:w="110" w:type="dxa"/>
            <w:tcBorders>
              <w:top w:val="nil"/>
              <w:bottom w:val="nil"/>
            </w:tcBorders>
            <w:vAlign w:val="top"/>
          </w:tcPr>
          <w:p w14:paraId="7B0C0D73">
            <w:pPr>
              <w:rPr>
                <w:rFonts w:ascii="Arial"/>
                <w:sz w:val="21"/>
              </w:rPr>
            </w:pPr>
          </w:p>
        </w:tc>
        <w:tc>
          <w:tcPr>
            <w:tcW w:w="1039" w:type="dxa"/>
            <w:vMerge w:val="continue"/>
            <w:tcBorders>
              <w:top w:val="nil"/>
              <w:bottom w:val="nil"/>
            </w:tcBorders>
            <w:vAlign w:val="top"/>
          </w:tcPr>
          <w:p w14:paraId="4D1C3633">
            <w:pPr>
              <w:rPr>
                <w:rFonts w:ascii="Arial"/>
                <w:sz w:val="21"/>
              </w:rPr>
            </w:pPr>
          </w:p>
        </w:tc>
        <w:tc>
          <w:tcPr>
            <w:tcW w:w="2897" w:type="dxa"/>
            <w:vAlign w:val="top"/>
          </w:tcPr>
          <w:p w14:paraId="69AC9252">
            <w:pPr>
              <w:pStyle w:val="6"/>
              <w:spacing w:before="30" w:line="189" w:lineRule="auto"/>
              <w:ind w:left="451"/>
              <w:rPr>
                <w:sz w:val="22"/>
                <w:szCs w:val="22"/>
              </w:rPr>
            </w:pPr>
            <w:r>
              <w:rPr>
                <w:spacing w:val="1"/>
                <w:sz w:val="22"/>
                <w:szCs w:val="22"/>
              </w:rPr>
              <w:t>光伏组件的开路电压</w:t>
            </w:r>
          </w:p>
        </w:tc>
        <w:tc>
          <w:tcPr>
            <w:tcW w:w="1159" w:type="dxa"/>
            <w:vAlign w:val="top"/>
          </w:tcPr>
          <w:p w14:paraId="50334B7E">
            <w:pPr>
              <w:pStyle w:val="6"/>
              <w:spacing w:before="90" w:line="165" w:lineRule="exact"/>
              <w:ind w:left="514"/>
              <w:rPr>
                <w:sz w:val="22"/>
                <w:szCs w:val="22"/>
              </w:rPr>
            </w:pPr>
            <w:r>
              <w:rPr>
                <w:position w:val="-3"/>
                <w:sz w:val="22"/>
                <w:szCs w:val="22"/>
              </w:rPr>
              <w:t>V</w:t>
            </w:r>
          </w:p>
        </w:tc>
        <w:tc>
          <w:tcPr>
            <w:tcW w:w="1638" w:type="dxa"/>
            <w:vAlign w:val="top"/>
          </w:tcPr>
          <w:p w14:paraId="12D08770">
            <w:pPr>
              <w:pStyle w:val="6"/>
              <w:spacing w:before="53" w:line="170" w:lineRule="auto"/>
              <w:ind w:left="535"/>
              <w:rPr>
                <w:sz w:val="22"/>
                <w:szCs w:val="22"/>
              </w:rPr>
            </w:pPr>
            <w:r>
              <w:rPr>
                <w:spacing w:val="-3"/>
                <w:sz w:val="22"/>
                <w:szCs w:val="22"/>
              </w:rPr>
              <w:t>51.27</w:t>
            </w:r>
          </w:p>
        </w:tc>
        <w:tc>
          <w:tcPr>
            <w:tcW w:w="1308" w:type="dxa"/>
            <w:vAlign w:val="top"/>
          </w:tcPr>
          <w:p w14:paraId="1726F5E1">
            <w:pPr>
              <w:rPr>
                <w:rFonts w:ascii="Arial"/>
                <w:sz w:val="21"/>
              </w:rPr>
            </w:pPr>
          </w:p>
        </w:tc>
        <w:tc>
          <w:tcPr>
            <w:tcW w:w="494" w:type="dxa"/>
            <w:vMerge w:val="continue"/>
            <w:tcBorders>
              <w:top w:val="nil"/>
              <w:bottom w:val="nil"/>
            </w:tcBorders>
            <w:vAlign w:val="top"/>
          </w:tcPr>
          <w:p w14:paraId="6496CB54">
            <w:pPr>
              <w:rPr>
                <w:rFonts w:ascii="Arial"/>
                <w:sz w:val="21"/>
              </w:rPr>
            </w:pPr>
          </w:p>
        </w:tc>
      </w:tr>
      <w:tr w14:paraId="65E0C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34" w:type="dxa"/>
            <w:vMerge w:val="continue"/>
            <w:tcBorders>
              <w:top w:val="nil"/>
              <w:bottom w:val="nil"/>
            </w:tcBorders>
            <w:vAlign w:val="top"/>
          </w:tcPr>
          <w:p w14:paraId="3CDB0799">
            <w:pPr>
              <w:rPr>
                <w:rFonts w:ascii="Arial"/>
                <w:sz w:val="21"/>
              </w:rPr>
            </w:pPr>
          </w:p>
        </w:tc>
        <w:tc>
          <w:tcPr>
            <w:tcW w:w="110" w:type="dxa"/>
            <w:tcBorders>
              <w:top w:val="nil"/>
              <w:bottom w:val="nil"/>
            </w:tcBorders>
            <w:vAlign w:val="top"/>
          </w:tcPr>
          <w:p w14:paraId="4FEF4438">
            <w:pPr>
              <w:rPr>
                <w:rFonts w:ascii="Arial"/>
                <w:sz w:val="21"/>
              </w:rPr>
            </w:pPr>
          </w:p>
        </w:tc>
        <w:tc>
          <w:tcPr>
            <w:tcW w:w="1039" w:type="dxa"/>
            <w:vMerge w:val="continue"/>
            <w:tcBorders>
              <w:top w:val="nil"/>
              <w:bottom w:val="nil"/>
            </w:tcBorders>
            <w:vAlign w:val="top"/>
          </w:tcPr>
          <w:p w14:paraId="0932CC88">
            <w:pPr>
              <w:rPr>
                <w:rFonts w:ascii="Arial"/>
                <w:sz w:val="21"/>
              </w:rPr>
            </w:pPr>
          </w:p>
        </w:tc>
        <w:tc>
          <w:tcPr>
            <w:tcW w:w="2897" w:type="dxa"/>
            <w:vAlign w:val="top"/>
          </w:tcPr>
          <w:p w14:paraId="499B2D01">
            <w:pPr>
              <w:pStyle w:val="6"/>
              <w:spacing w:before="35" w:line="190" w:lineRule="auto"/>
              <w:ind w:left="451"/>
              <w:rPr>
                <w:sz w:val="22"/>
                <w:szCs w:val="22"/>
              </w:rPr>
            </w:pPr>
            <w:r>
              <w:rPr>
                <w:spacing w:val="1"/>
                <w:sz w:val="22"/>
                <w:szCs w:val="22"/>
              </w:rPr>
              <w:t>光伏组件的工作电压</w:t>
            </w:r>
          </w:p>
        </w:tc>
        <w:tc>
          <w:tcPr>
            <w:tcW w:w="1159" w:type="dxa"/>
            <w:vAlign w:val="top"/>
          </w:tcPr>
          <w:p w14:paraId="6281CF51">
            <w:pPr>
              <w:pStyle w:val="6"/>
              <w:spacing w:before="94" w:line="167" w:lineRule="exact"/>
              <w:ind w:left="514"/>
              <w:rPr>
                <w:sz w:val="22"/>
                <w:szCs w:val="22"/>
              </w:rPr>
            </w:pPr>
            <w:r>
              <w:rPr>
                <w:position w:val="-3"/>
                <w:sz w:val="22"/>
                <w:szCs w:val="22"/>
              </w:rPr>
              <w:t>V</w:t>
            </w:r>
          </w:p>
        </w:tc>
        <w:tc>
          <w:tcPr>
            <w:tcW w:w="1638" w:type="dxa"/>
            <w:vAlign w:val="top"/>
          </w:tcPr>
          <w:p w14:paraId="14BEDD20">
            <w:pPr>
              <w:pStyle w:val="6"/>
              <w:spacing w:before="58" w:line="171" w:lineRule="auto"/>
              <w:ind w:left="535"/>
              <w:rPr>
                <w:sz w:val="22"/>
                <w:szCs w:val="22"/>
              </w:rPr>
            </w:pPr>
            <w:r>
              <w:rPr>
                <w:spacing w:val="-2"/>
                <w:sz w:val="22"/>
                <w:szCs w:val="22"/>
              </w:rPr>
              <w:t>42.44</w:t>
            </w:r>
          </w:p>
        </w:tc>
        <w:tc>
          <w:tcPr>
            <w:tcW w:w="1308" w:type="dxa"/>
            <w:vAlign w:val="top"/>
          </w:tcPr>
          <w:p w14:paraId="33B3E07C">
            <w:pPr>
              <w:rPr>
                <w:rFonts w:ascii="Arial"/>
                <w:sz w:val="21"/>
              </w:rPr>
            </w:pPr>
          </w:p>
        </w:tc>
        <w:tc>
          <w:tcPr>
            <w:tcW w:w="494" w:type="dxa"/>
            <w:vMerge w:val="continue"/>
            <w:tcBorders>
              <w:top w:val="nil"/>
              <w:bottom w:val="nil"/>
            </w:tcBorders>
            <w:vAlign w:val="top"/>
          </w:tcPr>
          <w:p w14:paraId="53118D02">
            <w:pPr>
              <w:rPr>
                <w:rFonts w:ascii="Arial"/>
                <w:sz w:val="21"/>
              </w:rPr>
            </w:pPr>
          </w:p>
        </w:tc>
      </w:tr>
      <w:tr w14:paraId="49204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434" w:type="dxa"/>
            <w:vMerge w:val="continue"/>
            <w:tcBorders>
              <w:top w:val="nil"/>
              <w:bottom w:val="nil"/>
            </w:tcBorders>
            <w:vAlign w:val="top"/>
          </w:tcPr>
          <w:p w14:paraId="759B4669">
            <w:pPr>
              <w:rPr>
                <w:rFonts w:ascii="Arial"/>
                <w:sz w:val="21"/>
              </w:rPr>
            </w:pPr>
          </w:p>
        </w:tc>
        <w:tc>
          <w:tcPr>
            <w:tcW w:w="110" w:type="dxa"/>
            <w:tcBorders>
              <w:top w:val="nil"/>
              <w:bottom w:val="nil"/>
            </w:tcBorders>
            <w:vAlign w:val="top"/>
          </w:tcPr>
          <w:p w14:paraId="25F3FE8E">
            <w:pPr>
              <w:rPr>
                <w:rFonts w:ascii="Arial"/>
                <w:sz w:val="21"/>
              </w:rPr>
            </w:pPr>
          </w:p>
        </w:tc>
        <w:tc>
          <w:tcPr>
            <w:tcW w:w="1039" w:type="dxa"/>
            <w:vMerge w:val="continue"/>
            <w:tcBorders>
              <w:top w:val="nil"/>
              <w:bottom w:val="nil"/>
            </w:tcBorders>
            <w:vAlign w:val="top"/>
          </w:tcPr>
          <w:p w14:paraId="0C58A06B">
            <w:pPr>
              <w:rPr>
                <w:rFonts w:ascii="Arial"/>
                <w:sz w:val="21"/>
              </w:rPr>
            </w:pPr>
          </w:p>
        </w:tc>
        <w:tc>
          <w:tcPr>
            <w:tcW w:w="2897" w:type="dxa"/>
            <w:vAlign w:val="top"/>
          </w:tcPr>
          <w:p w14:paraId="428ADA31">
            <w:pPr>
              <w:pStyle w:val="6"/>
              <w:spacing w:before="33" w:line="187" w:lineRule="auto"/>
              <w:ind w:left="11"/>
              <w:rPr>
                <w:sz w:val="22"/>
                <w:szCs w:val="22"/>
              </w:rPr>
            </w:pPr>
            <w:r>
              <w:rPr>
                <w:spacing w:val="-1"/>
                <w:sz w:val="22"/>
                <w:szCs w:val="22"/>
              </w:rPr>
              <w:t>光伏组件的开路电压温度系数</w:t>
            </w:r>
          </w:p>
        </w:tc>
        <w:tc>
          <w:tcPr>
            <w:tcW w:w="1159" w:type="dxa"/>
            <w:vAlign w:val="top"/>
          </w:tcPr>
          <w:p w14:paraId="7EF68CD9">
            <w:pPr>
              <w:pStyle w:val="6"/>
              <w:spacing w:before="40" w:line="181" w:lineRule="auto"/>
              <w:ind w:left="354"/>
              <w:rPr>
                <w:sz w:val="22"/>
                <w:szCs w:val="22"/>
              </w:rPr>
            </w:pPr>
            <w:r>
              <w:rPr>
                <w:spacing w:val="-1"/>
                <w:sz w:val="22"/>
                <w:szCs w:val="22"/>
              </w:rPr>
              <w:t>%/℃</w:t>
            </w:r>
          </w:p>
        </w:tc>
        <w:tc>
          <w:tcPr>
            <w:tcW w:w="1638" w:type="dxa"/>
            <w:vAlign w:val="top"/>
          </w:tcPr>
          <w:p w14:paraId="3636EA20">
            <w:pPr>
              <w:pStyle w:val="6"/>
              <w:spacing w:before="55" w:line="168" w:lineRule="auto"/>
              <w:ind w:left="535"/>
              <w:rPr>
                <w:sz w:val="22"/>
                <w:szCs w:val="22"/>
              </w:rPr>
            </w:pPr>
            <w:r>
              <w:rPr>
                <w:spacing w:val="-2"/>
                <w:sz w:val="22"/>
                <w:szCs w:val="22"/>
              </w:rPr>
              <w:t>-0.25</w:t>
            </w:r>
          </w:p>
        </w:tc>
        <w:tc>
          <w:tcPr>
            <w:tcW w:w="1308" w:type="dxa"/>
            <w:vAlign w:val="top"/>
          </w:tcPr>
          <w:p w14:paraId="30E51166">
            <w:pPr>
              <w:rPr>
                <w:rFonts w:ascii="Arial"/>
                <w:sz w:val="21"/>
              </w:rPr>
            </w:pPr>
          </w:p>
        </w:tc>
        <w:tc>
          <w:tcPr>
            <w:tcW w:w="494" w:type="dxa"/>
            <w:vMerge w:val="continue"/>
            <w:tcBorders>
              <w:top w:val="nil"/>
              <w:bottom w:val="nil"/>
            </w:tcBorders>
            <w:vAlign w:val="top"/>
          </w:tcPr>
          <w:p w14:paraId="206E925D">
            <w:pPr>
              <w:rPr>
                <w:rFonts w:ascii="Arial"/>
                <w:sz w:val="21"/>
              </w:rPr>
            </w:pPr>
          </w:p>
        </w:tc>
      </w:tr>
      <w:tr w14:paraId="659E6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34" w:type="dxa"/>
            <w:vMerge w:val="continue"/>
            <w:tcBorders>
              <w:top w:val="nil"/>
              <w:bottom w:val="nil"/>
            </w:tcBorders>
            <w:vAlign w:val="top"/>
          </w:tcPr>
          <w:p w14:paraId="1E7328A2">
            <w:pPr>
              <w:rPr>
                <w:rFonts w:ascii="Arial"/>
                <w:sz w:val="21"/>
              </w:rPr>
            </w:pPr>
          </w:p>
        </w:tc>
        <w:tc>
          <w:tcPr>
            <w:tcW w:w="110" w:type="dxa"/>
            <w:tcBorders>
              <w:top w:val="nil"/>
              <w:bottom w:val="nil"/>
            </w:tcBorders>
            <w:vAlign w:val="top"/>
          </w:tcPr>
          <w:p w14:paraId="06298ECE">
            <w:pPr>
              <w:rPr>
                <w:rFonts w:ascii="Arial"/>
                <w:sz w:val="21"/>
              </w:rPr>
            </w:pPr>
          </w:p>
        </w:tc>
        <w:tc>
          <w:tcPr>
            <w:tcW w:w="1039" w:type="dxa"/>
            <w:vMerge w:val="continue"/>
            <w:tcBorders>
              <w:top w:val="nil"/>
              <w:bottom w:val="nil"/>
            </w:tcBorders>
            <w:vAlign w:val="top"/>
          </w:tcPr>
          <w:p w14:paraId="55C3B6DE">
            <w:pPr>
              <w:rPr>
                <w:rFonts w:ascii="Arial"/>
                <w:sz w:val="21"/>
              </w:rPr>
            </w:pPr>
          </w:p>
        </w:tc>
        <w:tc>
          <w:tcPr>
            <w:tcW w:w="2897" w:type="dxa"/>
            <w:vAlign w:val="top"/>
          </w:tcPr>
          <w:p w14:paraId="297A51A4">
            <w:pPr>
              <w:pStyle w:val="6"/>
              <w:spacing w:before="66" w:line="204" w:lineRule="auto"/>
              <w:ind w:left="11"/>
              <w:rPr>
                <w:sz w:val="22"/>
                <w:szCs w:val="22"/>
              </w:rPr>
            </w:pPr>
            <w:r>
              <w:rPr>
                <w:spacing w:val="-1"/>
                <w:sz w:val="22"/>
                <w:szCs w:val="22"/>
              </w:rPr>
              <w:t>光伏组件的工作电压温度系数</w:t>
            </w:r>
          </w:p>
        </w:tc>
        <w:tc>
          <w:tcPr>
            <w:tcW w:w="1159" w:type="dxa"/>
            <w:vAlign w:val="top"/>
          </w:tcPr>
          <w:p w14:paraId="51686F08">
            <w:pPr>
              <w:pStyle w:val="6"/>
              <w:spacing w:before="74" w:line="198" w:lineRule="auto"/>
              <w:ind w:left="354"/>
              <w:rPr>
                <w:sz w:val="22"/>
                <w:szCs w:val="22"/>
              </w:rPr>
            </w:pPr>
            <w:r>
              <w:rPr>
                <w:spacing w:val="-1"/>
                <w:sz w:val="22"/>
                <w:szCs w:val="22"/>
              </w:rPr>
              <w:t>%/℃</w:t>
            </w:r>
          </w:p>
        </w:tc>
        <w:tc>
          <w:tcPr>
            <w:tcW w:w="1638" w:type="dxa"/>
            <w:vAlign w:val="top"/>
          </w:tcPr>
          <w:p w14:paraId="5339CBF8">
            <w:pPr>
              <w:pStyle w:val="6"/>
              <w:spacing w:before="89" w:line="185" w:lineRule="auto"/>
              <w:ind w:left="535"/>
              <w:rPr>
                <w:sz w:val="22"/>
                <w:szCs w:val="22"/>
              </w:rPr>
            </w:pPr>
            <w:r>
              <w:rPr>
                <w:spacing w:val="-2"/>
                <w:sz w:val="22"/>
                <w:szCs w:val="22"/>
              </w:rPr>
              <w:t>-0.29</w:t>
            </w:r>
          </w:p>
        </w:tc>
        <w:tc>
          <w:tcPr>
            <w:tcW w:w="1308" w:type="dxa"/>
            <w:vAlign w:val="top"/>
          </w:tcPr>
          <w:p w14:paraId="461254B2">
            <w:pPr>
              <w:rPr>
                <w:rFonts w:ascii="Arial"/>
                <w:sz w:val="21"/>
              </w:rPr>
            </w:pPr>
          </w:p>
        </w:tc>
        <w:tc>
          <w:tcPr>
            <w:tcW w:w="494" w:type="dxa"/>
            <w:vMerge w:val="continue"/>
            <w:tcBorders>
              <w:top w:val="nil"/>
              <w:bottom w:val="nil"/>
            </w:tcBorders>
            <w:vAlign w:val="top"/>
          </w:tcPr>
          <w:p w14:paraId="5AD10489">
            <w:pPr>
              <w:rPr>
                <w:rFonts w:ascii="Arial"/>
                <w:sz w:val="21"/>
              </w:rPr>
            </w:pPr>
          </w:p>
        </w:tc>
      </w:tr>
      <w:tr w14:paraId="3514F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434" w:type="dxa"/>
            <w:vMerge w:val="continue"/>
            <w:tcBorders>
              <w:top w:val="nil"/>
              <w:bottom w:val="nil"/>
            </w:tcBorders>
            <w:vAlign w:val="top"/>
          </w:tcPr>
          <w:p w14:paraId="75405806">
            <w:pPr>
              <w:rPr>
                <w:rFonts w:ascii="Arial"/>
                <w:sz w:val="21"/>
              </w:rPr>
            </w:pPr>
          </w:p>
        </w:tc>
        <w:tc>
          <w:tcPr>
            <w:tcW w:w="110" w:type="dxa"/>
            <w:tcBorders>
              <w:top w:val="nil"/>
              <w:bottom w:val="nil"/>
            </w:tcBorders>
            <w:vAlign w:val="top"/>
          </w:tcPr>
          <w:p w14:paraId="56ABDEC9">
            <w:pPr>
              <w:rPr>
                <w:rFonts w:ascii="Arial"/>
                <w:sz w:val="21"/>
              </w:rPr>
            </w:pPr>
          </w:p>
        </w:tc>
        <w:tc>
          <w:tcPr>
            <w:tcW w:w="1039" w:type="dxa"/>
            <w:vMerge w:val="continue"/>
            <w:tcBorders>
              <w:top w:val="nil"/>
              <w:bottom w:val="nil"/>
            </w:tcBorders>
            <w:vAlign w:val="top"/>
          </w:tcPr>
          <w:p w14:paraId="1DF5952A">
            <w:pPr>
              <w:rPr>
                <w:rFonts w:ascii="Arial"/>
                <w:sz w:val="21"/>
              </w:rPr>
            </w:pPr>
          </w:p>
        </w:tc>
        <w:tc>
          <w:tcPr>
            <w:tcW w:w="2897" w:type="dxa"/>
            <w:vAlign w:val="top"/>
          </w:tcPr>
          <w:p w14:paraId="125CE624">
            <w:pPr>
              <w:pStyle w:val="6"/>
              <w:spacing w:before="67" w:line="187" w:lineRule="auto"/>
              <w:ind w:left="1330" w:hanging="1319"/>
              <w:rPr>
                <w:sz w:val="22"/>
                <w:szCs w:val="22"/>
              </w:rPr>
            </w:pPr>
            <w:r>
              <w:rPr>
                <w:spacing w:val="1"/>
                <w:sz w:val="22"/>
                <w:szCs w:val="22"/>
              </w:rPr>
              <w:t>光伏组件工作条件下的极限低</w:t>
            </w:r>
            <w:r>
              <w:rPr>
                <w:sz w:val="22"/>
                <w:szCs w:val="22"/>
              </w:rPr>
              <w:t xml:space="preserve"> 温</w:t>
            </w:r>
          </w:p>
        </w:tc>
        <w:tc>
          <w:tcPr>
            <w:tcW w:w="1159" w:type="dxa"/>
            <w:vAlign w:val="top"/>
          </w:tcPr>
          <w:p w14:paraId="570D1881">
            <w:pPr>
              <w:pStyle w:val="6"/>
              <w:spacing w:before="189" w:line="237" w:lineRule="auto"/>
              <w:ind w:left="465"/>
              <w:rPr>
                <w:sz w:val="22"/>
                <w:szCs w:val="22"/>
              </w:rPr>
            </w:pPr>
            <w:r>
              <w:rPr>
                <w:sz w:val="22"/>
                <w:szCs w:val="22"/>
              </w:rPr>
              <w:t>℃</w:t>
            </w:r>
          </w:p>
        </w:tc>
        <w:tc>
          <w:tcPr>
            <w:tcW w:w="1638" w:type="dxa"/>
            <w:vAlign w:val="top"/>
          </w:tcPr>
          <w:p w14:paraId="0C8E09A4">
            <w:pPr>
              <w:pStyle w:val="6"/>
              <w:spacing w:before="189"/>
              <w:ind w:left="646"/>
              <w:rPr>
                <w:sz w:val="22"/>
                <w:szCs w:val="22"/>
              </w:rPr>
            </w:pPr>
            <w:r>
              <w:rPr>
                <w:spacing w:val="-2"/>
                <w:sz w:val="22"/>
                <w:szCs w:val="22"/>
              </w:rPr>
              <w:t>-40</w:t>
            </w:r>
          </w:p>
        </w:tc>
        <w:tc>
          <w:tcPr>
            <w:tcW w:w="1308" w:type="dxa"/>
            <w:vAlign w:val="top"/>
          </w:tcPr>
          <w:p w14:paraId="304BBBF1">
            <w:pPr>
              <w:rPr>
                <w:rFonts w:ascii="Arial"/>
                <w:sz w:val="21"/>
              </w:rPr>
            </w:pPr>
          </w:p>
        </w:tc>
        <w:tc>
          <w:tcPr>
            <w:tcW w:w="494" w:type="dxa"/>
            <w:vMerge w:val="continue"/>
            <w:tcBorders>
              <w:top w:val="nil"/>
              <w:bottom w:val="nil"/>
            </w:tcBorders>
            <w:vAlign w:val="top"/>
          </w:tcPr>
          <w:p w14:paraId="79C82B97">
            <w:pPr>
              <w:rPr>
                <w:rFonts w:ascii="Arial"/>
                <w:sz w:val="21"/>
              </w:rPr>
            </w:pPr>
          </w:p>
        </w:tc>
      </w:tr>
      <w:tr w14:paraId="6C8FE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434" w:type="dxa"/>
            <w:vMerge w:val="continue"/>
            <w:tcBorders>
              <w:top w:val="nil"/>
              <w:bottom w:val="nil"/>
            </w:tcBorders>
            <w:vAlign w:val="top"/>
          </w:tcPr>
          <w:p w14:paraId="1EA9AFBD">
            <w:pPr>
              <w:rPr>
                <w:rFonts w:ascii="Arial"/>
                <w:sz w:val="21"/>
              </w:rPr>
            </w:pPr>
          </w:p>
        </w:tc>
        <w:tc>
          <w:tcPr>
            <w:tcW w:w="110" w:type="dxa"/>
            <w:tcBorders>
              <w:top w:val="nil"/>
              <w:bottom w:val="nil"/>
            </w:tcBorders>
            <w:vAlign w:val="top"/>
          </w:tcPr>
          <w:p w14:paraId="6CEC52E2">
            <w:pPr>
              <w:rPr>
                <w:rFonts w:ascii="Arial"/>
                <w:sz w:val="21"/>
              </w:rPr>
            </w:pPr>
          </w:p>
        </w:tc>
        <w:tc>
          <w:tcPr>
            <w:tcW w:w="1039" w:type="dxa"/>
            <w:vMerge w:val="continue"/>
            <w:tcBorders>
              <w:top w:val="nil"/>
              <w:bottom w:val="nil"/>
            </w:tcBorders>
            <w:vAlign w:val="top"/>
          </w:tcPr>
          <w:p w14:paraId="43FF354F">
            <w:pPr>
              <w:rPr>
                <w:rFonts w:ascii="Arial"/>
                <w:sz w:val="21"/>
              </w:rPr>
            </w:pPr>
          </w:p>
        </w:tc>
        <w:tc>
          <w:tcPr>
            <w:tcW w:w="2897" w:type="dxa"/>
            <w:vAlign w:val="top"/>
          </w:tcPr>
          <w:p w14:paraId="64BFF064">
            <w:pPr>
              <w:pStyle w:val="6"/>
              <w:spacing w:before="63" w:line="192" w:lineRule="auto"/>
              <w:ind w:left="1330" w:right="25" w:hanging="1319"/>
              <w:rPr>
                <w:sz w:val="22"/>
                <w:szCs w:val="22"/>
              </w:rPr>
            </w:pPr>
            <w:r>
              <w:rPr>
                <w:spacing w:val="-1"/>
                <w:sz w:val="22"/>
                <w:szCs w:val="22"/>
              </w:rPr>
              <w:t>光伏组件工作条件下的极限高</w:t>
            </w:r>
            <w:r>
              <w:rPr>
                <w:spacing w:val="1"/>
                <w:sz w:val="22"/>
                <w:szCs w:val="22"/>
              </w:rPr>
              <w:t xml:space="preserve"> </w:t>
            </w:r>
            <w:r>
              <w:rPr>
                <w:sz w:val="22"/>
                <w:szCs w:val="22"/>
              </w:rPr>
              <w:t>温</w:t>
            </w:r>
          </w:p>
        </w:tc>
        <w:tc>
          <w:tcPr>
            <w:tcW w:w="1159" w:type="dxa"/>
            <w:vAlign w:val="top"/>
          </w:tcPr>
          <w:p w14:paraId="1CE93B23">
            <w:pPr>
              <w:pStyle w:val="6"/>
              <w:spacing w:before="196" w:line="237" w:lineRule="auto"/>
              <w:ind w:left="465"/>
              <w:rPr>
                <w:sz w:val="22"/>
                <w:szCs w:val="22"/>
              </w:rPr>
            </w:pPr>
            <w:r>
              <w:rPr>
                <w:sz w:val="22"/>
                <w:szCs w:val="22"/>
              </w:rPr>
              <w:t>℃</w:t>
            </w:r>
          </w:p>
        </w:tc>
        <w:tc>
          <w:tcPr>
            <w:tcW w:w="1638" w:type="dxa"/>
            <w:vAlign w:val="top"/>
          </w:tcPr>
          <w:p w14:paraId="64E4AF30">
            <w:pPr>
              <w:pStyle w:val="6"/>
              <w:spacing w:before="196"/>
              <w:ind w:left="705"/>
              <w:rPr>
                <w:sz w:val="22"/>
                <w:szCs w:val="22"/>
              </w:rPr>
            </w:pPr>
            <w:r>
              <w:rPr>
                <w:spacing w:val="-3"/>
                <w:sz w:val="22"/>
                <w:szCs w:val="22"/>
              </w:rPr>
              <w:t>85</w:t>
            </w:r>
          </w:p>
        </w:tc>
        <w:tc>
          <w:tcPr>
            <w:tcW w:w="1308" w:type="dxa"/>
            <w:vAlign w:val="top"/>
          </w:tcPr>
          <w:p w14:paraId="50A6B2ED">
            <w:pPr>
              <w:rPr>
                <w:rFonts w:ascii="Arial"/>
                <w:sz w:val="21"/>
              </w:rPr>
            </w:pPr>
          </w:p>
        </w:tc>
        <w:tc>
          <w:tcPr>
            <w:tcW w:w="494" w:type="dxa"/>
            <w:vMerge w:val="continue"/>
            <w:tcBorders>
              <w:top w:val="nil"/>
              <w:bottom w:val="nil"/>
            </w:tcBorders>
            <w:vAlign w:val="top"/>
          </w:tcPr>
          <w:p w14:paraId="676323AC">
            <w:pPr>
              <w:rPr>
                <w:rFonts w:ascii="Arial"/>
                <w:sz w:val="21"/>
              </w:rPr>
            </w:pPr>
          </w:p>
        </w:tc>
      </w:tr>
      <w:tr w14:paraId="7A3AB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34" w:type="dxa"/>
            <w:vMerge w:val="continue"/>
            <w:tcBorders>
              <w:top w:val="nil"/>
              <w:bottom w:val="nil"/>
            </w:tcBorders>
            <w:vAlign w:val="top"/>
          </w:tcPr>
          <w:p w14:paraId="117F073A">
            <w:pPr>
              <w:rPr>
                <w:rFonts w:ascii="Arial"/>
                <w:sz w:val="21"/>
              </w:rPr>
            </w:pPr>
          </w:p>
        </w:tc>
        <w:tc>
          <w:tcPr>
            <w:tcW w:w="110" w:type="dxa"/>
            <w:tcBorders>
              <w:top w:val="nil"/>
              <w:bottom w:val="nil"/>
            </w:tcBorders>
            <w:vAlign w:val="top"/>
          </w:tcPr>
          <w:p w14:paraId="55091D29">
            <w:pPr>
              <w:spacing w:line="240" w:lineRule="exact"/>
              <w:rPr>
                <w:rFonts w:ascii="Arial"/>
                <w:sz w:val="20"/>
              </w:rPr>
            </w:pPr>
          </w:p>
        </w:tc>
        <w:tc>
          <w:tcPr>
            <w:tcW w:w="1039" w:type="dxa"/>
            <w:vMerge w:val="continue"/>
            <w:tcBorders>
              <w:top w:val="nil"/>
              <w:bottom w:val="nil"/>
            </w:tcBorders>
            <w:vAlign w:val="top"/>
          </w:tcPr>
          <w:p w14:paraId="45797B42">
            <w:pPr>
              <w:rPr>
                <w:rFonts w:ascii="Arial"/>
                <w:sz w:val="21"/>
              </w:rPr>
            </w:pPr>
          </w:p>
        </w:tc>
        <w:tc>
          <w:tcPr>
            <w:tcW w:w="2897" w:type="dxa"/>
            <w:vAlign w:val="top"/>
          </w:tcPr>
          <w:p w14:paraId="3A19871A">
            <w:pPr>
              <w:pStyle w:val="6"/>
              <w:spacing w:before="33" w:line="173" w:lineRule="auto"/>
              <w:ind w:left="1001"/>
              <w:rPr>
                <w:sz w:val="22"/>
                <w:szCs w:val="22"/>
              </w:rPr>
            </w:pPr>
            <w:r>
              <w:rPr>
                <w:spacing w:val="-3"/>
                <w:sz w:val="22"/>
                <w:szCs w:val="22"/>
              </w:rPr>
              <w:t>组件重量</w:t>
            </w:r>
          </w:p>
        </w:tc>
        <w:tc>
          <w:tcPr>
            <w:tcW w:w="1159" w:type="dxa"/>
            <w:vAlign w:val="top"/>
          </w:tcPr>
          <w:p w14:paraId="41825106">
            <w:pPr>
              <w:pStyle w:val="6"/>
              <w:spacing w:before="26" w:line="179" w:lineRule="auto"/>
              <w:ind w:left="465"/>
              <w:rPr>
                <w:sz w:val="22"/>
                <w:szCs w:val="22"/>
              </w:rPr>
            </w:pPr>
            <w:r>
              <w:rPr>
                <w:spacing w:val="-2"/>
                <w:sz w:val="22"/>
                <w:szCs w:val="22"/>
              </w:rPr>
              <w:t>kg</w:t>
            </w:r>
          </w:p>
        </w:tc>
        <w:tc>
          <w:tcPr>
            <w:tcW w:w="1638" w:type="dxa"/>
            <w:vAlign w:val="top"/>
          </w:tcPr>
          <w:p w14:paraId="25838CEE">
            <w:pPr>
              <w:pStyle w:val="6"/>
              <w:spacing w:before="55" w:line="185" w:lineRule="exact"/>
              <w:ind w:left="705"/>
              <w:rPr>
                <w:sz w:val="22"/>
                <w:szCs w:val="22"/>
              </w:rPr>
            </w:pPr>
            <w:r>
              <w:rPr>
                <w:spacing w:val="-4"/>
                <w:position w:val="-2"/>
                <w:sz w:val="22"/>
                <w:szCs w:val="22"/>
              </w:rPr>
              <w:t>32</w:t>
            </w:r>
          </w:p>
        </w:tc>
        <w:tc>
          <w:tcPr>
            <w:tcW w:w="1308" w:type="dxa"/>
            <w:vAlign w:val="top"/>
          </w:tcPr>
          <w:p w14:paraId="6C05C080">
            <w:pPr>
              <w:spacing w:line="240" w:lineRule="exact"/>
              <w:rPr>
                <w:rFonts w:ascii="Arial"/>
                <w:sz w:val="20"/>
              </w:rPr>
            </w:pPr>
          </w:p>
        </w:tc>
        <w:tc>
          <w:tcPr>
            <w:tcW w:w="494" w:type="dxa"/>
            <w:vMerge w:val="continue"/>
            <w:tcBorders>
              <w:top w:val="nil"/>
              <w:bottom w:val="nil"/>
            </w:tcBorders>
            <w:vAlign w:val="top"/>
          </w:tcPr>
          <w:p w14:paraId="701C90AB">
            <w:pPr>
              <w:rPr>
                <w:rFonts w:ascii="Arial"/>
                <w:sz w:val="21"/>
              </w:rPr>
            </w:pPr>
          </w:p>
        </w:tc>
      </w:tr>
      <w:tr w14:paraId="5FDB8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34" w:type="dxa"/>
            <w:vMerge w:val="continue"/>
            <w:tcBorders>
              <w:top w:val="nil"/>
              <w:bottom w:val="nil"/>
            </w:tcBorders>
            <w:vAlign w:val="top"/>
          </w:tcPr>
          <w:p w14:paraId="2EEF3421">
            <w:pPr>
              <w:rPr>
                <w:rFonts w:ascii="Arial"/>
                <w:sz w:val="21"/>
              </w:rPr>
            </w:pPr>
          </w:p>
        </w:tc>
        <w:tc>
          <w:tcPr>
            <w:tcW w:w="110" w:type="dxa"/>
            <w:tcBorders>
              <w:top w:val="nil"/>
              <w:bottom w:val="nil"/>
            </w:tcBorders>
            <w:vAlign w:val="top"/>
          </w:tcPr>
          <w:p w14:paraId="17BD4173">
            <w:pPr>
              <w:rPr>
                <w:rFonts w:ascii="Arial"/>
                <w:sz w:val="21"/>
              </w:rPr>
            </w:pPr>
          </w:p>
        </w:tc>
        <w:tc>
          <w:tcPr>
            <w:tcW w:w="1039" w:type="dxa"/>
            <w:vMerge w:val="continue"/>
            <w:tcBorders>
              <w:top w:val="nil"/>
              <w:bottom w:val="nil"/>
            </w:tcBorders>
            <w:vAlign w:val="top"/>
          </w:tcPr>
          <w:p w14:paraId="18858FF8">
            <w:pPr>
              <w:rPr>
                <w:rFonts w:ascii="Arial"/>
                <w:sz w:val="21"/>
              </w:rPr>
            </w:pPr>
          </w:p>
        </w:tc>
        <w:tc>
          <w:tcPr>
            <w:tcW w:w="2897" w:type="dxa"/>
            <w:vAlign w:val="top"/>
          </w:tcPr>
          <w:p w14:paraId="7FA212FA">
            <w:pPr>
              <w:pStyle w:val="6"/>
              <w:spacing w:before="43" w:line="183" w:lineRule="auto"/>
              <w:ind w:left="671"/>
              <w:rPr>
                <w:sz w:val="22"/>
                <w:szCs w:val="22"/>
              </w:rPr>
            </w:pPr>
            <w:r>
              <w:rPr>
                <w:spacing w:val="1"/>
                <w:sz w:val="22"/>
                <w:szCs w:val="22"/>
              </w:rPr>
              <w:t>首年功率衰减率</w:t>
            </w:r>
          </w:p>
        </w:tc>
        <w:tc>
          <w:tcPr>
            <w:tcW w:w="1159" w:type="dxa"/>
            <w:vAlign w:val="top"/>
          </w:tcPr>
          <w:p w14:paraId="556FE957">
            <w:pPr>
              <w:pStyle w:val="6"/>
              <w:spacing w:before="65" w:line="165" w:lineRule="auto"/>
              <w:ind w:left="514"/>
              <w:rPr>
                <w:sz w:val="22"/>
                <w:szCs w:val="22"/>
              </w:rPr>
            </w:pPr>
            <w:r>
              <w:rPr>
                <w:sz w:val="22"/>
                <w:szCs w:val="22"/>
              </w:rPr>
              <w:t>%</w:t>
            </w:r>
          </w:p>
        </w:tc>
        <w:tc>
          <w:tcPr>
            <w:tcW w:w="1638" w:type="dxa"/>
            <w:vAlign w:val="top"/>
          </w:tcPr>
          <w:p w14:paraId="691B7AC8">
            <w:pPr>
              <w:pStyle w:val="6"/>
              <w:spacing w:before="65" w:line="165" w:lineRule="auto"/>
              <w:ind w:left="755"/>
              <w:rPr>
                <w:sz w:val="22"/>
                <w:szCs w:val="22"/>
              </w:rPr>
            </w:pPr>
            <w:r>
              <w:rPr>
                <w:sz w:val="22"/>
                <w:szCs w:val="22"/>
              </w:rPr>
              <w:t>1</w:t>
            </w:r>
          </w:p>
        </w:tc>
        <w:tc>
          <w:tcPr>
            <w:tcW w:w="1308" w:type="dxa"/>
            <w:vAlign w:val="top"/>
          </w:tcPr>
          <w:p w14:paraId="67B27664">
            <w:pPr>
              <w:rPr>
                <w:rFonts w:ascii="Arial"/>
                <w:sz w:val="21"/>
              </w:rPr>
            </w:pPr>
          </w:p>
        </w:tc>
        <w:tc>
          <w:tcPr>
            <w:tcW w:w="494" w:type="dxa"/>
            <w:vMerge w:val="continue"/>
            <w:tcBorders>
              <w:top w:val="nil"/>
              <w:bottom w:val="nil"/>
            </w:tcBorders>
            <w:vAlign w:val="top"/>
          </w:tcPr>
          <w:p w14:paraId="5DA3899F">
            <w:pPr>
              <w:rPr>
                <w:rFonts w:ascii="Arial"/>
                <w:sz w:val="21"/>
              </w:rPr>
            </w:pPr>
          </w:p>
        </w:tc>
      </w:tr>
      <w:tr w14:paraId="4D247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34" w:type="dxa"/>
            <w:vMerge w:val="continue"/>
            <w:tcBorders>
              <w:top w:val="nil"/>
              <w:bottom w:val="nil"/>
            </w:tcBorders>
            <w:vAlign w:val="top"/>
          </w:tcPr>
          <w:p w14:paraId="0F473E97">
            <w:pPr>
              <w:rPr>
                <w:rFonts w:ascii="Arial"/>
                <w:sz w:val="21"/>
              </w:rPr>
            </w:pPr>
          </w:p>
        </w:tc>
        <w:tc>
          <w:tcPr>
            <w:tcW w:w="110" w:type="dxa"/>
            <w:tcBorders>
              <w:top w:val="nil"/>
              <w:bottom w:val="nil"/>
            </w:tcBorders>
            <w:vAlign w:val="top"/>
          </w:tcPr>
          <w:p w14:paraId="0AAE07C7">
            <w:pPr>
              <w:rPr>
                <w:rFonts w:ascii="Arial"/>
                <w:sz w:val="21"/>
              </w:rPr>
            </w:pPr>
          </w:p>
        </w:tc>
        <w:tc>
          <w:tcPr>
            <w:tcW w:w="1039" w:type="dxa"/>
            <w:vMerge w:val="continue"/>
            <w:tcBorders>
              <w:top w:val="nil"/>
            </w:tcBorders>
            <w:vAlign w:val="top"/>
          </w:tcPr>
          <w:p w14:paraId="57F3E05D">
            <w:pPr>
              <w:rPr>
                <w:rFonts w:ascii="Arial"/>
                <w:sz w:val="21"/>
              </w:rPr>
            </w:pPr>
          </w:p>
        </w:tc>
        <w:tc>
          <w:tcPr>
            <w:tcW w:w="2897" w:type="dxa"/>
            <w:vAlign w:val="top"/>
          </w:tcPr>
          <w:p w14:paraId="6E43C9C7">
            <w:pPr>
              <w:pStyle w:val="6"/>
              <w:spacing w:before="32" w:line="192" w:lineRule="auto"/>
              <w:ind w:left="451"/>
              <w:rPr>
                <w:sz w:val="22"/>
                <w:szCs w:val="22"/>
              </w:rPr>
            </w:pPr>
            <w:r>
              <w:rPr>
                <w:spacing w:val="1"/>
                <w:sz w:val="22"/>
                <w:szCs w:val="22"/>
              </w:rPr>
              <w:t>首年后后逐年衰减率</w:t>
            </w:r>
          </w:p>
        </w:tc>
        <w:tc>
          <w:tcPr>
            <w:tcW w:w="1159" w:type="dxa"/>
            <w:vAlign w:val="top"/>
          </w:tcPr>
          <w:p w14:paraId="062F068C">
            <w:pPr>
              <w:pStyle w:val="6"/>
              <w:spacing w:before="53" w:line="174" w:lineRule="auto"/>
              <w:ind w:left="514"/>
              <w:rPr>
                <w:sz w:val="22"/>
                <w:szCs w:val="22"/>
              </w:rPr>
            </w:pPr>
            <w:r>
              <w:rPr>
                <w:sz w:val="22"/>
                <w:szCs w:val="22"/>
              </w:rPr>
              <w:t>%</w:t>
            </w:r>
          </w:p>
        </w:tc>
        <w:tc>
          <w:tcPr>
            <w:tcW w:w="1638" w:type="dxa"/>
            <w:vAlign w:val="top"/>
          </w:tcPr>
          <w:p w14:paraId="3E5DB9C9">
            <w:pPr>
              <w:pStyle w:val="6"/>
              <w:spacing w:before="53" w:line="174" w:lineRule="auto"/>
              <w:ind w:left="646"/>
              <w:rPr>
                <w:sz w:val="22"/>
                <w:szCs w:val="22"/>
              </w:rPr>
            </w:pPr>
            <w:r>
              <w:rPr>
                <w:spacing w:val="-3"/>
                <w:sz w:val="22"/>
                <w:szCs w:val="22"/>
              </w:rPr>
              <w:t>0.4</w:t>
            </w:r>
          </w:p>
        </w:tc>
        <w:tc>
          <w:tcPr>
            <w:tcW w:w="1308" w:type="dxa"/>
            <w:vAlign w:val="top"/>
          </w:tcPr>
          <w:p w14:paraId="067BC2C8">
            <w:pPr>
              <w:rPr>
                <w:rFonts w:ascii="Arial"/>
                <w:sz w:val="21"/>
              </w:rPr>
            </w:pPr>
          </w:p>
        </w:tc>
        <w:tc>
          <w:tcPr>
            <w:tcW w:w="494" w:type="dxa"/>
            <w:vMerge w:val="continue"/>
            <w:tcBorders>
              <w:top w:val="nil"/>
              <w:bottom w:val="nil"/>
            </w:tcBorders>
            <w:vAlign w:val="top"/>
          </w:tcPr>
          <w:p w14:paraId="387ED0CF">
            <w:pPr>
              <w:rPr>
                <w:rFonts w:ascii="Arial"/>
                <w:sz w:val="21"/>
              </w:rPr>
            </w:pPr>
          </w:p>
        </w:tc>
      </w:tr>
      <w:tr w14:paraId="14133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434" w:type="dxa"/>
            <w:vMerge w:val="continue"/>
            <w:tcBorders>
              <w:top w:val="nil"/>
              <w:bottom w:val="nil"/>
            </w:tcBorders>
            <w:vAlign w:val="top"/>
          </w:tcPr>
          <w:p w14:paraId="479DEC33">
            <w:pPr>
              <w:rPr>
                <w:rFonts w:ascii="Arial"/>
                <w:sz w:val="21"/>
              </w:rPr>
            </w:pPr>
          </w:p>
        </w:tc>
        <w:tc>
          <w:tcPr>
            <w:tcW w:w="110" w:type="dxa"/>
            <w:tcBorders>
              <w:top w:val="nil"/>
              <w:bottom w:val="nil"/>
            </w:tcBorders>
            <w:vAlign w:val="top"/>
          </w:tcPr>
          <w:p w14:paraId="086203A4">
            <w:pPr>
              <w:rPr>
                <w:rFonts w:ascii="Arial"/>
                <w:sz w:val="21"/>
              </w:rPr>
            </w:pPr>
          </w:p>
        </w:tc>
        <w:tc>
          <w:tcPr>
            <w:tcW w:w="1039" w:type="dxa"/>
            <w:vMerge w:val="restart"/>
            <w:tcBorders>
              <w:bottom w:val="nil"/>
            </w:tcBorders>
            <w:vAlign w:val="top"/>
          </w:tcPr>
          <w:p w14:paraId="17F6B9CF">
            <w:pPr>
              <w:spacing w:line="263" w:lineRule="auto"/>
              <w:rPr>
                <w:rFonts w:ascii="Arial"/>
                <w:sz w:val="21"/>
              </w:rPr>
            </w:pPr>
          </w:p>
          <w:p w14:paraId="48B3B277">
            <w:pPr>
              <w:spacing w:line="263" w:lineRule="auto"/>
              <w:rPr>
                <w:rFonts w:ascii="Arial"/>
                <w:sz w:val="21"/>
              </w:rPr>
            </w:pPr>
          </w:p>
          <w:p w14:paraId="0354B699">
            <w:pPr>
              <w:spacing w:line="263" w:lineRule="auto"/>
              <w:rPr>
                <w:rFonts w:ascii="Arial"/>
                <w:sz w:val="21"/>
              </w:rPr>
            </w:pPr>
          </w:p>
          <w:p w14:paraId="2FCEF0A7">
            <w:pPr>
              <w:spacing w:line="264" w:lineRule="auto"/>
              <w:rPr>
                <w:rFonts w:ascii="Arial"/>
                <w:sz w:val="21"/>
              </w:rPr>
            </w:pPr>
          </w:p>
          <w:p w14:paraId="14945890">
            <w:pPr>
              <w:pStyle w:val="6"/>
              <w:spacing w:before="71" w:line="219" w:lineRule="auto"/>
              <w:ind w:left="71"/>
              <w:rPr>
                <w:sz w:val="22"/>
                <w:szCs w:val="22"/>
              </w:rPr>
            </w:pPr>
            <w:r>
              <w:rPr>
                <w:spacing w:val="2"/>
                <w:sz w:val="22"/>
                <w:szCs w:val="22"/>
              </w:rPr>
              <w:t>组串式并</w:t>
            </w:r>
          </w:p>
          <w:p w14:paraId="200B0A54">
            <w:pPr>
              <w:pStyle w:val="6"/>
              <w:spacing w:before="20" w:line="221" w:lineRule="auto"/>
              <w:ind w:left="71"/>
              <w:rPr>
                <w:sz w:val="22"/>
                <w:szCs w:val="22"/>
              </w:rPr>
            </w:pPr>
            <w:r>
              <w:rPr>
                <w:spacing w:val="2"/>
                <w:sz w:val="22"/>
                <w:szCs w:val="22"/>
              </w:rPr>
              <w:t>网逆变器</w:t>
            </w:r>
          </w:p>
        </w:tc>
        <w:tc>
          <w:tcPr>
            <w:tcW w:w="2897" w:type="dxa"/>
            <w:vAlign w:val="top"/>
          </w:tcPr>
          <w:p w14:paraId="2B5A3832">
            <w:pPr>
              <w:pStyle w:val="6"/>
              <w:spacing w:before="30" w:line="190" w:lineRule="auto"/>
              <w:ind w:left="781"/>
              <w:rPr>
                <w:sz w:val="22"/>
                <w:szCs w:val="22"/>
              </w:rPr>
            </w:pPr>
            <w:r>
              <w:rPr>
                <w:spacing w:val="1"/>
                <w:sz w:val="22"/>
                <w:szCs w:val="22"/>
              </w:rPr>
              <w:t>最大输入电压</w:t>
            </w:r>
          </w:p>
        </w:tc>
        <w:tc>
          <w:tcPr>
            <w:tcW w:w="1159" w:type="dxa"/>
            <w:vAlign w:val="top"/>
          </w:tcPr>
          <w:p w14:paraId="2782D7B1">
            <w:pPr>
              <w:pStyle w:val="6"/>
              <w:spacing w:before="53" w:line="171" w:lineRule="auto"/>
              <w:ind w:left="405"/>
              <w:rPr>
                <w:sz w:val="22"/>
                <w:szCs w:val="22"/>
              </w:rPr>
            </w:pPr>
            <w:r>
              <w:rPr>
                <w:spacing w:val="-2"/>
                <w:sz w:val="22"/>
                <w:szCs w:val="22"/>
              </w:rPr>
              <w:t>Vdc</w:t>
            </w:r>
          </w:p>
        </w:tc>
        <w:tc>
          <w:tcPr>
            <w:tcW w:w="1638" w:type="dxa"/>
            <w:vAlign w:val="top"/>
          </w:tcPr>
          <w:p w14:paraId="5C7CD464">
            <w:pPr>
              <w:pStyle w:val="6"/>
              <w:spacing w:before="53" w:line="171" w:lineRule="auto"/>
              <w:ind w:left="596"/>
              <w:rPr>
                <w:sz w:val="22"/>
                <w:szCs w:val="22"/>
              </w:rPr>
            </w:pPr>
            <w:r>
              <w:rPr>
                <w:spacing w:val="-5"/>
                <w:sz w:val="22"/>
                <w:szCs w:val="22"/>
              </w:rPr>
              <w:t>1500</w:t>
            </w:r>
          </w:p>
        </w:tc>
        <w:tc>
          <w:tcPr>
            <w:tcW w:w="1308" w:type="dxa"/>
            <w:vAlign w:val="top"/>
          </w:tcPr>
          <w:p w14:paraId="2FD914E1">
            <w:pPr>
              <w:rPr>
                <w:rFonts w:ascii="Arial"/>
                <w:sz w:val="21"/>
              </w:rPr>
            </w:pPr>
          </w:p>
        </w:tc>
        <w:tc>
          <w:tcPr>
            <w:tcW w:w="494" w:type="dxa"/>
            <w:vMerge w:val="continue"/>
            <w:tcBorders>
              <w:top w:val="nil"/>
              <w:bottom w:val="nil"/>
            </w:tcBorders>
            <w:vAlign w:val="top"/>
          </w:tcPr>
          <w:p w14:paraId="1EE60249">
            <w:pPr>
              <w:rPr>
                <w:rFonts w:ascii="Arial"/>
                <w:sz w:val="21"/>
              </w:rPr>
            </w:pPr>
          </w:p>
        </w:tc>
      </w:tr>
      <w:tr w14:paraId="7BD77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434" w:type="dxa"/>
            <w:vMerge w:val="continue"/>
            <w:tcBorders>
              <w:top w:val="nil"/>
              <w:bottom w:val="nil"/>
            </w:tcBorders>
            <w:vAlign w:val="top"/>
          </w:tcPr>
          <w:p w14:paraId="02FB77F0">
            <w:pPr>
              <w:rPr>
                <w:rFonts w:ascii="Arial"/>
                <w:sz w:val="21"/>
              </w:rPr>
            </w:pPr>
          </w:p>
        </w:tc>
        <w:tc>
          <w:tcPr>
            <w:tcW w:w="110" w:type="dxa"/>
            <w:tcBorders>
              <w:top w:val="nil"/>
              <w:bottom w:val="nil"/>
            </w:tcBorders>
            <w:vAlign w:val="top"/>
          </w:tcPr>
          <w:p w14:paraId="58E2A69B">
            <w:pPr>
              <w:rPr>
                <w:rFonts w:ascii="Arial"/>
                <w:sz w:val="21"/>
              </w:rPr>
            </w:pPr>
          </w:p>
        </w:tc>
        <w:tc>
          <w:tcPr>
            <w:tcW w:w="1039" w:type="dxa"/>
            <w:vMerge w:val="continue"/>
            <w:tcBorders>
              <w:top w:val="nil"/>
              <w:bottom w:val="nil"/>
            </w:tcBorders>
            <w:vAlign w:val="top"/>
          </w:tcPr>
          <w:p w14:paraId="57DDDE16">
            <w:pPr>
              <w:rPr>
                <w:rFonts w:ascii="Arial"/>
                <w:sz w:val="21"/>
              </w:rPr>
            </w:pPr>
          </w:p>
        </w:tc>
        <w:tc>
          <w:tcPr>
            <w:tcW w:w="2897" w:type="dxa"/>
            <w:vAlign w:val="top"/>
          </w:tcPr>
          <w:p w14:paraId="1DCE6D27">
            <w:pPr>
              <w:pStyle w:val="6"/>
              <w:spacing w:before="43" w:line="189" w:lineRule="auto"/>
              <w:ind w:left="561"/>
              <w:rPr>
                <w:sz w:val="22"/>
                <w:szCs w:val="22"/>
              </w:rPr>
            </w:pPr>
            <w:r>
              <w:rPr>
                <w:spacing w:val="-1"/>
                <w:sz w:val="22"/>
                <w:szCs w:val="22"/>
              </w:rPr>
              <w:t>额定交流输出功率</w:t>
            </w:r>
          </w:p>
        </w:tc>
        <w:tc>
          <w:tcPr>
            <w:tcW w:w="1159" w:type="dxa"/>
            <w:vAlign w:val="top"/>
          </w:tcPr>
          <w:p w14:paraId="0AE97AF0">
            <w:pPr>
              <w:pStyle w:val="6"/>
              <w:spacing w:before="95" w:line="174" w:lineRule="exact"/>
              <w:ind w:left="465"/>
              <w:rPr>
                <w:sz w:val="22"/>
                <w:szCs w:val="22"/>
              </w:rPr>
            </w:pPr>
            <w:r>
              <w:rPr>
                <w:spacing w:val="-2"/>
                <w:position w:val="-3"/>
                <w:sz w:val="22"/>
                <w:szCs w:val="22"/>
              </w:rPr>
              <w:t>kW</w:t>
            </w:r>
          </w:p>
        </w:tc>
        <w:tc>
          <w:tcPr>
            <w:tcW w:w="1638" w:type="dxa"/>
            <w:vAlign w:val="top"/>
          </w:tcPr>
          <w:p w14:paraId="51C09125">
            <w:pPr>
              <w:pStyle w:val="6"/>
              <w:spacing w:before="66" w:line="170" w:lineRule="auto"/>
              <w:ind w:left="646"/>
              <w:rPr>
                <w:sz w:val="22"/>
                <w:szCs w:val="22"/>
              </w:rPr>
            </w:pPr>
            <w:r>
              <w:rPr>
                <w:spacing w:val="-3"/>
                <w:sz w:val="22"/>
                <w:szCs w:val="22"/>
              </w:rPr>
              <w:t>320</w:t>
            </w:r>
          </w:p>
        </w:tc>
        <w:tc>
          <w:tcPr>
            <w:tcW w:w="1308" w:type="dxa"/>
            <w:vAlign w:val="top"/>
          </w:tcPr>
          <w:p w14:paraId="740B448A">
            <w:pPr>
              <w:rPr>
                <w:rFonts w:ascii="Arial"/>
                <w:sz w:val="21"/>
              </w:rPr>
            </w:pPr>
          </w:p>
        </w:tc>
        <w:tc>
          <w:tcPr>
            <w:tcW w:w="494" w:type="dxa"/>
            <w:vMerge w:val="continue"/>
            <w:tcBorders>
              <w:top w:val="nil"/>
              <w:bottom w:val="nil"/>
            </w:tcBorders>
            <w:vAlign w:val="top"/>
          </w:tcPr>
          <w:p w14:paraId="185BB280">
            <w:pPr>
              <w:rPr>
                <w:rFonts w:ascii="Arial"/>
                <w:sz w:val="21"/>
              </w:rPr>
            </w:pPr>
          </w:p>
        </w:tc>
      </w:tr>
      <w:tr w14:paraId="553BE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434" w:type="dxa"/>
            <w:vMerge w:val="continue"/>
            <w:tcBorders>
              <w:top w:val="nil"/>
              <w:bottom w:val="nil"/>
            </w:tcBorders>
            <w:vAlign w:val="top"/>
          </w:tcPr>
          <w:p w14:paraId="26E723B1">
            <w:pPr>
              <w:rPr>
                <w:rFonts w:ascii="Arial"/>
                <w:sz w:val="21"/>
              </w:rPr>
            </w:pPr>
          </w:p>
        </w:tc>
        <w:tc>
          <w:tcPr>
            <w:tcW w:w="110" w:type="dxa"/>
            <w:tcBorders>
              <w:top w:val="nil"/>
              <w:bottom w:val="nil"/>
            </w:tcBorders>
            <w:vAlign w:val="top"/>
          </w:tcPr>
          <w:p w14:paraId="40B2B6AA">
            <w:pPr>
              <w:rPr>
                <w:rFonts w:ascii="Arial"/>
                <w:sz w:val="21"/>
              </w:rPr>
            </w:pPr>
          </w:p>
        </w:tc>
        <w:tc>
          <w:tcPr>
            <w:tcW w:w="1039" w:type="dxa"/>
            <w:vMerge w:val="continue"/>
            <w:tcBorders>
              <w:top w:val="nil"/>
              <w:bottom w:val="nil"/>
            </w:tcBorders>
            <w:vAlign w:val="top"/>
          </w:tcPr>
          <w:p w14:paraId="5D5DE286">
            <w:pPr>
              <w:rPr>
                <w:rFonts w:ascii="Arial"/>
                <w:sz w:val="21"/>
              </w:rPr>
            </w:pPr>
          </w:p>
        </w:tc>
        <w:tc>
          <w:tcPr>
            <w:tcW w:w="2897" w:type="dxa"/>
            <w:vAlign w:val="top"/>
          </w:tcPr>
          <w:p w14:paraId="791F0AE8">
            <w:pPr>
              <w:pStyle w:val="6"/>
              <w:spacing w:before="34" w:line="186" w:lineRule="auto"/>
              <w:ind w:left="781"/>
              <w:rPr>
                <w:sz w:val="22"/>
                <w:szCs w:val="22"/>
              </w:rPr>
            </w:pPr>
            <w:r>
              <w:rPr>
                <w:spacing w:val="1"/>
                <w:sz w:val="22"/>
                <w:szCs w:val="22"/>
              </w:rPr>
              <w:t>最大输出功率</w:t>
            </w:r>
          </w:p>
        </w:tc>
        <w:tc>
          <w:tcPr>
            <w:tcW w:w="1159" w:type="dxa"/>
            <w:vAlign w:val="top"/>
          </w:tcPr>
          <w:p w14:paraId="24697BA2">
            <w:pPr>
              <w:pStyle w:val="6"/>
              <w:spacing w:before="86" w:line="169" w:lineRule="exact"/>
              <w:ind w:left="405"/>
              <w:rPr>
                <w:sz w:val="22"/>
                <w:szCs w:val="22"/>
              </w:rPr>
            </w:pPr>
            <w:r>
              <w:rPr>
                <w:spacing w:val="-3"/>
                <w:position w:val="-3"/>
                <w:sz w:val="22"/>
                <w:szCs w:val="22"/>
              </w:rPr>
              <w:t>kVA</w:t>
            </w:r>
          </w:p>
        </w:tc>
        <w:tc>
          <w:tcPr>
            <w:tcW w:w="1638" w:type="dxa"/>
            <w:vAlign w:val="top"/>
          </w:tcPr>
          <w:p w14:paraId="54E10016">
            <w:pPr>
              <w:pStyle w:val="6"/>
              <w:spacing w:before="56" w:line="167" w:lineRule="auto"/>
              <w:ind w:left="646"/>
              <w:rPr>
                <w:sz w:val="22"/>
                <w:szCs w:val="22"/>
              </w:rPr>
            </w:pPr>
            <w:r>
              <w:rPr>
                <w:spacing w:val="-3"/>
                <w:sz w:val="22"/>
                <w:szCs w:val="22"/>
              </w:rPr>
              <w:t>352</w:t>
            </w:r>
          </w:p>
        </w:tc>
        <w:tc>
          <w:tcPr>
            <w:tcW w:w="1308" w:type="dxa"/>
            <w:vAlign w:val="top"/>
          </w:tcPr>
          <w:p w14:paraId="39383C8B">
            <w:pPr>
              <w:rPr>
                <w:rFonts w:ascii="Arial"/>
                <w:sz w:val="21"/>
              </w:rPr>
            </w:pPr>
          </w:p>
        </w:tc>
        <w:tc>
          <w:tcPr>
            <w:tcW w:w="494" w:type="dxa"/>
            <w:vMerge w:val="continue"/>
            <w:tcBorders>
              <w:top w:val="nil"/>
              <w:bottom w:val="nil"/>
            </w:tcBorders>
            <w:vAlign w:val="top"/>
          </w:tcPr>
          <w:p w14:paraId="55BCB0E3">
            <w:pPr>
              <w:rPr>
                <w:rFonts w:ascii="Arial"/>
                <w:sz w:val="21"/>
              </w:rPr>
            </w:pPr>
          </w:p>
        </w:tc>
      </w:tr>
      <w:tr w14:paraId="49C7E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434" w:type="dxa"/>
            <w:vMerge w:val="continue"/>
            <w:tcBorders>
              <w:top w:val="nil"/>
              <w:bottom w:val="nil"/>
            </w:tcBorders>
            <w:vAlign w:val="top"/>
          </w:tcPr>
          <w:p w14:paraId="24CEB445">
            <w:pPr>
              <w:rPr>
                <w:rFonts w:ascii="Arial"/>
                <w:sz w:val="21"/>
              </w:rPr>
            </w:pPr>
          </w:p>
        </w:tc>
        <w:tc>
          <w:tcPr>
            <w:tcW w:w="110" w:type="dxa"/>
            <w:tcBorders>
              <w:top w:val="nil"/>
              <w:bottom w:val="nil"/>
            </w:tcBorders>
            <w:vAlign w:val="top"/>
          </w:tcPr>
          <w:p w14:paraId="0E963947">
            <w:pPr>
              <w:rPr>
                <w:rFonts w:ascii="Arial"/>
                <w:sz w:val="21"/>
              </w:rPr>
            </w:pPr>
          </w:p>
        </w:tc>
        <w:tc>
          <w:tcPr>
            <w:tcW w:w="1039" w:type="dxa"/>
            <w:vMerge w:val="continue"/>
            <w:tcBorders>
              <w:top w:val="nil"/>
              <w:bottom w:val="nil"/>
            </w:tcBorders>
            <w:vAlign w:val="top"/>
          </w:tcPr>
          <w:p w14:paraId="6EA44B11">
            <w:pPr>
              <w:rPr>
                <w:rFonts w:ascii="Arial"/>
                <w:sz w:val="21"/>
              </w:rPr>
            </w:pPr>
          </w:p>
        </w:tc>
        <w:tc>
          <w:tcPr>
            <w:tcW w:w="2897" w:type="dxa"/>
            <w:vAlign w:val="top"/>
          </w:tcPr>
          <w:p w14:paraId="575646C5">
            <w:pPr>
              <w:pStyle w:val="6"/>
              <w:spacing w:before="49" w:line="192" w:lineRule="auto"/>
              <w:ind w:left="781"/>
              <w:rPr>
                <w:sz w:val="22"/>
                <w:szCs w:val="22"/>
              </w:rPr>
            </w:pPr>
            <w:r>
              <w:rPr>
                <w:spacing w:val="1"/>
                <w:sz w:val="22"/>
                <w:szCs w:val="22"/>
              </w:rPr>
              <w:t>最大输出电流</w:t>
            </w:r>
          </w:p>
        </w:tc>
        <w:tc>
          <w:tcPr>
            <w:tcW w:w="1159" w:type="dxa"/>
            <w:vAlign w:val="top"/>
          </w:tcPr>
          <w:p w14:paraId="62161A66">
            <w:pPr>
              <w:pStyle w:val="6"/>
              <w:spacing w:before="103" w:line="174" w:lineRule="exact"/>
              <w:ind w:left="405"/>
              <w:rPr>
                <w:sz w:val="22"/>
                <w:szCs w:val="22"/>
              </w:rPr>
            </w:pPr>
            <w:r>
              <w:rPr>
                <w:spacing w:val="-1"/>
                <w:position w:val="-3"/>
                <w:sz w:val="22"/>
                <w:szCs w:val="22"/>
              </w:rPr>
              <w:t>Aac</w:t>
            </w:r>
          </w:p>
        </w:tc>
        <w:tc>
          <w:tcPr>
            <w:tcW w:w="1638" w:type="dxa"/>
            <w:vAlign w:val="top"/>
          </w:tcPr>
          <w:p w14:paraId="2F0B7763">
            <w:pPr>
              <w:pStyle w:val="6"/>
              <w:spacing w:before="70" w:line="174" w:lineRule="auto"/>
              <w:ind w:left="646"/>
              <w:rPr>
                <w:sz w:val="22"/>
                <w:szCs w:val="22"/>
              </w:rPr>
            </w:pPr>
            <w:r>
              <w:rPr>
                <w:spacing w:val="-3"/>
                <w:sz w:val="22"/>
                <w:szCs w:val="22"/>
              </w:rPr>
              <w:t>254</w:t>
            </w:r>
          </w:p>
        </w:tc>
        <w:tc>
          <w:tcPr>
            <w:tcW w:w="1308" w:type="dxa"/>
            <w:vAlign w:val="top"/>
          </w:tcPr>
          <w:p w14:paraId="34E3C7A2">
            <w:pPr>
              <w:rPr>
                <w:rFonts w:ascii="Arial"/>
                <w:sz w:val="21"/>
              </w:rPr>
            </w:pPr>
          </w:p>
        </w:tc>
        <w:tc>
          <w:tcPr>
            <w:tcW w:w="494" w:type="dxa"/>
            <w:vMerge w:val="continue"/>
            <w:tcBorders>
              <w:top w:val="nil"/>
              <w:bottom w:val="nil"/>
            </w:tcBorders>
            <w:vAlign w:val="top"/>
          </w:tcPr>
          <w:p w14:paraId="5509CEC6">
            <w:pPr>
              <w:rPr>
                <w:rFonts w:ascii="Arial"/>
                <w:sz w:val="21"/>
              </w:rPr>
            </w:pPr>
          </w:p>
        </w:tc>
      </w:tr>
      <w:tr w14:paraId="63E44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434" w:type="dxa"/>
            <w:vMerge w:val="continue"/>
            <w:tcBorders>
              <w:top w:val="nil"/>
              <w:bottom w:val="nil"/>
            </w:tcBorders>
            <w:vAlign w:val="top"/>
          </w:tcPr>
          <w:p w14:paraId="6DE7EAAB">
            <w:pPr>
              <w:rPr>
                <w:rFonts w:ascii="Arial"/>
                <w:sz w:val="21"/>
              </w:rPr>
            </w:pPr>
          </w:p>
        </w:tc>
        <w:tc>
          <w:tcPr>
            <w:tcW w:w="110" w:type="dxa"/>
            <w:tcBorders>
              <w:top w:val="nil"/>
              <w:bottom w:val="nil"/>
            </w:tcBorders>
            <w:vAlign w:val="top"/>
          </w:tcPr>
          <w:p w14:paraId="51EF519F">
            <w:pPr>
              <w:rPr>
                <w:rFonts w:ascii="Arial"/>
                <w:sz w:val="21"/>
              </w:rPr>
            </w:pPr>
          </w:p>
        </w:tc>
        <w:tc>
          <w:tcPr>
            <w:tcW w:w="1039" w:type="dxa"/>
            <w:vMerge w:val="continue"/>
            <w:tcBorders>
              <w:top w:val="nil"/>
              <w:bottom w:val="nil"/>
            </w:tcBorders>
            <w:vAlign w:val="top"/>
          </w:tcPr>
          <w:p w14:paraId="1198C45F">
            <w:pPr>
              <w:rPr>
                <w:rFonts w:ascii="Arial"/>
                <w:sz w:val="21"/>
              </w:rPr>
            </w:pPr>
          </w:p>
        </w:tc>
        <w:tc>
          <w:tcPr>
            <w:tcW w:w="2897" w:type="dxa"/>
            <w:vAlign w:val="top"/>
          </w:tcPr>
          <w:p w14:paraId="62ACF9EE">
            <w:pPr>
              <w:pStyle w:val="6"/>
              <w:spacing w:before="50" w:line="197" w:lineRule="auto"/>
              <w:ind w:left="781"/>
              <w:rPr>
                <w:sz w:val="22"/>
                <w:szCs w:val="22"/>
              </w:rPr>
            </w:pPr>
            <w:r>
              <w:rPr>
                <w:spacing w:val="-2"/>
                <w:sz w:val="22"/>
                <w:szCs w:val="22"/>
              </w:rPr>
              <w:t>额定输出电压</w:t>
            </w:r>
          </w:p>
        </w:tc>
        <w:tc>
          <w:tcPr>
            <w:tcW w:w="1159" w:type="dxa"/>
            <w:vAlign w:val="top"/>
          </w:tcPr>
          <w:p w14:paraId="7A0EAD86">
            <w:pPr>
              <w:pStyle w:val="6"/>
              <w:spacing w:before="109" w:line="176" w:lineRule="exact"/>
              <w:ind w:left="514"/>
              <w:rPr>
                <w:sz w:val="22"/>
                <w:szCs w:val="22"/>
              </w:rPr>
            </w:pPr>
            <w:r>
              <w:rPr>
                <w:position w:val="-2"/>
                <w:sz w:val="22"/>
                <w:szCs w:val="22"/>
              </w:rPr>
              <w:t>V</w:t>
            </w:r>
          </w:p>
        </w:tc>
        <w:tc>
          <w:tcPr>
            <w:tcW w:w="1638" w:type="dxa"/>
            <w:vAlign w:val="top"/>
          </w:tcPr>
          <w:p w14:paraId="32FB9512">
            <w:pPr>
              <w:pStyle w:val="6"/>
              <w:spacing w:before="72" w:line="178" w:lineRule="auto"/>
              <w:ind w:left="646"/>
              <w:rPr>
                <w:sz w:val="22"/>
                <w:szCs w:val="22"/>
              </w:rPr>
            </w:pPr>
            <w:r>
              <w:rPr>
                <w:spacing w:val="-3"/>
                <w:sz w:val="22"/>
                <w:szCs w:val="22"/>
              </w:rPr>
              <w:t>800</w:t>
            </w:r>
          </w:p>
        </w:tc>
        <w:tc>
          <w:tcPr>
            <w:tcW w:w="1308" w:type="dxa"/>
            <w:vAlign w:val="top"/>
          </w:tcPr>
          <w:p w14:paraId="58B3C437">
            <w:pPr>
              <w:rPr>
                <w:rFonts w:ascii="Arial"/>
                <w:sz w:val="21"/>
              </w:rPr>
            </w:pPr>
          </w:p>
        </w:tc>
        <w:tc>
          <w:tcPr>
            <w:tcW w:w="494" w:type="dxa"/>
            <w:vMerge w:val="continue"/>
            <w:tcBorders>
              <w:top w:val="nil"/>
              <w:bottom w:val="nil"/>
            </w:tcBorders>
            <w:vAlign w:val="top"/>
          </w:tcPr>
          <w:p w14:paraId="37B258DA">
            <w:pPr>
              <w:rPr>
                <w:rFonts w:ascii="Arial"/>
                <w:sz w:val="21"/>
              </w:rPr>
            </w:pPr>
          </w:p>
        </w:tc>
      </w:tr>
      <w:tr w14:paraId="60AEF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434" w:type="dxa"/>
            <w:vMerge w:val="continue"/>
            <w:tcBorders>
              <w:top w:val="nil"/>
              <w:bottom w:val="nil"/>
            </w:tcBorders>
            <w:vAlign w:val="top"/>
          </w:tcPr>
          <w:p w14:paraId="533968A5">
            <w:pPr>
              <w:rPr>
                <w:rFonts w:ascii="Arial"/>
                <w:sz w:val="21"/>
              </w:rPr>
            </w:pPr>
          </w:p>
        </w:tc>
        <w:tc>
          <w:tcPr>
            <w:tcW w:w="110" w:type="dxa"/>
            <w:tcBorders>
              <w:top w:val="nil"/>
              <w:bottom w:val="nil"/>
            </w:tcBorders>
            <w:vAlign w:val="top"/>
          </w:tcPr>
          <w:p w14:paraId="6BD15CCE">
            <w:pPr>
              <w:rPr>
                <w:rFonts w:ascii="Arial"/>
                <w:sz w:val="21"/>
              </w:rPr>
            </w:pPr>
          </w:p>
        </w:tc>
        <w:tc>
          <w:tcPr>
            <w:tcW w:w="1039" w:type="dxa"/>
            <w:vMerge w:val="continue"/>
            <w:tcBorders>
              <w:top w:val="nil"/>
              <w:bottom w:val="nil"/>
            </w:tcBorders>
            <w:vAlign w:val="top"/>
          </w:tcPr>
          <w:p w14:paraId="7EC9DDF3">
            <w:pPr>
              <w:rPr>
                <w:rFonts w:ascii="Arial"/>
                <w:sz w:val="21"/>
              </w:rPr>
            </w:pPr>
          </w:p>
        </w:tc>
        <w:tc>
          <w:tcPr>
            <w:tcW w:w="2897" w:type="dxa"/>
            <w:vAlign w:val="top"/>
          </w:tcPr>
          <w:p w14:paraId="46868318">
            <w:pPr>
              <w:pStyle w:val="6"/>
              <w:spacing w:before="37" w:line="183" w:lineRule="auto"/>
              <w:ind w:left="1001"/>
              <w:rPr>
                <w:sz w:val="22"/>
                <w:szCs w:val="22"/>
              </w:rPr>
            </w:pPr>
            <w:r>
              <w:rPr>
                <w:spacing w:val="-2"/>
                <w:sz w:val="22"/>
                <w:szCs w:val="22"/>
              </w:rPr>
              <w:t>冷却方式</w:t>
            </w:r>
          </w:p>
        </w:tc>
        <w:tc>
          <w:tcPr>
            <w:tcW w:w="1159" w:type="dxa"/>
            <w:vAlign w:val="top"/>
          </w:tcPr>
          <w:p w14:paraId="2FC23032">
            <w:pPr>
              <w:pStyle w:val="6"/>
              <w:spacing w:before="41" w:line="180" w:lineRule="auto"/>
              <w:ind w:left="514"/>
              <w:rPr>
                <w:sz w:val="22"/>
                <w:szCs w:val="22"/>
              </w:rPr>
            </w:pPr>
            <w:r>
              <w:rPr>
                <w:sz w:val="22"/>
                <w:szCs w:val="22"/>
              </w:rPr>
              <w:t>/</w:t>
            </w:r>
          </w:p>
        </w:tc>
        <w:tc>
          <w:tcPr>
            <w:tcW w:w="1638" w:type="dxa"/>
            <w:vAlign w:val="top"/>
          </w:tcPr>
          <w:p w14:paraId="4BC1C4D0">
            <w:pPr>
              <w:pStyle w:val="6"/>
              <w:spacing w:before="36" w:line="184" w:lineRule="auto"/>
              <w:ind w:left="155"/>
              <w:rPr>
                <w:sz w:val="22"/>
                <w:szCs w:val="22"/>
              </w:rPr>
            </w:pPr>
            <w:r>
              <w:rPr>
                <w:spacing w:val="1"/>
                <w:sz w:val="22"/>
                <w:szCs w:val="22"/>
              </w:rPr>
              <w:t>智能强制风冷</w:t>
            </w:r>
          </w:p>
        </w:tc>
        <w:tc>
          <w:tcPr>
            <w:tcW w:w="1308" w:type="dxa"/>
            <w:vAlign w:val="top"/>
          </w:tcPr>
          <w:p w14:paraId="00ECB3DA">
            <w:pPr>
              <w:rPr>
                <w:rFonts w:ascii="Arial"/>
                <w:sz w:val="21"/>
              </w:rPr>
            </w:pPr>
          </w:p>
        </w:tc>
        <w:tc>
          <w:tcPr>
            <w:tcW w:w="494" w:type="dxa"/>
            <w:vMerge w:val="continue"/>
            <w:tcBorders>
              <w:top w:val="nil"/>
              <w:bottom w:val="nil"/>
            </w:tcBorders>
            <w:vAlign w:val="top"/>
          </w:tcPr>
          <w:p w14:paraId="5F7F1C73">
            <w:pPr>
              <w:rPr>
                <w:rFonts w:ascii="Arial"/>
                <w:sz w:val="21"/>
              </w:rPr>
            </w:pPr>
          </w:p>
        </w:tc>
      </w:tr>
      <w:tr w14:paraId="219BC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434" w:type="dxa"/>
            <w:vMerge w:val="continue"/>
            <w:tcBorders>
              <w:top w:val="nil"/>
              <w:bottom w:val="nil"/>
            </w:tcBorders>
            <w:vAlign w:val="top"/>
          </w:tcPr>
          <w:p w14:paraId="3FED57E9">
            <w:pPr>
              <w:rPr>
                <w:rFonts w:ascii="Arial"/>
                <w:sz w:val="21"/>
              </w:rPr>
            </w:pPr>
          </w:p>
        </w:tc>
        <w:tc>
          <w:tcPr>
            <w:tcW w:w="110" w:type="dxa"/>
            <w:tcBorders>
              <w:top w:val="nil"/>
              <w:bottom w:val="nil"/>
            </w:tcBorders>
            <w:vAlign w:val="top"/>
          </w:tcPr>
          <w:p w14:paraId="2F0394BC">
            <w:pPr>
              <w:rPr>
                <w:rFonts w:ascii="Arial"/>
                <w:sz w:val="21"/>
              </w:rPr>
            </w:pPr>
          </w:p>
        </w:tc>
        <w:tc>
          <w:tcPr>
            <w:tcW w:w="1039" w:type="dxa"/>
            <w:vMerge w:val="continue"/>
            <w:tcBorders>
              <w:top w:val="nil"/>
              <w:bottom w:val="nil"/>
            </w:tcBorders>
            <w:vAlign w:val="top"/>
          </w:tcPr>
          <w:p w14:paraId="30E53BFA">
            <w:pPr>
              <w:rPr>
                <w:rFonts w:ascii="Arial"/>
                <w:sz w:val="21"/>
              </w:rPr>
            </w:pPr>
          </w:p>
        </w:tc>
        <w:tc>
          <w:tcPr>
            <w:tcW w:w="2897" w:type="dxa"/>
            <w:vAlign w:val="top"/>
          </w:tcPr>
          <w:p w14:paraId="69E2F67C">
            <w:pPr>
              <w:pStyle w:val="6"/>
              <w:spacing w:before="59" w:line="190" w:lineRule="auto"/>
              <w:ind w:left="892"/>
              <w:rPr>
                <w:sz w:val="22"/>
                <w:szCs w:val="22"/>
              </w:rPr>
            </w:pPr>
            <w:r>
              <w:rPr>
                <w:spacing w:val="2"/>
                <w:sz w:val="22"/>
                <w:szCs w:val="22"/>
              </w:rPr>
              <w:t>宽×高×深</w:t>
            </w:r>
          </w:p>
        </w:tc>
        <w:tc>
          <w:tcPr>
            <w:tcW w:w="1159" w:type="dxa"/>
            <w:vAlign w:val="top"/>
          </w:tcPr>
          <w:p w14:paraId="1C1B22AA">
            <w:pPr>
              <w:pStyle w:val="6"/>
              <w:spacing w:before="103" w:line="211" w:lineRule="auto"/>
              <w:ind w:left="494"/>
              <w:rPr>
                <w:sz w:val="16"/>
                <w:szCs w:val="16"/>
              </w:rPr>
            </w:pPr>
            <w:r>
              <w:rPr>
                <w:spacing w:val="-1"/>
                <w:sz w:val="16"/>
                <w:szCs w:val="16"/>
              </w:rPr>
              <w:t>mm</w:t>
            </w:r>
          </w:p>
        </w:tc>
        <w:tc>
          <w:tcPr>
            <w:tcW w:w="1638" w:type="dxa"/>
            <w:vAlign w:val="top"/>
          </w:tcPr>
          <w:p w14:paraId="03A2CDEA">
            <w:pPr>
              <w:pStyle w:val="6"/>
              <w:spacing w:before="82" w:line="171" w:lineRule="auto"/>
              <w:ind w:left="46"/>
              <w:rPr>
                <w:sz w:val="22"/>
                <w:szCs w:val="22"/>
              </w:rPr>
            </w:pPr>
            <w:r>
              <w:rPr>
                <w:spacing w:val="-2"/>
                <w:sz w:val="22"/>
                <w:szCs w:val="22"/>
              </w:rPr>
              <w:t>1136×870×361</w:t>
            </w:r>
          </w:p>
        </w:tc>
        <w:tc>
          <w:tcPr>
            <w:tcW w:w="1308" w:type="dxa"/>
            <w:vAlign w:val="top"/>
          </w:tcPr>
          <w:p w14:paraId="1611380D">
            <w:pPr>
              <w:rPr>
                <w:rFonts w:ascii="Arial"/>
                <w:sz w:val="21"/>
              </w:rPr>
            </w:pPr>
          </w:p>
        </w:tc>
        <w:tc>
          <w:tcPr>
            <w:tcW w:w="494" w:type="dxa"/>
            <w:vMerge w:val="continue"/>
            <w:tcBorders>
              <w:top w:val="nil"/>
              <w:bottom w:val="nil"/>
            </w:tcBorders>
            <w:vAlign w:val="top"/>
          </w:tcPr>
          <w:p w14:paraId="278E1C45">
            <w:pPr>
              <w:rPr>
                <w:rFonts w:ascii="Arial"/>
                <w:sz w:val="21"/>
              </w:rPr>
            </w:pPr>
          </w:p>
        </w:tc>
      </w:tr>
      <w:tr w14:paraId="7CD52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34" w:type="dxa"/>
            <w:vMerge w:val="continue"/>
            <w:tcBorders>
              <w:top w:val="nil"/>
              <w:bottom w:val="nil"/>
            </w:tcBorders>
            <w:vAlign w:val="top"/>
          </w:tcPr>
          <w:p w14:paraId="1DF59D54">
            <w:pPr>
              <w:rPr>
                <w:rFonts w:ascii="Arial"/>
                <w:sz w:val="21"/>
              </w:rPr>
            </w:pPr>
          </w:p>
        </w:tc>
        <w:tc>
          <w:tcPr>
            <w:tcW w:w="110" w:type="dxa"/>
            <w:tcBorders>
              <w:top w:val="nil"/>
              <w:bottom w:val="nil"/>
            </w:tcBorders>
            <w:vAlign w:val="top"/>
          </w:tcPr>
          <w:p w14:paraId="12CB651F">
            <w:pPr>
              <w:rPr>
                <w:rFonts w:ascii="Arial"/>
                <w:sz w:val="21"/>
              </w:rPr>
            </w:pPr>
          </w:p>
        </w:tc>
        <w:tc>
          <w:tcPr>
            <w:tcW w:w="1039" w:type="dxa"/>
            <w:vMerge w:val="continue"/>
            <w:tcBorders>
              <w:top w:val="nil"/>
              <w:bottom w:val="nil"/>
            </w:tcBorders>
            <w:vAlign w:val="top"/>
          </w:tcPr>
          <w:p w14:paraId="10D7455A">
            <w:pPr>
              <w:rPr>
                <w:rFonts w:ascii="Arial"/>
                <w:sz w:val="21"/>
              </w:rPr>
            </w:pPr>
          </w:p>
        </w:tc>
        <w:tc>
          <w:tcPr>
            <w:tcW w:w="2897" w:type="dxa"/>
            <w:vAlign w:val="top"/>
          </w:tcPr>
          <w:p w14:paraId="6F9761FD">
            <w:pPr>
              <w:pStyle w:val="6"/>
              <w:spacing w:before="80" w:line="205" w:lineRule="auto"/>
              <w:ind w:left="1221"/>
              <w:rPr>
                <w:sz w:val="22"/>
                <w:szCs w:val="22"/>
              </w:rPr>
            </w:pPr>
            <w:r>
              <w:rPr>
                <w:spacing w:val="-3"/>
                <w:sz w:val="22"/>
                <w:szCs w:val="22"/>
              </w:rPr>
              <w:t>重量</w:t>
            </w:r>
          </w:p>
        </w:tc>
        <w:tc>
          <w:tcPr>
            <w:tcW w:w="1159" w:type="dxa"/>
            <w:vAlign w:val="top"/>
          </w:tcPr>
          <w:p w14:paraId="24AE01D9">
            <w:pPr>
              <w:pStyle w:val="6"/>
              <w:spacing w:before="66" w:line="214" w:lineRule="auto"/>
              <w:ind w:left="465"/>
              <w:rPr>
                <w:sz w:val="22"/>
                <w:szCs w:val="22"/>
              </w:rPr>
            </w:pPr>
            <w:r>
              <w:rPr>
                <w:spacing w:val="-2"/>
                <w:sz w:val="22"/>
                <w:szCs w:val="22"/>
              </w:rPr>
              <w:t>kg</w:t>
            </w:r>
          </w:p>
        </w:tc>
        <w:tc>
          <w:tcPr>
            <w:tcW w:w="1638" w:type="dxa"/>
            <w:vAlign w:val="top"/>
          </w:tcPr>
          <w:p w14:paraId="2B5218C4">
            <w:pPr>
              <w:pStyle w:val="6"/>
              <w:spacing w:before="96" w:line="192" w:lineRule="auto"/>
              <w:ind w:left="646"/>
              <w:rPr>
                <w:sz w:val="22"/>
                <w:szCs w:val="22"/>
              </w:rPr>
            </w:pPr>
            <w:r>
              <w:rPr>
                <w:spacing w:val="-6"/>
                <w:sz w:val="22"/>
                <w:szCs w:val="22"/>
              </w:rPr>
              <w:t>116</w:t>
            </w:r>
          </w:p>
        </w:tc>
        <w:tc>
          <w:tcPr>
            <w:tcW w:w="1308" w:type="dxa"/>
            <w:vAlign w:val="top"/>
          </w:tcPr>
          <w:p w14:paraId="62CF3C2A">
            <w:pPr>
              <w:rPr>
                <w:rFonts w:ascii="Arial"/>
                <w:sz w:val="21"/>
              </w:rPr>
            </w:pPr>
          </w:p>
        </w:tc>
        <w:tc>
          <w:tcPr>
            <w:tcW w:w="494" w:type="dxa"/>
            <w:vMerge w:val="continue"/>
            <w:tcBorders>
              <w:top w:val="nil"/>
              <w:bottom w:val="nil"/>
            </w:tcBorders>
            <w:vAlign w:val="top"/>
          </w:tcPr>
          <w:p w14:paraId="24F14280">
            <w:pPr>
              <w:rPr>
                <w:rFonts w:ascii="Arial"/>
                <w:sz w:val="21"/>
              </w:rPr>
            </w:pPr>
          </w:p>
        </w:tc>
      </w:tr>
      <w:tr w14:paraId="350BB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434" w:type="dxa"/>
            <w:vMerge w:val="continue"/>
            <w:tcBorders>
              <w:top w:val="nil"/>
              <w:bottom w:val="nil"/>
            </w:tcBorders>
            <w:vAlign w:val="top"/>
          </w:tcPr>
          <w:p w14:paraId="5355D4B5">
            <w:pPr>
              <w:rPr>
                <w:rFonts w:ascii="Arial"/>
                <w:sz w:val="21"/>
              </w:rPr>
            </w:pPr>
          </w:p>
        </w:tc>
        <w:tc>
          <w:tcPr>
            <w:tcW w:w="110" w:type="dxa"/>
            <w:tcBorders>
              <w:top w:val="nil"/>
              <w:bottom w:val="nil"/>
            </w:tcBorders>
            <w:vAlign w:val="top"/>
          </w:tcPr>
          <w:p w14:paraId="7BAEB746">
            <w:pPr>
              <w:rPr>
                <w:rFonts w:ascii="Arial"/>
                <w:sz w:val="21"/>
              </w:rPr>
            </w:pPr>
          </w:p>
        </w:tc>
        <w:tc>
          <w:tcPr>
            <w:tcW w:w="1039" w:type="dxa"/>
            <w:vMerge w:val="continue"/>
            <w:tcBorders>
              <w:top w:val="nil"/>
            </w:tcBorders>
            <w:vAlign w:val="top"/>
          </w:tcPr>
          <w:p w14:paraId="36435016">
            <w:pPr>
              <w:rPr>
                <w:rFonts w:ascii="Arial"/>
                <w:sz w:val="21"/>
              </w:rPr>
            </w:pPr>
          </w:p>
        </w:tc>
        <w:tc>
          <w:tcPr>
            <w:tcW w:w="2897" w:type="dxa"/>
            <w:vAlign w:val="top"/>
          </w:tcPr>
          <w:p w14:paraId="379F495B">
            <w:pPr>
              <w:pStyle w:val="6"/>
              <w:spacing w:before="80" w:line="221" w:lineRule="auto"/>
              <w:ind w:left="1111"/>
              <w:rPr>
                <w:sz w:val="22"/>
                <w:szCs w:val="22"/>
              </w:rPr>
            </w:pPr>
            <w:r>
              <w:rPr>
                <w:spacing w:val="-2"/>
                <w:sz w:val="22"/>
                <w:szCs w:val="22"/>
              </w:rPr>
              <w:t>逆变器</w:t>
            </w:r>
          </w:p>
        </w:tc>
        <w:tc>
          <w:tcPr>
            <w:tcW w:w="1159" w:type="dxa"/>
            <w:vAlign w:val="top"/>
          </w:tcPr>
          <w:p w14:paraId="3D5C3D5D">
            <w:pPr>
              <w:pStyle w:val="6"/>
              <w:spacing w:before="81" w:line="220" w:lineRule="auto"/>
              <w:ind w:left="465"/>
              <w:rPr>
                <w:sz w:val="22"/>
                <w:szCs w:val="22"/>
              </w:rPr>
            </w:pPr>
            <w:r>
              <w:rPr>
                <w:sz w:val="22"/>
                <w:szCs w:val="22"/>
              </w:rPr>
              <w:t>台</w:t>
            </w:r>
          </w:p>
        </w:tc>
        <w:tc>
          <w:tcPr>
            <w:tcW w:w="1638" w:type="dxa"/>
            <w:vAlign w:val="top"/>
          </w:tcPr>
          <w:p w14:paraId="216938B8">
            <w:pPr>
              <w:pStyle w:val="6"/>
              <w:spacing w:before="100" w:line="204" w:lineRule="auto"/>
              <w:ind w:left="646"/>
              <w:rPr>
                <w:sz w:val="22"/>
                <w:szCs w:val="22"/>
              </w:rPr>
            </w:pPr>
            <w:r>
              <w:rPr>
                <w:spacing w:val="-3"/>
                <w:sz w:val="22"/>
                <w:szCs w:val="22"/>
              </w:rPr>
              <w:t>305</w:t>
            </w:r>
          </w:p>
        </w:tc>
        <w:tc>
          <w:tcPr>
            <w:tcW w:w="1308" w:type="dxa"/>
            <w:vAlign w:val="top"/>
          </w:tcPr>
          <w:p w14:paraId="26E55604">
            <w:pPr>
              <w:rPr>
                <w:rFonts w:ascii="Arial"/>
                <w:sz w:val="21"/>
              </w:rPr>
            </w:pPr>
          </w:p>
        </w:tc>
        <w:tc>
          <w:tcPr>
            <w:tcW w:w="494" w:type="dxa"/>
            <w:vMerge w:val="continue"/>
            <w:tcBorders>
              <w:top w:val="nil"/>
              <w:bottom w:val="nil"/>
            </w:tcBorders>
            <w:vAlign w:val="top"/>
          </w:tcPr>
          <w:p w14:paraId="29CF149C">
            <w:pPr>
              <w:rPr>
                <w:rFonts w:ascii="Arial"/>
                <w:sz w:val="21"/>
              </w:rPr>
            </w:pPr>
          </w:p>
        </w:tc>
      </w:tr>
      <w:tr w14:paraId="2C5D0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434" w:type="dxa"/>
            <w:vMerge w:val="continue"/>
            <w:tcBorders>
              <w:top w:val="nil"/>
              <w:bottom w:val="nil"/>
            </w:tcBorders>
            <w:vAlign w:val="top"/>
          </w:tcPr>
          <w:p w14:paraId="78292D32">
            <w:pPr>
              <w:rPr>
                <w:rFonts w:ascii="Arial"/>
                <w:sz w:val="21"/>
              </w:rPr>
            </w:pPr>
          </w:p>
        </w:tc>
        <w:tc>
          <w:tcPr>
            <w:tcW w:w="110" w:type="dxa"/>
            <w:tcBorders>
              <w:top w:val="nil"/>
              <w:bottom w:val="nil"/>
            </w:tcBorders>
            <w:vAlign w:val="top"/>
          </w:tcPr>
          <w:p w14:paraId="384BBBE8">
            <w:pPr>
              <w:rPr>
                <w:rFonts w:ascii="Arial"/>
                <w:sz w:val="21"/>
              </w:rPr>
            </w:pPr>
          </w:p>
        </w:tc>
        <w:tc>
          <w:tcPr>
            <w:tcW w:w="1039" w:type="dxa"/>
            <w:vMerge w:val="restart"/>
            <w:tcBorders>
              <w:bottom w:val="nil"/>
            </w:tcBorders>
            <w:vAlign w:val="top"/>
          </w:tcPr>
          <w:p w14:paraId="1D8AB63A">
            <w:pPr>
              <w:spacing w:line="381" w:lineRule="auto"/>
              <w:rPr>
                <w:rFonts w:ascii="Arial"/>
                <w:sz w:val="21"/>
              </w:rPr>
            </w:pPr>
          </w:p>
          <w:p w14:paraId="44C1747A">
            <w:pPr>
              <w:pStyle w:val="6"/>
              <w:spacing w:before="72" w:line="220" w:lineRule="auto"/>
              <w:ind w:left="291"/>
              <w:rPr>
                <w:sz w:val="22"/>
                <w:szCs w:val="22"/>
              </w:rPr>
            </w:pPr>
            <w:r>
              <w:rPr>
                <w:spacing w:val="-3"/>
                <w:sz w:val="22"/>
                <w:szCs w:val="22"/>
              </w:rPr>
              <w:t>箱变</w:t>
            </w:r>
          </w:p>
        </w:tc>
        <w:tc>
          <w:tcPr>
            <w:tcW w:w="2897" w:type="dxa"/>
            <w:vAlign w:val="top"/>
          </w:tcPr>
          <w:p w14:paraId="76B14821">
            <w:pPr>
              <w:pStyle w:val="6"/>
              <w:spacing w:before="55" w:line="191" w:lineRule="auto"/>
              <w:ind w:left="831"/>
              <w:rPr>
                <w:sz w:val="22"/>
                <w:szCs w:val="22"/>
              </w:rPr>
            </w:pPr>
            <w:r>
              <w:rPr>
                <w:spacing w:val="1"/>
                <w:sz w:val="22"/>
                <w:szCs w:val="22"/>
              </w:rPr>
              <w:t>3600</w:t>
            </w:r>
            <w:r>
              <w:rPr>
                <w:sz w:val="22"/>
                <w:szCs w:val="22"/>
              </w:rPr>
              <w:t>kVA</w:t>
            </w:r>
            <w:r>
              <w:rPr>
                <w:spacing w:val="1"/>
                <w:sz w:val="22"/>
                <w:szCs w:val="22"/>
              </w:rPr>
              <w:t>箱变</w:t>
            </w:r>
          </w:p>
        </w:tc>
        <w:tc>
          <w:tcPr>
            <w:tcW w:w="1159" w:type="dxa"/>
            <w:vAlign w:val="top"/>
          </w:tcPr>
          <w:p w14:paraId="33465C7E">
            <w:pPr>
              <w:pStyle w:val="6"/>
              <w:spacing w:before="57" w:line="189" w:lineRule="auto"/>
              <w:ind w:left="465"/>
              <w:rPr>
                <w:sz w:val="22"/>
                <w:szCs w:val="22"/>
              </w:rPr>
            </w:pPr>
            <w:r>
              <w:rPr>
                <w:sz w:val="22"/>
                <w:szCs w:val="22"/>
              </w:rPr>
              <w:t>台</w:t>
            </w:r>
          </w:p>
        </w:tc>
        <w:tc>
          <w:tcPr>
            <w:tcW w:w="1638" w:type="dxa"/>
            <w:vAlign w:val="top"/>
          </w:tcPr>
          <w:p w14:paraId="0D32AEB2">
            <w:pPr>
              <w:pStyle w:val="6"/>
              <w:spacing w:before="76" w:line="173" w:lineRule="auto"/>
              <w:ind w:left="755"/>
              <w:rPr>
                <w:sz w:val="22"/>
                <w:szCs w:val="22"/>
              </w:rPr>
            </w:pPr>
            <w:r>
              <w:rPr>
                <w:sz w:val="22"/>
                <w:szCs w:val="22"/>
              </w:rPr>
              <w:t>2</w:t>
            </w:r>
          </w:p>
        </w:tc>
        <w:tc>
          <w:tcPr>
            <w:tcW w:w="1308" w:type="dxa"/>
            <w:vAlign w:val="top"/>
          </w:tcPr>
          <w:p w14:paraId="6EE9C616">
            <w:pPr>
              <w:rPr>
                <w:rFonts w:ascii="Arial"/>
                <w:sz w:val="21"/>
              </w:rPr>
            </w:pPr>
          </w:p>
        </w:tc>
        <w:tc>
          <w:tcPr>
            <w:tcW w:w="494" w:type="dxa"/>
            <w:vMerge w:val="continue"/>
            <w:tcBorders>
              <w:top w:val="nil"/>
              <w:bottom w:val="nil"/>
            </w:tcBorders>
            <w:vAlign w:val="top"/>
          </w:tcPr>
          <w:p w14:paraId="1729BF98">
            <w:pPr>
              <w:rPr>
                <w:rFonts w:ascii="Arial"/>
                <w:sz w:val="21"/>
              </w:rPr>
            </w:pPr>
          </w:p>
        </w:tc>
      </w:tr>
      <w:tr w14:paraId="74885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34" w:type="dxa"/>
            <w:vMerge w:val="continue"/>
            <w:tcBorders>
              <w:top w:val="nil"/>
              <w:bottom w:val="nil"/>
            </w:tcBorders>
            <w:vAlign w:val="top"/>
          </w:tcPr>
          <w:p w14:paraId="08029B8F">
            <w:pPr>
              <w:rPr>
                <w:rFonts w:ascii="Arial"/>
                <w:sz w:val="21"/>
              </w:rPr>
            </w:pPr>
          </w:p>
        </w:tc>
        <w:tc>
          <w:tcPr>
            <w:tcW w:w="110" w:type="dxa"/>
            <w:tcBorders>
              <w:top w:val="nil"/>
              <w:bottom w:val="nil"/>
            </w:tcBorders>
            <w:vAlign w:val="top"/>
          </w:tcPr>
          <w:p w14:paraId="2F509B04">
            <w:pPr>
              <w:rPr>
                <w:rFonts w:ascii="Arial"/>
                <w:sz w:val="21"/>
              </w:rPr>
            </w:pPr>
          </w:p>
        </w:tc>
        <w:tc>
          <w:tcPr>
            <w:tcW w:w="1039" w:type="dxa"/>
            <w:vMerge w:val="continue"/>
            <w:tcBorders>
              <w:top w:val="nil"/>
              <w:bottom w:val="nil"/>
            </w:tcBorders>
            <w:vAlign w:val="top"/>
          </w:tcPr>
          <w:p w14:paraId="553CECE6">
            <w:pPr>
              <w:rPr>
                <w:rFonts w:ascii="Arial"/>
                <w:sz w:val="21"/>
              </w:rPr>
            </w:pPr>
          </w:p>
        </w:tc>
        <w:tc>
          <w:tcPr>
            <w:tcW w:w="2897" w:type="dxa"/>
            <w:vAlign w:val="top"/>
          </w:tcPr>
          <w:p w14:paraId="08408F88">
            <w:pPr>
              <w:pStyle w:val="6"/>
              <w:spacing w:before="42" w:line="184" w:lineRule="auto"/>
              <w:ind w:left="831"/>
              <w:rPr>
                <w:sz w:val="22"/>
                <w:szCs w:val="22"/>
              </w:rPr>
            </w:pPr>
            <w:r>
              <w:rPr>
                <w:spacing w:val="1"/>
                <w:sz w:val="22"/>
                <w:szCs w:val="22"/>
              </w:rPr>
              <w:t>3200</w:t>
            </w:r>
            <w:r>
              <w:rPr>
                <w:sz w:val="22"/>
                <w:szCs w:val="22"/>
              </w:rPr>
              <w:t>kVA</w:t>
            </w:r>
            <w:r>
              <w:rPr>
                <w:spacing w:val="1"/>
                <w:sz w:val="22"/>
                <w:szCs w:val="22"/>
              </w:rPr>
              <w:t>箱变</w:t>
            </w:r>
          </w:p>
        </w:tc>
        <w:tc>
          <w:tcPr>
            <w:tcW w:w="1159" w:type="dxa"/>
            <w:vAlign w:val="top"/>
          </w:tcPr>
          <w:p w14:paraId="5891C391">
            <w:pPr>
              <w:pStyle w:val="6"/>
              <w:spacing w:before="43" w:line="183" w:lineRule="auto"/>
              <w:ind w:left="465"/>
              <w:rPr>
                <w:sz w:val="22"/>
                <w:szCs w:val="22"/>
              </w:rPr>
            </w:pPr>
            <w:r>
              <w:rPr>
                <w:sz w:val="22"/>
                <w:szCs w:val="22"/>
              </w:rPr>
              <w:t>台</w:t>
            </w:r>
          </w:p>
        </w:tc>
        <w:tc>
          <w:tcPr>
            <w:tcW w:w="1638" w:type="dxa"/>
            <w:vAlign w:val="top"/>
          </w:tcPr>
          <w:p w14:paraId="4C7C941D">
            <w:pPr>
              <w:pStyle w:val="6"/>
              <w:spacing w:before="64" w:line="166" w:lineRule="auto"/>
              <w:ind w:left="705"/>
              <w:rPr>
                <w:sz w:val="22"/>
                <w:szCs w:val="22"/>
              </w:rPr>
            </w:pPr>
            <w:r>
              <w:rPr>
                <w:spacing w:val="-3"/>
                <w:sz w:val="22"/>
                <w:szCs w:val="22"/>
              </w:rPr>
              <w:t>23</w:t>
            </w:r>
          </w:p>
        </w:tc>
        <w:tc>
          <w:tcPr>
            <w:tcW w:w="1308" w:type="dxa"/>
            <w:vAlign w:val="top"/>
          </w:tcPr>
          <w:p w14:paraId="528E97C9">
            <w:pPr>
              <w:rPr>
                <w:rFonts w:ascii="Arial"/>
                <w:sz w:val="21"/>
              </w:rPr>
            </w:pPr>
          </w:p>
        </w:tc>
        <w:tc>
          <w:tcPr>
            <w:tcW w:w="494" w:type="dxa"/>
            <w:vMerge w:val="continue"/>
            <w:tcBorders>
              <w:top w:val="nil"/>
              <w:bottom w:val="nil"/>
            </w:tcBorders>
            <w:vAlign w:val="top"/>
          </w:tcPr>
          <w:p w14:paraId="07C3C70C">
            <w:pPr>
              <w:rPr>
                <w:rFonts w:ascii="Arial"/>
                <w:sz w:val="21"/>
              </w:rPr>
            </w:pPr>
          </w:p>
        </w:tc>
      </w:tr>
      <w:tr w14:paraId="295A0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34" w:type="dxa"/>
            <w:vMerge w:val="continue"/>
            <w:tcBorders>
              <w:top w:val="nil"/>
              <w:bottom w:val="nil"/>
            </w:tcBorders>
            <w:vAlign w:val="top"/>
          </w:tcPr>
          <w:p w14:paraId="0ABCC7D5">
            <w:pPr>
              <w:rPr>
                <w:rFonts w:ascii="Arial"/>
                <w:sz w:val="21"/>
              </w:rPr>
            </w:pPr>
          </w:p>
        </w:tc>
        <w:tc>
          <w:tcPr>
            <w:tcW w:w="110" w:type="dxa"/>
            <w:tcBorders>
              <w:top w:val="nil"/>
              <w:bottom w:val="nil"/>
            </w:tcBorders>
            <w:vAlign w:val="top"/>
          </w:tcPr>
          <w:p w14:paraId="184B905E">
            <w:pPr>
              <w:spacing w:line="240" w:lineRule="exact"/>
              <w:rPr>
                <w:rFonts w:ascii="Arial"/>
                <w:sz w:val="20"/>
              </w:rPr>
            </w:pPr>
          </w:p>
        </w:tc>
        <w:tc>
          <w:tcPr>
            <w:tcW w:w="1039" w:type="dxa"/>
            <w:vMerge w:val="continue"/>
            <w:tcBorders>
              <w:top w:val="nil"/>
              <w:bottom w:val="nil"/>
            </w:tcBorders>
            <w:vAlign w:val="top"/>
          </w:tcPr>
          <w:p w14:paraId="57C6C0F7">
            <w:pPr>
              <w:rPr>
                <w:rFonts w:ascii="Arial"/>
                <w:sz w:val="21"/>
              </w:rPr>
            </w:pPr>
          </w:p>
        </w:tc>
        <w:tc>
          <w:tcPr>
            <w:tcW w:w="2897" w:type="dxa"/>
            <w:vAlign w:val="top"/>
          </w:tcPr>
          <w:p w14:paraId="312D644B">
            <w:pPr>
              <w:pStyle w:val="6"/>
              <w:spacing w:before="30" w:line="176" w:lineRule="auto"/>
              <w:ind w:left="831"/>
              <w:rPr>
                <w:sz w:val="22"/>
                <w:szCs w:val="22"/>
              </w:rPr>
            </w:pPr>
            <w:r>
              <w:rPr>
                <w:spacing w:val="1"/>
                <w:sz w:val="22"/>
                <w:szCs w:val="22"/>
              </w:rPr>
              <w:t>2600</w:t>
            </w:r>
            <w:r>
              <w:rPr>
                <w:sz w:val="22"/>
                <w:szCs w:val="22"/>
              </w:rPr>
              <w:t>kVA</w:t>
            </w:r>
            <w:r>
              <w:rPr>
                <w:spacing w:val="1"/>
                <w:sz w:val="22"/>
                <w:szCs w:val="22"/>
              </w:rPr>
              <w:t>箱变</w:t>
            </w:r>
          </w:p>
        </w:tc>
        <w:tc>
          <w:tcPr>
            <w:tcW w:w="1159" w:type="dxa"/>
            <w:vAlign w:val="top"/>
          </w:tcPr>
          <w:p w14:paraId="3BAA944E">
            <w:pPr>
              <w:pStyle w:val="6"/>
              <w:spacing w:before="32" w:line="174" w:lineRule="auto"/>
              <w:ind w:left="465"/>
              <w:rPr>
                <w:sz w:val="22"/>
                <w:szCs w:val="22"/>
              </w:rPr>
            </w:pPr>
            <w:r>
              <w:rPr>
                <w:sz w:val="22"/>
                <w:szCs w:val="22"/>
              </w:rPr>
              <w:t>台</w:t>
            </w:r>
          </w:p>
        </w:tc>
        <w:tc>
          <w:tcPr>
            <w:tcW w:w="1638" w:type="dxa"/>
            <w:vAlign w:val="top"/>
          </w:tcPr>
          <w:p w14:paraId="6409C350">
            <w:pPr>
              <w:pStyle w:val="6"/>
              <w:spacing w:before="51" w:line="158" w:lineRule="auto"/>
              <w:ind w:left="705"/>
              <w:rPr>
                <w:sz w:val="22"/>
                <w:szCs w:val="22"/>
              </w:rPr>
            </w:pPr>
            <w:r>
              <w:rPr>
                <w:spacing w:val="-7"/>
                <w:sz w:val="22"/>
                <w:szCs w:val="22"/>
              </w:rPr>
              <w:t>15</w:t>
            </w:r>
          </w:p>
        </w:tc>
        <w:tc>
          <w:tcPr>
            <w:tcW w:w="1308" w:type="dxa"/>
            <w:vAlign w:val="top"/>
          </w:tcPr>
          <w:p w14:paraId="26C33D7C">
            <w:pPr>
              <w:spacing w:line="240" w:lineRule="exact"/>
              <w:rPr>
                <w:rFonts w:ascii="Arial"/>
                <w:sz w:val="20"/>
              </w:rPr>
            </w:pPr>
          </w:p>
        </w:tc>
        <w:tc>
          <w:tcPr>
            <w:tcW w:w="494" w:type="dxa"/>
            <w:vMerge w:val="continue"/>
            <w:tcBorders>
              <w:top w:val="nil"/>
              <w:bottom w:val="nil"/>
            </w:tcBorders>
            <w:vAlign w:val="top"/>
          </w:tcPr>
          <w:p w14:paraId="1A827921">
            <w:pPr>
              <w:rPr>
                <w:rFonts w:ascii="Arial"/>
                <w:sz w:val="21"/>
              </w:rPr>
            </w:pPr>
          </w:p>
        </w:tc>
      </w:tr>
      <w:tr w14:paraId="37B20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vMerge w:val="continue"/>
            <w:tcBorders>
              <w:top w:val="nil"/>
              <w:bottom w:val="nil"/>
            </w:tcBorders>
            <w:vAlign w:val="top"/>
          </w:tcPr>
          <w:p w14:paraId="3DA98A21">
            <w:pPr>
              <w:rPr>
                <w:rFonts w:ascii="Arial"/>
                <w:sz w:val="21"/>
              </w:rPr>
            </w:pPr>
          </w:p>
        </w:tc>
        <w:tc>
          <w:tcPr>
            <w:tcW w:w="110" w:type="dxa"/>
            <w:tcBorders>
              <w:top w:val="nil"/>
              <w:bottom w:val="nil"/>
            </w:tcBorders>
            <w:vAlign w:val="top"/>
          </w:tcPr>
          <w:p w14:paraId="43800CE8">
            <w:pPr>
              <w:rPr>
                <w:rFonts w:ascii="Arial"/>
                <w:sz w:val="21"/>
              </w:rPr>
            </w:pPr>
          </w:p>
        </w:tc>
        <w:tc>
          <w:tcPr>
            <w:tcW w:w="1039" w:type="dxa"/>
            <w:vMerge w:val="continue"/>
            <w:tcBorders>
              <w:top w:val="nil"/>
            </w:tcBorders>
            <w:vAlign w:val="top"/>
          </w:tcPr>
          <w:p w14:paraId="0770B09A">
            <w:pPr>
              <w:rPr>
                <w:rFonts w:ascii="Arial"/>
                <w:sz w:val="21"/>
              </w:rPr>
            </w:pPr>
          </w:p>
        </w:tc>
        <w:tc>
          <w:tcPr>
            <w:tcW w:w="2897" w:type="dxa"/>
            <w:vAlign w:val="top"/>
          </w:tcPr>
          <w:p w14:paraId="2AB2D683">
            <w:pPr>
              <w:pStyle w:val="6"/>
              <w:spacing w:before="40" w:line="188" w:lineRule="auto"/>
              <w:ind w:left="831"/>
              <w:rPr>
                <w:sz w:val="22"/>
                <w:szCs w:val="22"/>
              </w:rPr>
            </w:pPr>
            <w:r>
              <w:rPr>
                <w:spacing w:val="1"/>
                <w:sz w:val="22"/>
                <w:szCs w:val="22"/>
              </w:rPr>
              <w:t>1600</w:t>
            </w:r>
            <w:r>
              <w:rPr>
                <w:sz w:val="22"/>
                <w:szCs w:val="22"/>
              </w:rPr>
              <w:t>kVA</w:t>
            </w:r>
            <w:r>
              <w:rPr>
                <w:spacing w:val="1"/>
                <w:sz w:val="22"/>
                <w:szCs w:val="22"/>
              </w:rPr>
              <w:t>箱变</w:t>
            </w:r>
          </w:p>
        </w:tc>
        <w:tc>
          <w:tcPr>
            <w:tcW w:w="1159" w:type="dxa"/>
            <w:vAlign w:val="top"/>
          </w:tcPr>
          <w:p w14:paraId="211F754E">
            <w:pPr>
              <w:pStyle w:val="6"/>
              <w:spacing w:before="42" w:line="187" w:lineRule="auto"/>
              <w:ind w:left="465"/>
              <w:rPr>
                <w:sz w:val="22"/>
                <w:szCs w:val="22"/>
              </w:rPr>
            </w:pPr>
            <w:r>
              <w:rPr>
                <w:sz w:val="22"/>
                <w:szCs w:val="22"/>
              </w:rPr>
              <w:t>台</w:t>
            </w:r>
          </w:p>
        </w:tc>
        <w:tc>
          <w:tcPr>
            <w:tcW w:w="1638" w:type="dxa"/>
            <w:vAlign w:val="top"/>
          </w:tcPr>
          <w:p w14:paraId="3530C2E8">
            <w:pPr>
              <w:pStyle w:val="6"/>
              <w:spacing w:before="62" w:line="170" w:lineRule="auto"/>
              <w:ind w:left="755"/>
              <w:rPr>
                <w:sz w:val="22"/>
                <w:szCs w:val="22"/>
              </w:rPr>
            </w:pPr>
            <w:r>
              <w:rPr>
                <w:sz w:val="22"/>
                <w:szCs w:val="22"/>
              </w:rPr>
              <w:t>5</w:t>
            </w:r>
          </w:p>
        </w:tc>
        <w:tc>
          <w:tcPr>
            <w:tcW w:w="1308" w:type="dxa"/>
            <w:vAlign w:val="top"/>
          </w:tcPr>
          <w:p w14:paraId="5640D87B">
            <w:pPr>
              <w:rPr>
                <w:rFonts w:ascii="Arial"/>
                <w:sz w:val="21"/>
              </w:rPr>
            </w:pPr>
          </w:p>
        </w:tc>
        <w:tc>
          <w:tcPr>
            <w:tcW w:w="494" w:type="dxa"/>
            <w:vMerge w:val="continue"/>
            <w:tcBorders>
              <w:top w:val="nil"/>
              <w:bottom w:val="nil"/>
            </w:tcBorders>
            <w:vAlign w:val="top"/>
          </w:tcPr>
          <w:p w14:paraId="4CC6DF78">
            <w:pPr>
              <w:rPr>
                <w:rFonts w:ascii="Arial"/>
                <w:sz w:val="21"/>
              </w:rPr>
            </w:pPr>
          </w:p>
        </w:tc>
      </w:tr>
      <w:tr w14:paraId="34509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34" w:type="dxa"/>
            <w:vMerge w:val="continue"/>
            <w:tcBorders>
              <w:top w:val="nil"/>
              <w:bottom w:val="nil"/>
            </w:tcBorders>
            <w:vAlign w:val="top"/>
          </w:tcPr>
          <w:p w14:paraId="4F5BD5E5">
            <w:pPr>
              <w:rPr>
                <w:rFonts w:ascii="Arial"/>
                <w:sz w:val="21"/>
              </w:rPr>
            </w:pPr>
          </w:p>
        </w:tc>
        <w:tc>
          <w:tcPr>
            <w:tcW w:w="110" w:type="dxa"/>
            <w:tcBorders>
              <w:top w:val="nil"/>
              <w:bottom w:val="nil"/>
            </w:tcBorders>
            <w:vAlign w:val="top"/>
          </w:tcPr>
          <w:p w14:paraId="4AF4F664">
            <w:pPr>
              <w:spacing w:line="237" w:lineRule="exact"/>
              <w:rPr>
                <w:rFonts w:ascii="Arial"/>
                <w:sz w:val="20"/>
              </w:rPr>
            </w:pPr>
          </w:p>
        </w:tc>
        <w:tc>
          <w:tcPr>
            <w:tcW w:w="1039" w:type="dxa"/>
            <w:vMerge w:val="restart"/>
            <w:tcBorders>
              <w:bottom w:val="nil"/>
            </w:tcBorders>
            <w:vAlign w:val="top"/>
          </w:tcPr>
          <w:p w14:paraId="5D5BE879">
            <w:pPr>
              <w:pStyle w:val="6"/>
              <w:spacing w:before="165" w:line="219" w:lineRule="auto"/>
              <w:ind w:left="71"/>
              <w:rPr>
                <w:sz w:val="22"/>
                <w:szCs w:val="22"/>
              </w:rPr>
            </w:pPr>
            <w:r>
              <w:rPr>
                <w:spacing w:val="-2"/>
                <w:sz w:val="22"/>
                <w:szCs w:val="22"/>
              </w:rPr>
              <w:t>集电线路</w:t>
            </w:r>
          </w:p>
        </w:tc>
        <w:tc>
          <w:tcPr>
            <w:tcW w:w="2897" w:type="dxa"/>
            <w:vAlign w:val="top"/>
          </w:tcPr>
          <w:p w14:paraId="55CA40C6">
            <w:pPr>
              <w:pStyle w:val="6"/>
              <w:spacing w:before="24" w:line="178" w:lineRule="auto"/>
              <w:ind w:left="1001"/>
              <w:rPr>
                <w:sz w:val="22"/>
                <w:szCs w:val="22"/>
              </w:rPr>
            </w:pPr>
            <w:r>
              <w:rPr>
                <w:spacing w:val="2"/>
                <w:sz w:val="22"/>
                <w:szCs w:val="22"/>
              </w:rPr>
              <w:t>直埋电缆</w:t>
            </w:r>
          </w:p>
        </w:tc>
        <w:tc>
          <w:tcPr>
            <w:tcW w:w="1159" w:type="dxa"/>
            <w:vAlign w:val="top"/>
          </w:tcPr>
          <w:p w14:paraId="6F59EE39">
            <w:pPr>
              <w:pStyle w:val="6"/>
              <w:spacing w:before="47" w:line="159" w:lineRule="auto"/>
              <w:ind w:left="465"/>
              <w:rPr>
                <w:sz w:val="22"/>
                <w:szCs w:val="22"/>
              </w:rPr>
            </w:pPr>
            <w:r>
              <w:rPr>
                <w:spacing w:val="-2"/>
                <w:sz w:val="22"/>
                <w:szCs w:val="22"/>
              </w:rPr>
              <w:t>km</w:t>
            </w:r>
          </w:p>
        </w:tc>
        <w:tc>
          <w:tcPr>
            <w:tcW w:w="1638" w:type="dxa"/>
            <w:vAlign w:val="top"/>
          </w:tcPr>
          <w:p w14:paraId="3FFFE791">
            <w:pPr>
              <w:pStyle w:val="6"/>
              <w:spacing w:before="47" w:line="159" w:lineRule="auto"/>
              <w:ind w:left="535"/>
              <w:rPr>
                <w:sz w:val="22"/>
                <w:szCs w:val="22"/>
              </w:rPr>
            </w:pPr>
            <w:r>
              <w:rPr>
                <w:spacing w:val="-4"/>
                <w:sz w:val="22"/>
                <w:szCs w:val="22"/>
              </w:rPr>
              <w:t>17.54</w:t>
            </w:r>
          </w:p>
        </w:tc>
        <w:tc>
          <w:tcPr>
            <w:tcW w:w="1308" w:type="dxa"/>
            <w:vAlign w:val="top"/>
          </w:tcPr>
          <w:p w14:paraId="0AEBD5C3">
            <w:pPr>
              <w:spacing w:line="237" w:lineRule="exact"/>
              <w:rPr>
                <w:rFonts w:ascii="Arial"/>
                <w:sz w:val="20"/>
              </w:rPr>
            </w:pPr>
          </w:p>
        </w:tc>
        <w:tc>
          <w:tcPr>
            <w:tcW w:w="494" w:type="dxa"/>
            <w:vMerge w:val="continue"/>
            <w:tcBorders>
              <w:top w:val="nil"/>
              <w:bottom w:val="nil"/>
            </w:tcBorders>
            <w:vAlign w:val="top"/>
          </w:tcPr>
          <w:p w14:paraId="76346A35">
            <w:pPr>
              <w:rPr>
                <w:rFonts w:ascii="Arial"/>
                <w:sz w:val="21"/>
              </w:rPr>
            </w:pPr>
          </w:p>
        </w:tc>
      </w:tr>
      <w:tr w14:paraId="6EA28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34" w:type="dxa"/>
            <w:vMerge w:val="continue"/>
            <w:tcBorders>
              <w:top w:val="nil"/>
              <w:bottom w:val="nil"/>
            </w:tcBorders>
            <w:vAlign w:val="top"/>
          </w:tcPr>
          <w:p w14:paraId="60F19090">
            <w:pPr>
              <w:rPr>
                <w:rFonts w:ascii="Arial"/>
                <w:sz w:val="21"/>
              </w:rPr>
            </w:pPr>
          </w:p>
        </w:tc>
        <w:tc>
          <w:tcPr>
            <w:tcW w:w="110" w:type="dxa"/>
            <w:tcBorders>
              <w:top w:val="nil"/>
              <w:bottom w:val="nil"/>
            </w:tcBorders>
            <w:vAlign w:val="top"/>
          </w:tcPr>
          <w:p w14:paraId="32C418B0">
            <w:pPr>
              <w:rPr>
                <w:rFonts w:ascii="Arial"/>
                <w:sz w:val="21"/>
              </w:rPr>
            </w:pPr>
          </w:p>
        </w:tc>
        <w:tc>
          <w:tcPr>
            <w:tcW w:w="1039" w:type="dxa"/>
            <w:vMerge w:val="continue"/>
            <w:tcBorders>
              <w:top w:val="nil"/>
            </w:tcBorders>
            <w:vAlign w:val="top"/>
          </w:tcPr>
          <w:p w14:paraId="29DD4A10">
            <w:pPr>
              <w:rPr>
                <w:rFonts w:ascii="Arial"/>
                <w:sz w:val="21"/>
              </w:rPr>
            </w:pPr>
          </w:p>
        </w:tc>
        <w:tc>
          <w:tcPr>
            <w:tcW w:w="2897" w:type="dxa"/>
            <w:vAlign w:val="top"/>
          </w:tcPr>
          <w:p w14:paraId="100F8E65">
            <w:pPr>
              <w:pStyle w:val="6"/>
              <w:spacing w:before="37" w:line="189" w:lineRule="auto"/>
              <w:ind w:left="781"/>
              <w:rPr>
                <w:sz w:val="22"/>
                <w:szCs w:val="22"/>
              </w:rPr>
            </w:pPr>
            <w:r>
              <w:rPr>
                <w:spacing w:val="-2"/>
                <w:sz w:val="22"/>
                <w:szCs w:val="22"/>
              </w:rPr>
              <w:t>集电架空线路</w:t>
            </w:r>
          </w:p>
        </w:tc>
        <w:tc>
          <w:tcPr>
            <w:tcW w:w="1159" w:type="dxa"/>
            <w:vAlign w:val="top"/>
          </w:tcPr>
          <w:p w14:paraId="37F8CA16">
            <w:pPr>
              <w:pStyle w:val="6"/>
              <w:spacing w:before="60" w:line="170" w:lineRule="auto"/>
              <w:ind w:left="465"/>
              <w:rPr>
                <w:sz w:val="22"/>
                <w:szCs w:val="22"/>
              </w:rPr>
            </w:pPr>
            <w:r>
              <w:rPr>
                <w:spacing w:val="-2"/>
                <w:sz w:val="22"/>
                <w:szCs w:val="22"/>
              </w:rPr>
              <w:t>km</w:t>
            </w:r>
          </w:p>
        </w:tc>
        <w:tc>
          <w:tcPr>
            <w:tcW w:w="1638" w:type="dxa"/>
            <w:vAlign w:val="top"/>
          </w:tcPr>
          <w:p w14:paraId="2E3D948D">
            <w:pPr>
              <w:pStyle w:val="6"/>
              <w:spacing w:before="60" w:line="170" w:lineRule="auto"/>
              <w:ind w:left="535"/>
              <w:rPr>
                <w:sz w:val="22"/>
                <w:szCs w:val="22"/>
              </w:rPr>
            </w:pPr>
            <w:r>
              <w:rPr>
                <w:spacing w:val="-3"/>
                <w:sz w:val="22"/>
                <w:szCs w:val="22"/>
              </w:rPr>
              <w:t>31.82</w:t>
            </w:r>
          </w:p>
        </w:tc>
        <w:tc>
          <w:tcPr>
            <w:tcW w:w="1308" w:type="dxa"/>
            <w:vAlign w:val="top"/>
          </w:tcPr>
          <w:p w14:paraId="1B0252EC">
            <w:pPr>
              <w:rPr>
                <w:rFonts w:ascii="Arial"/>
                <w:sz w:val="21"/>
              </w:rPr>
            </w:pPr>
          </w:p>
        </w:tc>
        <w:tc>
          <w:tcPr>
            <w:tcW w:w="494" w:type="dxa"/>
            <w:vMerge w:val="continue"/>
            <w:tcBorders>
              <w:top w:val="nil"/>
              <w:bottom w:val="nil"/>
            </w:tcBorders>
            <w:vAlign w:val="top"/>
          </w:tcPr>
          <w:p w14:paraId="7505F824">
            <w:pPr>
              <w:rPr>
                <w:rFonts w:ascii="Arial"/>
                <w:sz w:val="21"/>
              </w:rPr>
            </w:pPr>
          </w:p>
        </w:tc>
      </w:tr>
      <w:tr w14:paraId="313B8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34" w:type="dxa"/>
            <w:vMerge w:val="continue"/>
            <w:tcBorders>
              <w:top w:val="nil"/>
              <w:bottom w:val="nil"/>
            </w:tcBorders>
            <w:vAlign w:val="top"/>
          </w:tcPr>
          <w:p w14:paraId="063F6A63">
            <w:pPr>
              <w:rPr>
                <w:rFonts w:ascii="Arial"/>
                <w:sz w:val="21"/>
              </w:rPr>
            </w:pPr>
          </w:p>
        </w:tc>
        <w:tc>
          <w:tcPr>
            <w:tcW w:w="110" w:type="dxa"/>
            <w:tcBorders>
              <w:top w:val="nil"/>
              <w:bottom w:val="nil"/>
            </w:tcBorders>
            <w:vAlign w:val="top"/>
          </w:tcPr>
          <w:p w14:paraId="3027860F">
            <w:pPr>
              <w:rPr>
                <w:rFonts w:ascii="Arial"/>
                <w:sz w:val="21"/>
              </w:rPr>
            </w:pPr>
          </w:p>
        </w:tc>
        <w:tc>
          <w:tcPr>
            <w:tcW w:w="1039" w:type="dxa"/>
            <w:vMerge w:val="restart"/>
            <w:tcBorders>
              <w:bottom w:val="nil"/>
            </w:tcBorders>
            <w:vAlign w:val="top"/>
          </w:tcPr>
          <w:p w14:paraId="5B44F7C8">
            <w:pPr>
              <w:spacing w:line="273" w:lineRule="auto"/>
              <w:rPr>
                <w:rFonts w:ascii="Arial"/>
                <w:sz w:val="21"/>
              </w:rPr>
            </w:pPr>
          </w:p>
          <w:p w14:paraId="41682061">
            <w:pPr>
              <w:pStyle w:val="6"/>
              <w:spacing w:before="71" w:line="221" w:lineRule="auto"/>
              <w:ind w:left="180"/>
              <w:rPr>
                <w:sz w:val="22"/>
                <w:szCs w:val="22"/>
              </w:rPr>
            </w:pPr>
            <w:r>
              <w:rPr>
                <w:spacing w:val="4"/>
                <w:sz w:val="22"/>
                <w:szCs w:val="22"/>
              </w:rPr>
              <w:t>升压站</w:t>
            </w:r>
          </w:p>
        </w:tc>
        <w:tc>
          <w:tcPr>
            <w:tcW w:w="2897" w:type="dxa"/>
            <w:vAlign w:val="top"/>
          </w:tcPr>
          <w:p w14:paraId="5E1CD4BD">
            <w:pPr>
              <w:pStyle w:val="6"/>
              <w:spacing w:before="35" w:line="184" w:lineRule="auto"/>
              <w:ind w:left="671"/>
              <w:rPr>
                <w:sz w:val="22"/>
                <w:szCs w:val="22"/>
              </w:rPr>
            </w:pPr>
            <w:r>
              <w:rPr>
                <w:spacing w:val="2"/>
                <w:sz w:val="22"/>
                <w:szCs w:val="22"/>
              </w:rPr>
              <w:t>站址总用地面积</w:t>
            </w:r>
          </w:p>
        </w:tc>
        <w:tc>
          <w:tcPr>
            <w:tcW w:w="1159" w:type="dxa"/>
            <w:vAlign w:val="top"/>
          </w:tcPr>
          <w:p w14:paraId="5874DC29">
            <w:pPr>
              <w:pStyle w:val="6"/>
              <w:spacing w:before="78" w:line="177" w:lineRule="exact"/>
              <w:ind w:left="405"/>
              <w:rPr>
                <w:sz w:val="22"/>
                <w:szCs w:val="22"/>
              </w:rPr>
            </w:pPr>
            <w:r>
              <w:rPr>
                <w:spacing w:val="-1"/>
                <w:position w:val="-3"/>
                <w:sz w:val="22"/>
                <w:szCs w:val="22"/>
              </w:rPr>
              <w:t>m²</w:t>
            </w:r>
          </w:p>
        </w:tc>
        <w:tc>
          <w:tcPr>
            <w:tcW w:w="1638" w:type="dxa"/>
            <w:vAlign w:val="top"/>
          </w:tcPr>
          <w:p w14:paraId="72D2C6DB">
            <w:pPr>
              <w:pStyle w:val="6"/>
              <w:spacing w:before="57" w:line="166" w:lineRule="auto"/>
              <w:ind w:left="535"/>
              <w:rPr>
                <w:sz w:val="22"/>
                <w:szCs w:val="22"/>
              </w:rPr>
            </w:pPr>
            <w:r>
              <w:rPr>
                <w:spacing w:val="-4"/>
                <w:sz w:val="22"/>
                <w:szCs w:val="22"/>
              </w:rPr>
              <w:t>11014</w:t>
            </w:r>
          </w:p>
        </w:tc>
        <w:tc>
          <w:tcPr>
            <w:tcW w:w="1308" w:type="dxa"/>
            <w:vAlign w:val="top"/>
          </w:tcPr>
          <w:p w14:paraId="131D4DD5">
            <w:pPr>
              <w:rPr>
                <w:rFonts w:ascii="Arial"/>
                <w:sz w:val="21"/>
              </w:rPr>
            </w:pPr>
          </w:p>
        </w:tc>
        <w:tc>
          <w:tcPr>
            <w:tcW w:w="494" w:type="dxa"/>
            <w:vMerge w:val="continue"/>
            <w:tcBorders>
              <w:top w:val="nil"/>
              <w:bottom w:val="nil"/>
            </w:tcBorders>
            <w:vAlign w:val="top"/>
          </w:tcPr>
          <w:p w14:paraId="335D3170">
            <w:pPr>
              <w:rPr>
                <w:rFonts w:ascii="Arial"/>
                <w:sz w:val="21"/>
              </w:rPr>
            </w:pPr>
          </w:p>
        </w:tc>
      </w:tr>
      <w:tr w14:paraId="150D3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34" w:type="dxa"/>
            <w:vMerge w:val="continue"/>
            <w:tcBorders>
              <w:top w:val="nil"/>
              <w:bottom w:val="nil"/>
            </w:tcBorders>
            <w:vAlign w:val="top"/>
          </w:tcPr>
          <w:p w14:paraId="6BD5ED6E">
            <w:pPr>
              <w:rPr>
                <w:rFonts w:ascii="Arial"/>
                <w:sz w:val="21"/>
              </w:rPr>
            </w:pPr>
          </w:p>
        </w:tc>
        <w:tc>
          <w:tcPr>
            <w:tcW w:w="110" w:type="dxa"/>
            <w:tcBorders>
              <w:top w:val="nil"/>
              <w:bottom w:val="nil"/>
            </w:tcBorders>
            <w:vAlign w:val="top"/>
          </w:tcPr>
          <w:p w14:paraId="612FD518">
            <w:pPr>
              <w:rPr>
                <w:rFonts w:ascii="Arial"/>
                <w:sz w:val="21"/>
              </w:rPr>
            </w:pPr>
          </w:p>
        </w:tc>
        <w:tc>
          <w:tcPr>
            <w:tcW w:w="1039" w:type="dxa"/>
            <w:vMerge w:val="continue"/>
            <w:tcBorders>
              <w:top w:val="nil"/>
              <w:bottom w:val="nil"/>
            </w:tcBorders>
            <w:vAlign w:val="top"/>
          </w:tcPr>
          <w:p w14:paraId="47430E9D">
            <w:pPr>
              <w:rPr>
                <w:rFonts w:ascii="Arial"/>
                <w:sz w:val="21"/>
              </w:rPr>
            </w:pPr>
          </w:p>
        </w:tc>
        <w:tc>
          <w:tcPr>
            <w:tcW w:w="2897" w:type="dxa"/>
            <w:vAlign w:val="top"/>
          </w:tcPr>
          <w:p w14:paraId="7AD34038">
            <w:pPr>
              <w:pStyle w:val="6"/>
              <w:spacing w:before="69" w:line="195" w:lineRule="auto"/>
              <w:ind w:left="1111"/>
              <w:rPr>
                <w:sz w:val="22"/>
                <w:szCs w:val="22"/>
              </w:rPr>
            </w:pPr>
            <w:r>
              <w:rPr>
                <w:spacing w:val="3"/>
                <w:sz w:val="22"/>
                <w:szCs w:val="22"/>
              </w:rPr>
              <w:t>综合楼</w:t>
            </w:r>
          </w:p>
        </w:tc>
        <w:tc>
          <w:tcPr>
            <w:tcW w:w="1159" w:type="dxa"/>
            <w:vAlign w:val="top"/>
          </w:tcPr>
          <w:p w14:paraId="22FB2827">
            <w:pPr>
              <w:pStyle w:val="6"/>
              <w:spacing w:before="113" w:line="158" w:lineRule="auto"/>
              <w:ind w:left="405"/>
              <w:rPr>
                <w:sz w:val="22"/>
                <w:szCs w:val="22"/>
              </w:rPr>
            </w:pPr>
            <w:r>
              <w:rPr>
                <w:spacing w:val="-1"/>
                <w:sz w:val="22"/>
                <w:szCs w:val="22"/>
              </w:rPr>
              <w:t>m²</w:t>
            </w:r>
          </w:p>
        </w:tc>
        <w:tc>
          <w:tcPr>
            <w:tcW w:w="1638" w:type="dxa"/>
            <w:vAlign w:val="top"/>
          </w:tcPr>
          <w:p w14:paraId="398862A0">
            <w:pPr>
              <w:pStyle w:val="6"/>
              <w:spacing w:before="92" w:line="176" w:lineRule="auto"/>
              <w:ind w:left="535"/>
              <w:rPr>
                <w:sz w:val="22"/>
                <w:szCs w:val="22"/>
              </w:rPr>
            </w:pPr>
            <w:r>
              <w:rPr>
                <w:spacing w:val="-2"/>
                <w:sz w:val="22"/>
                <w:szCs w:val="22"/>
              </w:rPr>
              <w:t>836.5</w:t>
            </w:r>
          </w:p>
        </w:tc>
        <w:tc>
          <w:tcPr>
            <w:tcW w:w="1308" w:type="dxa"/>
            <w:vAlign w:val="top"/>
          </w:tcPr>
          <w:p w14:paraId="6FB037C9">
            <w:pPr>
              <w:rPr>
                <w:rFonts w:ascii="Arial"/>
                <w:sz w:val="21"/>
              </w:rPr>
            </w:pPr>
          </w:p>
        </w:tc>
        <w:tc>
          <w:tcPr>
            <w:tcW w:w="494" w:type="dxa"/>
            <w:vMerge w:val="continue"/>
            <w:tcBorders>
              <w:top w:val="nil"/>
              <w:bottom w:val="nil"/>
            </w:tcBorders>
            <w:vAlign w:val="top"/>
          </w:tcPr>
          <w:p w14:paraId="7E3680C0">
            <w:pPr>
              <w:rPr>
                <w:rFonts w:ascii="Arial"/>
                <w:sz w:val="21"/>
              </w:rPr>
            </w:pPr>
          </w:p>
        </w:tc>
      </w:tr>
      <w:tr w14:paraId="174DD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434" w:type="dxa"/>
            <w:vMerge w:val="continue"/>
            <w:tcBorders>
              <w:top w:val="nil"/>
              <w:bottom w:val="nil"/>
            </w:tcBorders>
            <w:vAlign w:val="top"/>
          </w:tcPr>
          <w:p w14:paraId="5CCCB100">
            <w:pPr>
              <w:rPr>
                <w:rFonts w:ascii="Arial"/>
                <w:sz w:val="21"/>
              </w:rPr>
            </w:pPr>
          </w:p>
        </w:tc>
        <w:tc>
          <w:tcPr>
            <w:tcW w:w="110" w:type="dxa"/>
            <w:tcBorders>
              <w:top w:val="nil"/>
              <w:bottom w:val="nil"/>
            </w:tcBorders>
            <w:vAlign w:val="top"/>
          </w:tcPr>
          <w:p w14:paraId="5C3E3DB4">
            <w:pPr>
              <w:rPr>
                <w:rFonts w:ascii="Arial"/>
                <w:sz w:val="21"/>
              </w:rPr>
            </w:pPr>
          </w:p>
        </w:tc>
        <w:tc>
          <w:tcPr>
            <w:tcW w:w="1039" w:type="dxa"/>
            <w:vMerge w:val="continue"/>
            <w:tcBorders>
              <w:top w:val="nil"/>
            </w:tcBorders>
            <w:vAlign w:val="top"/>
          </w:tcPr>
          <w:p w14:paraId="3306E32E">
            <w:pPr>
              <w:rPr>
                <w:rFonts w:ascii="Arial"/>
                <w:sz w:val="21"/>
              </w:rPr>
            </w:pPr>
          </w:p>
        </w:tc>
        <w:tc>
          <w:tcPr>
            <w:tcW w:w="2897" w:type="dxa"/>
            <w:vAlign w:val="top"/>
          </w:tcPr>
          <w:p w14:paraId="791ABA2D">
            <w:pPr>
              <w:pStyle w:val="6"/>
              <w:spacing w:before="58" w:line="196" w:lineRule="auto"/>
              <w:ind w:left="1001"/>
              <w:rPr>
                <w:sz w:val="22"/>
                <w:szCs w:val="22"/>
              </w:rPr>
            </w:pPr>
            <w:r>
              <w:rPr>
                <w:spacing w:val="3"/>
                <w:sz w:val="22"/>
                <w:szCs w:val="22"/>
              </w:rPr>
              <w:t>辅助用房</w:t>
            </w:r>
          </w:p>
        </w:tc>
        <w:tc>
          <w:tcPr>
            <w:tcW w:w="1159" w:type="dxa"/>
            <w:vAlign w:val="top"/>
          </w:tcPr>
          <w:p w14:paraId="4B262B34">
            <w:pPr>
              <w:pStyle w:val="6"/>
              <w:spacing w:before="101" w:line="160" w:lineRule="auto"/>
              <w:ind w:left="405"/>
              <w:rPr>
                <w:sz w:val="22"/>
                <w:szCs w:val="22"/>
              </w:rPr>
            </w:pPr>
            <w:r>
              <w:rPr>
                <w:spacing w:val="-1"/>
                <w:sz w:val="22"/>
                <w:szCs w:val="22"/>
              </w:rPr>
              <w:t>m²</w:t>
            </w:r>
          </w:p>
        </w:tc>
        <w:tc>
          <w:tcPr>
            <w:tcW w:w="1638" w:type="dxa"/>
            <w:vAlign w:val="top"/>
          </w:tcPr>
          <w:p w14:paraId="37D28D14">
            <w:pPr>
              <w:pStyle w:val="6"/>
              <w:spacing w:before="79" w:line="178" w:lineRule="auto"/>
              <w:ind w:left="535"/>
              <w:rPr>
                <w:sz w:val="22"/>
                <w:szCs w:val="22"/>
              </w:rPr>
            </w:pPr>
            <w:r>
              <w:rPr>
                <w:spacing w:val="-2"/>
                <w:sz w:val="22"/>
                <w:szCs w:val="22"/>
              </w:rPr>
              <w:t>262.8</w:t>
            </w:r>
          </w:p>
        </w:tc>
        <w:tc>
          <w:tcPr>
            <w:tcW w:w="1308" w:type="dxa"/>
            <w:vAlign w:val="top"/>
          </w:tcPr>
          <w:p w14:paraId="0ACECEA8">
            <w:pPr>
              <w:rPr>
                <w:rFonts w:ascii="Arial"/>
                <w:sz w:val="21"/>
              </w:rPr>
            </w:pPr>
          </w:p>
        </w:tc>
        <w:tc>
          <w:tcPr>
            <w:tcW w:w="494" w:type="dxa"/>
            <w:vMerge w:val="continue"/>
            <w:tcBorders>
              <w:top w:val="nil"/>
              <w:bottom w:val="nil"/>
            </w:tcBorders>
            <w:vAlign w:val="top"/>
          </w:tcPr>
          <w:p w14:paraId="353FD2B1">
            <w:pPr>
              <w:rPr>
                <w:rFonts w:ascii="Arial"/>
                <w:sz w:val="21"/>
              </w:rPr>
            </w:pPr>
          </w:p>
        </w:tc>
      </w:tr>
      <w:tr w14:paraId="7BD2B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434" w:type="dxa"/>
            <w:vMerge w:val="continue"/>
            <w:tcBorders>
              <w:top w:val="nil"/>
              <w:bottom w:val="nil"/>
            </w:tcBorders>
            <w:vAlign w:val="top"/>
          </w:tcPr>
          <w:p w14:paraId="730DD36E">
            <w:pPr>
              <w:rPr>
                <w:rFonts w:ascii="Arial"/>
                <w:sz w:val="21"/>
              </w:rPr>
            </w:pPr>
          </w:p>
        </w:tc>
        <w:tc>
          <w:tcPr>
            <w:tcW w:w="110" w:type="dxa"/>
            <w:tcBorders>
              <w:top w:val="nil"/>
              <w:bottom w:val="nil"/>
            </w:tcBorders>
            <w:vAlign w:val="top"/>
          </w:tcPr>
          <w:p w14:paraId="3BE9BC72">
            <w:pPr>
              <w:spacing w:line="232" w:lineRule="exact"/>
              <w:rPr>
                <w:rFonts w:ascii="Arial"/>
                <w:sz w:val="20"/>
              </w:rPr>
            </w:pPr>
          </w:p>
        </w:tc>
        <w:tc>
          <w:tcPr>
            <w:tcW w:w="1039" w:type="dxa"/>
            <w:vMerge w:val="restart"/>
            <w:tcBorders>
              <w:bottom w:val="nil"/>
            </w:tcBorders>
            <w:vAlign w:val="top"/>
          </w:tcPr>
          <w:p w14:paraId="0525FF7A">
            <w:pPr>
              <w:pStyle w:val="6"/>
              <w:spacing w:before="306" w:line="220" w:lineRule="auto"/>
              <w:ind w:left="71"/>
              <w:rPr>
                <w:sz w:val="22"/>
                <w:szCs w:val="22"/>
              </w:rPr>
            </w:pPr>
            <w:r>
              <w:rPr>
                <w:spacing w:val="-2"/>
                <w:sz w:val="22"/>
                <w:szCs w:val="22"/>
              </w:rPr>
              <w:t>经济指标</w:t>
            </w:r>
          </w:p>
        </w:tc>
        <w:tc>
          <w:tcPr>
            <w:tcW w:w="2897" w:type="dxa"/>
            <w:vAlign w:val="top"/>
          </w:tcPr>
          <w:p w14:paraId="3FEEAC70">
            <w:pPr>
              <w:pStyle w:val="6"/>
              <w:spacing w:before="26" w:line="173" w:lineRule="auto"/>
              <w:ind w:left="1111"/>
              <w:rPr>
                <w:sz w:val="22"/>
                <w:szCs w:val="22"/>
              </w:rPr>
            </w:pPr>
            <w:r>
              <w:rPr>
                <w:spacing w:val="5"/>
                <w:sz w:val="22"/>
                <w:szCs w:val="22"/>
              </w:rPr>
              <w:t>总投资</w:t>
            </w:r>
          </w:p>
        </w:tc>
        <w:tc>
          <w:tcPr>
            <w:tcW w:w="1159" w:type="dxa"/>
            <w:vAlign w:val="top"/>
          </w:tcPr>
          <w:p w14:paraId="112FA612">
            <w:pPr>
              <w:pStyle w:val="6"/>
              <w:spacing w:before="26" w:line="173" w:lineRule="auto"/>
              <w:ind w:left="354"/>
              <w:rPr>
                <w:sz w:val="22"/>
                <w:szCs w:val="22"/>
              </w:rPr>
            </w:pPr>
            <w:r>
              <w:rPr>
                <w:spacing w:val="4"/>
                <w:sz w:val="22"/>
                <w:szCs w:val="22"/>
              </w:rPr>
              <w:t>万元</w:t>
            </w:r>
          </w:p>
        </w:tc>
        <w:tc>
          <w:tcPr>
            <w:tcW w:w="1638" w:type="dxa"/>
            <w:vAlign w:val="top"/>
          </w:tcPr>
          <w:p w14:paraId="07F7D7F7">
            <w:pPr>
              <w:pStyle w:val="6"/>
              <w:spacing w:before="47" w:line="185" w:lineRule="exact"/>
              <w:ind w:left="535"/>
              <w:rPr>
                <w:sz w:val="22"/>
                <w:szCs w:val="22"/>
              </w:rPr>
            </w:pPr>
            <w:r>
              <w:rPr>
                <w:spacing w:val="-3"/>
                <w:position w:val="-2"/>
                <w:sz w:val="22"/>
                <w:szCs w:val="22"/>
              </w:rPr>
              <w:t>70000</w:t>
            </w:r>
          </w:p>
        </w:tc>
        <w:tc>
          <w:tcPr>
            <w:tcW w:w="1308" w:type="dxa"/>
            <w:vAlign w:val="top"/>
          </w:tcPr>
          <w:p w14:paraId="61693143">
            <w:pPr>
              <w:spacing w:line="232" w:lineRule="exact"/>
              <w:rPr>
                <w:rFonts w:ascii="Arial"/>
                <w:sz w:val="20"/>
              </w:rPr>
            </w:pPr>
          </w:p>
        </w:tc>
        <w:tc>
          <w:tcPr>
            <w:tcW w:w="494" w:type="dxa"/>
            <w:vMerge w:val="continue"/>
            <w:tcBorders>
              <w:top w:val="nil"/>
              <w:bottom w:val="nil"/>
            </w:tcBorders>
            <w:vAlign w:val="top"/>
          </w:tcPr>
          <w:p w14:paraId="3F202E55">
            <w:pPr>
              <w:rPr>
                <w:rFonts w:ascii="Arial"/>
                <w:sz w:val="21"/>
              </w:rPr>
            </w:pPr>
          </w:p>
        </w:tc>
      </w:tr>
      <w:tr w14:paraId="2AE8A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434" w:type="dxa"/>
            <w:vMerge w:val="continue"/>
            <w:tcBorders>
              <w:top w:val="nil"/>
              <w:bottom w:val="nil"/>
            </w:tcBorders>
            <w:vAlign w:val="top"/>
          </w:tcPr>
          <w:p w14:paraId="03DB4375">
            <w:pPr>
              <w:rPr>
                <w:rFonts w:ascii="Arial"/>
                <w:sz w:val="21"/>
              </w:rPr>
            </w:pPr>
          </w:p>
        </w:tc>
        <w:tc>
          <w:tcPr>
            <w:tcW w:w="110" w:type="dxa"/>
            <w:tcBorders>
              <w:top w:val="nil"/>
            </w:tcBorders>
            <w:vAlign w:val="top"/>
          </w:tcPr>
          <w:p w14:paraId="214280CD">
            <w:pPr>
              <w:rPr>
                <w:rFonts w:ascii="Arial"/>
                <w:sz w:val="21"/>
              </w:rPr>
            </w:pPr>
          </w:p>
        </w:tc>
        <w:tc>
          <w:tcPr>
            <w:tcW w:w="1039" w:type="dxa"/>
            <w:vMerge w:val="continue"/>
            <w:tcBorders>
              <w:top w:val="nil"/>
            </w:tcBorders>
            <w:vAlign w:val="top"/>
          </w:tcPr>
          <w:p w14:paraId="4E14851D">
            <w:pPr>
              <w:rPr>
                <w:rFonts w:ascii="Arial"/>
                <w:sz w:val="21"/>
              </w:rPr>
            </w:pPr>
          </w:p>
        </w:tc>
        <w:tc>
          <w:tcPr>
            <w:tcW w:w="2897" w:type="dxa"/>
            <w:vAlign w:val="top"/>
          </w:tcPr>
          <w:p w14:paraId="21D51827">
            <w:pPr>
              <w:pStyle w:val="6"/>
              <w:spacing w:before="193" w:line="220" w:lineRule="auto"/>
              <w:ind w:left="1001"/>
              <w:rPr>
                <w:sz w:val="22"/>
                <w:szCs w:val="22"/>
              </w:rPr>
            </w:pPr>
            <w:r>
              <w:rPr>
                <w:spacing w:val="3"/>
                <w:sz w:val="22"/>
                <w:szCs w:val="22"/>
              </w:rPr>
              <w:t>建设工期</w:t>
            </w:r>
          </w:p>
        </w:tc>
        <w:tc>
          <w:tcPr>
            <w:tcW w:w="1159" w:type="dxa"/>
            <w:vAlign w:val="top"/>
          </w:tcPr>
          <w:p w14:paraId="540B3B6B">
            <w:pPr>
              <w:pStyle w:val="6"/>
              <w:spacing w:before="193" w:line="219" w:lineRule="auto"/>
              <w:ind w:left="465"/>
              <w:rPr>
                <w:sz w:val="22"/>
                <w:szCs w:val="22"/>
              </w:rPr>
            </w:pPr>
            <w:r>
              <w:rPr>
                <w:sz w:val="22"/>
                <w:szCs w:val="22"/>
              </w:rPr>
              <w:t>月</w:t>
            </w:r>
          </w:p>
        </w:tc>
        <w:tc>
          <w:tcPr>
            <w:tcW w:w="1638" w:type="dxa"/>
            <w:vAlign w:val="top"/>
          </w:tcPr>
          <w:p w14:paraId="6387611B">
            <w:pPr>
              <w:pStyle w:val="6"/>
              <w:spacing w:before="214"/>
              <w:ind w:left="755"/>
              <w:rPr>
                <w:sz w:val="22"/>
                <w:szCs w:val="22"/>
              </w:rPr>
            </w:pPr>
            <w:r>
              <w:rPr>
                <w:sz w:val="22"/>
                <w:szCs w:val="22"/>
              </w:rPr>
              <w:t>3</w:t>
            </w:r>
          </w:p>
        </w:tc>
        <w:tc>
          <w:tcPr>
            <w:tcW w:w="1308" w:type="dxa"/>
            <w:vAlign w:val="top"/>
          </w:tcPr>
          <w:p w14:paraId="43A91BEE">
            <w:pPr>
              <w:pStyle w:val="6"/>
              <w:spacing w:before="82" w:line="272" w:lineRule="exact"/>
              <w:ind w:left="48"/>
              <w:rPr>
                <w:sz w:val="22"/>
                <w:szCs w:val="22"/>
              </w:rPr>
            </w:pPr>
            <w:r>
              <w:rPr>
                <w:spacing w:val="5"/>
                <w:position w:val="-20"/>
                <w:sz w:val="22"/>
                <w:szCs w:val="22"/>
              </w:rPr>
              <w:t>~</w:t>
            </w:r>
            <w:r>
              <w:rPr>
                <w:spacing w:val="5"/>
                <w:position w:val="4"/>
                <w:sz w:val="22"/>
                <w:szCs w:val="22"/>
              </w:rPr>
              <w:t>2024年9月</w:t>
            </w:r>
          </w:p>
          <w:p w14:paraId="62CCF69E">
            <w:pPr>
              <w:pStyle w:val="6"/>
              <w:spacing w:before="1" w:line="168" w:lineRule="auto"/>
              <w:jc w:val="right"/>
              <w:rPr>
                <w:sz w:val="22"/>
                <w:szCs w:val="22"/>
              </w:rPr>
            </w:pPr>
            <w:r>
              <w:rPr>
                <w:spacing w:val="3"/>
                <w:sz w:val="22"/>
                <w:szCs w:val="22"/>
              </w:rPr>
              <w:t>2024年12月</w:t>
            </w:r>
          </w:p>
        </w:tc>
        <w:tc>
          <w:tcPr>
            <w:tcW w:w="494" w:type="dxa"/>
            <w:vMerge w:val="continue"/>
            <w:tcBorders>
              <w:top w:val="nil"/>
            </w:tcBorders>
            <w:vAlign w:val="top"/>
          </w:tcPr>
          <w:p w14:paraId="3A69BB5E">
            <w:pPr>
              <w:rPr>
                <w:rFonts w:ascii="Arial"/>
                <w:sz w:val="21"/>
              </w:rPr>
            </w:pPr>
          </w:p>
        </w:tc>
      </w:tr>
      <w:tr w14:paraId="0564C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2" w:hRule="atLeast"/>
        </w:trPr>
        <w:tc>
          <w:tcPr>
            <w:tcW w:w="434" w:type="dxa"/>
            <w:vMerge w:val="continue"/>
            <w:tcBorders>
              <w:top w:val="nil"/>
            </w:tcBorders>
            <w:vAlign w:val="top"/>
          </w:tcPr>
          <w:p w14:paraId="1389194C">
            <w:pPr>
              <w:rPr>
                <w:rFonts w:ascii="Arial"/>
                <w:sz w:val="21"/>
              </w:rPr>
            </w:pPr>
          </w:p>
        </w:tc>
        <w:tc>
          <w:tcPr>
            <w:tcW w:w="8645" w:type="dxa"/>
            <w:gridSpan w:val="7"/>
            <w:vAlign w:val="top"/>
          </w:tcPr>
          <w:p w14:paraId="5751A886">
            <w:pPr>
              <w:pStyle w:val="6"/>
              <w:spacing w:before="54" w:line="220" w:lineRule="auto"/>
              <w:ind w:left="104"/>
              <w:rPr>
                <w:sz w:val="22"/>
                <w:szCs w:val="22"/>
              </w:rPr>
            </w:pPr>
            <w:r>
              <w:rPr>
                <w:b/>
                <w:bCs/>
                <w:spacing w:val="-4"/>
                <w:sz w:val="22"/>
                <w:szCs w:val="22"/>
              </w:rPr>
              <w:t>八、拆迁安置</w:t>
            </w:r>
          </w:p>
          <w:p w14:paraId="754B5B0F">
            <w:pPr>
              <w:pStyle w:val="6"/>
              <w:spacing w:before="229" w:line="389" w:lineRule="auto"/>
              <w:ind w:left="101" w:right="758" w:firstLine="489"/>
              <w:rPr>
                <w:sz w:val="22"/>
                <w:szCs w:val="22"/>
              </w:rPr>
            </w:pPr>
            <w:r>
              <w:rPr>
                <w:spacing w:val="1"/>
                <w:sz w:val="22"/>
                <w:szCs w:val="22"/>
              </w:rPr>
              <w:t>本工程占地范围之内无居民住宅及其他设施，因此本工</w:t>
            </w:r>
            <w:r>
              <w:rPr>
                <w:sz w:val="22"/>
                <w:szCs w:val="22"/>
              </w:rPr>
              <w:t>程不涉及拆迁安置问 题。</w:t>
            </w:r>
          </w:p>
          <w:p w14:paraId="09286B17">
            <w:pPr>
              <w:pStyle w:val="6"/>
              <w:spacing w:line="219" w:lineRule="auto"/>
              <w:ind w:left="104"/>
              <w:rPr>
                <w:sz w:val="22"/>
                <w:szCs w:val="22"/>
              </w:rPr>
            </w:pPr>
            <w:r>
              <w:rPr>
                <w:b/>
                <w:bCs/>
                <w:spacing w:val="-2"/>
                <w:sz w:val="22"/>
                <w:szCs w:val="22"/>
              </w:rPr>
              <w:t>九、劳动定员及工作制度</w:t>
            </w:r>
          </w:p>
          <w:p w14:paraId="0528C733">
            <w:pPr>
              <w:pStyle w:val="6"/>
              <w:spacing w:before="202" w:line="220" w:lineRule="auto"/>
              <w:ind w:left="580"/>
              <w:rPr>
                <w:sz w:val="22"/>
                <w:szCs w:val="22"/>
              </w:rPr>
            </w:pPr>
            <w:r>
              <w:rPr>
                <w:sz w:val="22"/>
                <w:szCs w:val="22"/>
              </w:rPr>
              <w:t>施工期：施工人员约100人，项目区不设置施工营</w:t>
            </w:r>
            <w:r>
              <w:rPr>
                <w:spacing w:val="-1"/>
                <w:sz w:val="22"/>
                <w:szCs w:val="22"/>
              </w:rPr>
              <w:t>地。</w:t>
            </w:r>
          </w:p>
          <w:p w14:paraId="62033178">
            <w:pPr>
              <w:pStyle w:val="6"/>
              <w:spacing w:before="217" w:line="219" w:lineRule="auto"/>
              <w:ind w:left="580"/>
              <w:rPr>
                <w:sz w:val="22"/>
                <w:szCs w:val="22"/>
              </w:rPr>
            </w:pPr>
            <w:r>
              <w:rPr>
                <w:sz w:val="22"/>
                <w:szCs w:val="22"/>
              </w:rPr>
              <w:t>运营期：升压站值班人员10人，工作制度为全年365</w:t>
            </w:r>
            <w:r>
              <w:rPr>
                <w:spacing w:val="-1"/>
                <w:sz w:val="22"/>
                <w:szCs w:val="22"/>
              </w:rPr>
              <w:t>天，实行3班制，每班</w:t>
            </w:r>
          </w:p>
          <w:p w14:paraId="6283229E">
            <w:pPr>
              <w:pStyle w:val="6"/>
              <w:spacing w:before="202" w:line="221" w:lineRule="auto"/>
              <w:ind w:left="101"/>
              <w:rPr>
                <w:sz w:val="22"/>
                <w:szCs w:val="22"/>
              </w:rPr>
            </w:pPr>
            <w:r>
              <w:rPr>
                <w:spacing w:val="-11"/>
                <w:sz w:val="22"/>
                <w:szCs w:val="22"/>
              </w:rPr>
              <w:t>8</w:t>
            </w:r>
            <w:r>
              <w:rPr>
                <w:spacing w:val="-35"/>
                <w:sz w:val="22"/>
                <w:szCs w:val="22"/>
              </w:rPr>
              <w:t xml:space="preserve"> </w:t>
            </w:r>
            <w:r>
              <w:rPr>
                <w:spacing w:val="-11"/>
                <w:sz w:val="22"/>
                <w:szCs w:val="22"/>
              </w:rPr>
              <w:t>小</w:t>
            </w:r>
            <w:r>
              <w:rPr>
                <w:spacing w:val="-31"/>
                <w:sz w:val="22"/>
                <w:szCs w:val="22"/>
              </w:rPr>
              <w:t xml:space="preserve"> </w:t>
            </w:r>
            <w:r>
              <w:rPr>
                <w:spacing w:val="-11"/>
                <w:sz w:val="22"/>
                <w:szCs w:val="22"/>
              </w:rPr>
              <w:t>时</w:t>
            </w:r>
            <w:r>
              <w:rPr>
                <w:spacing w:val="-50"/>
                <w:sz w:val="22"/>
                <w:szCs w:val="22"/>
              </w:rPr>
              <w:t xml:space="preserve"> </w:t>
            </w:r>
            <w:r>
              <w:rPr>
                <w:spacing w:val="-11"/>
                <w:sz w:val="22"/>
                <w:szCs w:val="22"/>
              </w:rPr>
              <w:t>。</w:t>
            </w:r>
          </w:p>
        </w:tc>
      </w:tr>
    </w:tbl>
    <w:p w14:paraId="20A0E526">
      <w:pPr>
        <w:pStyle w:val="2"/>
      </w:pPr>
    </w:p>
    <w:p w14:paraId="1BF4E2E2">
      <w:pPr>
        <w:sectPr>
          <w:footerReference r:id="rId51" w:type="default"/>
          <w:pgSz w:w="11910" w:h="16840"/>
          <w:pgMar w:top="1431" w:right="1415" w:bottom="1255" w:left="1405" w:header="0" w:footer="1093" w:gutter="0"/>
          <w:cols w:space="720" w:num="1"/>
        </w:sectPr>
      </w:pPr>
    </w:p>
    <w:p w14:paraId="728E1345">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28C8A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textDirection w:val="tbRlV"/>
            <w:vAlign w:val="top"/>
          </w:tcPr>
          <w:p w14:paraId="410B3912">
            <w:pPr>
              <w:pStyle w:val="6"/>
              <w:spacing w:before="77" w:line="202" w:lineRule="auto"/>
              <w:ind w:left="5532"/>
            </w:pPr>
            <w:r>
              <w:t>总</w:t>
            </w:r>
            <w:r>
              <w:rPr>
                <w:spacing w:val="-43"/>
              </w:rPr>
              <w:t xml:space="preserve"> </w:t>
            </w:r>
            <w:r>
              <w:t>平</w:t>
            </w:r>
            <w:r>
              <w:rPr>
                <w:spacing w:val="-43"/>
              </w:rPr>
              <w:t xml:space="preserve"> </w:t>
            </w:r>
            <w:r>
              <w:t>面</w:t>
            </w:r>
            <w:r>
              <w:rPr>
                <w:spacing w:val="-42"/>
              </w:rPr>
              <w:t xml:space="preserve"> </w:t>
            </w:r>
            <w:r>
              <w:t>及</w:t>
            </w:r>
            <w:r>
              <w:rPr>
                <w:spacing w:val="-42"/>
              </w:rPr>
              <w:t xml:space="preserve"> </w:t>
            </w:r>
            <w:r>
              <w:t>现</w:t>
            </w:r>
            <w:r>
              <w:rPr>
                <w:spacing w:val="-42"/>
              </w:rPr>
              <w:t xml:space="preserve"> </w:t>
            </w:r>
            <w:r>
              <w:t>场</w:t>
            </w:r>
            <w:r>
              <w:rPr>
                <w:spacing w:val="-43"/>
              </w:rPr>
              <w:t xml:space="preserve"> </w:t>
            </w:r>
            <w:r>
              <w:t>布</w:t>
            </w:r>
            <w:r>
              <w:rPr>
                <w:spacing w:val="-42"/>
              </w:rPr>
              <w:t xml:space="preserve"> </w:t>
            </w:r>
            <w:r>
              <w:t>置</w:t>
            </w:r>
          </w:p>
        </w:tc>
        <w:tc>
          <w:tcPr>
            <w:tcW w:w="8655" w:type="dxa"/>
            <w:vAlign w:val="top"/>
          </w:tcPr>
          <w:p w14:paraId="2990211E">
            <w:pPr>
              <w:pStyle w:val="6"/>
              <w:spacing w:before="19" w:line="219" w:lineRule="auto"/>
              <w:ind w:left="104"/>
            </w:pPr>
            <w:r>
              <w:rPr>
                <w:b/>
                <w:bCs/>
                <w:spacing w:val="-3"/>
              </w:rPr>
              <w:t>1、项目总平面布置</w:t>
            </w:r>
          </w:p>
          <w:p w14:paraId="18893426">
            <w:pPr>
              <w:pStyle w:val="6"/>
              <w:spacing w:before="175" w:line="219" w:lineRule="auto"/>
              <w:ind w:left="704"/>
            </w:pPr>
            <w:r>
              <w:rPr>
                <w:b/>
                <w:bCs/>
                <w:spacing w:val="-3"/>
              </w:rPr>
              <w:t>(1)光伏阵列布置</w:t>
            </w:r>
          </w:p>
          <w:p w14:paraId="4EC10CBA">
            <w:pPr>
              <w:pStyle w:val="6"/>
              <w:spacing w:before="189" w:line="363" w:lineRule="auto"/>
              <w:ind w:left="110" w:right="351" w:firstLine="489"/>
            </w:pPr>
            <w:r>
              <w:t>光伏电站光伏阵列分布在5个地块，其中地块一布置1#~6#方阵，地块二布</w:t>
            </w:r>
            <w:r>
              <w:rPr>
                <w:spacing w:val="11"/>
              </w:rPr>
              <w:t xml:space="preserve"> </w:t>
            </w:r>
            <w:r>
              <w:t>置7#~17#方阵，地块三布置18#~23#方阵，地块四布置24#~2</w:t>
            </w:r>
            <w:r>
              <w:rPr>
                <w:spacing w:val="-1"/>
              </w:rPr>
              <w:t>9#方阵，地块五布</w:t>
            </w:r>
          </w:p>
          <w:p w14:paraId="76BB2F68">
            <w:pPr>
              <w:pStyle w:val="6"/>
              <w:spacing w:before="3" w:line="216" w:lineRule="auto"/>
              <w:ind w:left="110"/>
            </w:pPr>
            <w:r>
              <w:rPr>
                <w:spacing w:val="1"/>
              </w:rPr>
              <w:t>置30#~51#方阵，共51个光伏方阵。其中2个方阵</w:t>
            </w:r>
            <w:r>
              <w:t>(2/7)为1MW,每个方阵由</w:t>
            </w:r>
          </w:p>
          <w:p w14:paraId="093EC5FC">
            <w:pPr>
              <w:pStyle w:val="6"/>
              <w:spacing w:before="179" w:line="216" w:lineRule="auto"/>
              <w:ind w:left="100"/>
            </w:pPr>
            <w:r>
              <w:t>69/72路光伏组串并联而成，2个方阵(19/30)为1.25MW,每个子方阵由92/96</w:t>
            </w:r>
          </w:p>
          <w:p w14:paraId="09354036">
            <w:pPr>
              <w:pStyle w:val="6"/>
              <w:spacing w:before="189" w:line="216" w:lineRule="auto"/>
              <w:ind w:left="121"/>
            </w:pPr>
            <w:r>
              <w:t>路光伏组串并联而成；2个方阵(5/12)为1.6MW,每</w:t>
            </w:r>
            <w:r>
              <w:rPr>
                <w:spacing w:val="-1"/>
              </w:rPr>
              <w:t>个子方阵由120路光伏组</w:t>
            </w:r>
          </w:p>
          <w:p w14:paraId="30A780C5">
            <w:pPr>
              <w:pStyle w:val="6"/>
              <w:spacing w:before="189" w:line="359" w:lineRule="auto"/>
              <w:ind w:left="110" w:right="459" w:firstLine="20"/>
            </w:pPr>
            <w:r>
              <w:t>串并联而成，光伏组串由26个光伏组件串联而成；5个方阵(1/3/4/15/33)为2</w:t>
            </w:r>
            <w:r>
              <w:rPr>
                <w:spacing w:val="13"/>
              </w:rPr>
              <w:t xml:space="preserve"> </w:t>
            </w:r>
            <w:r>
              <w:t>MW</w:t>
            </w:r>
            <w:r>
              <w:rPr>
                <w:spacing w:val="1"/>
              </w:rPr>
              <w:t>,每个子方阵由138/144路光伏组串并联而成，光伏组串由26个</w:t>
            </w:r>
            <w:r>
              <w:t xml:space="preserve">光伏组件串  </w:t>
            </w:r>
            <w:r>
              <w:rPr>
                <w:spacing w:val="1"/>
              </w:rPr>
              <w:t>联而成，7个方阵(8/10/13/16/</w:t>
            </w:r>
            <w:r>
              <w:t>18/20/22)为2.3MW,每个子方阵由161/168路光 伏组串并联而成；3个方阵(14/23/34/)为2.5MW,方阵由192路光伏组串并联</w:t>
            </w:r>
          </w:p>
          <w:p w14:paraId="26D8CE68">
            <w:pPr>
              <w:pStyle w:val="6"/>
              <w:spacing w:before="17" w:line="344" w:lineRule="auto"/>
              <w:ind w:left="110" w:firstLine="9"/>
            </w:pPr>
            <w:r>
              <w:rPr>
                <w:spacing w:val="-12"/>
              </w:rPr>
              <w:t>而成</w:t>
            </w:r>
            <w:r>
              <w:rPr>
                <w:spacing w:val="-11"/>
              </w:rPr>
              <w:t>；24个方阵(6/7/9/21/24/25/26/</w:t>
            </w:r>
            <w:r>
              <w:rPr>
                <w:spacing w:val="-12"/>
              </w:rPr>
              <w:t>27/28/31/32/32/36/37/39/40/42/44/45/46/48/49</w:t>
            </w:r>
            <w:r>
              <w:rPr>
                <w:spacing w:val="-10"/>
              </w:rPr>
              <w:t>/</w:t>
            </w:r>
            <w:r>
              <w:t xml:space="preserve"> </w:t>
            </w:r>
            <w:r>
              <w:rPr>
                <w:spacing w:val="1"/>
              </w:rPr>
              <w:t>51)为3.2</w:t>
            </w:r>
            <w:r>
              <w:t>MW</w:t>
            </w:r>
            <w:r>
              <w:rPr>
                <w:spacing w:val="1"/>
              </w:rPr>
              <w:t>,光伏方阵由光伏组串、逆变设备及</w:t>
            </w:r>
            <w:r>
              <w:t>升压设备构成。光伏组件采用</w:t>
            </w:r>
          </w:p>
          <w:p w14:paraId="7F4D6F96">
            <w:pPr>
              <w:pStyle w:val="6"/>
              <w:spacing w:before="22" w:line="216" w:lineRule="auto"/>
              <w:ind w:left="121"/>
            </w:pPr>
            <w:r>
              <w:rPr>
                <w:spacing w:val="1"/>
              </w:rPr>
              <w:t>固定支架安装，支架倾角为22°,光伏组件最</w:t>
            </w:r>
            <w:r>
              <w:t>低端离地距离2.5m。</w:t>
            </w:r>
          </w:p>
          <w:p w14:paraId="3E5DF883">
            <w:pPr>
              <w:pStyle w:val="6"/>
              <w:spacing w:before="182" w:line="360" w:lineRule="auto"/>
              <w:ind w:left="100" w:right="132" w:firstLine="499"/>
            </w:pPr>
            <w:r>
              <w:t>逆变器采用托架固定在光伏组件支架上，不额外占地</w:t>
            </w:r>
            <w:r>
              <w:rPr>
                <w:spacing w:val="-1"/>
              </w:rPr>
              <w:t>；箱变布置在检修道路</w:t>
            </w:r>
            <w:r>
              <w:t xml:space="preserve"> 旁。</w:t>
            </w:r>
          </w:p>
          <w:p w14:paraId="1F5D51BD">
            <w:pPr>
              <w:pStyle w:val="6"/>
              <w:spacing w:before="1" w:line="218" w:lineRule="auto"/>
              <w:ind w:left="714"/>
            </w:pPr>
            <w:r>
              <w:rPr>
                <w:b/>
                <w:bCs/>
                <w:spacing w:val="-3"/>
              </w:rPr>
              <w:t>(2)升压站布置</w:t>
            </w:r>
          </w:p>
          <w:p w14:paraId="7A4E9755">
            <w:pPr>
              <w:pStyle w:val="6"/>
              <w:spacing w:before="179" w:line="219" w:lineRule="auto"/>
              <w:ind w:left="610"/>
            </w:pPr>
            <w:r>
              <w:t>在厂址中部建设220KV升压站一座，升压站西南侧布置综合楼及辅助用房，</w:t>
            </w:r>
          </w:p>
          <w:p w14:paraId="138A794A">
            <w:pPr>
              <w:pStyle w:val="6"/>
              <w:spacing w:before="193" w:line="216" w:lineRule="auto"/>
              <w:ind w:left="141"/>
            </w:pPr>
            <w:r>
              <w:t>东北侧布置生产预制舱、主变、事故油池、无功装置及室外GIS,大门位于升压</w:t>
            </w:r>
          </w:p>
          <w:p w14:paraId="2AF80AF6">
            <w:pPr>
              <w:pStyle w:val="6"/>
              <w:spacing w:before="182" w:line="363" w:lineRule="auto"/>
              <w:ind w:left="119" w:hanging="9"/>
            </w:pPr>
            <w:r>
              <w:rPr>
                <w:spacing w:val="-3"/>
              </w:rPr>
              <w:t>站西南侧，升压站四周设置围墙，站内道路为混凝土路面，在站内形成环形通道。</w:t>
            </w:r>
            <w:r>
              <w:rPr>
                <w:spacing w:val="1"/>
              </w:rPr>
              <w:t xml:space="preserve"> </w:t>
            </w:r>
            <w:r>
              <w:rPr>
                <w:spacing w:val="-3"/>
              </w:rPr>
              <w:t>升压站内设置有危废暂存间暂存废油。设置有化粪池、隔油池和一体化生活污水</w:t>
            </w:r>
            <w:r>
              <w:rPr>
                <w:spacing w:val="6"/>
              </w:rPr>
              <w:t xml:space="preserve">  </w:t>
            </w:r>
            <w:r>
              <w:rPr>
                <w:spacing w:val="-3"/>
              </w:rPr>
              <w:t>处理站处理升压站产生的生活污水。</w:t>
            </w:r>
          </w:p>
          <w:p w14:paraId="36409B28">
            <w:pPr>
              <w:pStyle w:val="6"/>
              <w:spacing w:before="1" w:line="218" w:lineRule="auto"/>
              <w:ind w:left="714"/>
            </w:pPr>
            <w:r>
              <w:rPr>
                <w:b/>
                <w:bCs/>
                <w:spacing w:val="-3"/>
              </w:rPr>
              <w:t>(3)集电线路布置</w:t>
            </w:r>
          </w:p>
          <w:p w14:paraId="3A59E2D7">
            <w:pPr>
              <w:pStyle w:val="6"/>
              <w:spacing w:before="179" w:line="219" w:lineRule="auto"/>
              <w:ind w:left="610"/>
            </w:pPr>
            <w:r>
              <w:t>集电线路起于各光伏阵列电缆上塔处，讫于220KV升压站，用35KV架空线</w:t>
            </w:r>
          </w:p>
          <w:p w14:paraId="2F89D429">
            <w:pPr>
              <w:pStyle w:val="6"/>
              <w:spacing w:before="174" w:line="216" w:lineRule="auto"/>
              <w:ind w:left="121"/>
            </w:pPr>
            <w:r>
              <w:rPr>
                <w:spacing w:val="1"/>
              </w:rPr>
              <w:t>路+电力电缆直埋敷设的混合方案，路径总长约</w:t>
            </w:r>
            <w:r>
              <w:t>40.71km,其中架空线路约</w:t>
            </w:r>
          </w:p>
          <w:p w14:paraId="4D55E3E7">
            <w:pPr>
              <w:pStyle w:val="6"/>
              <w:spacing w:before="188" w:line="359" w:lineRule="auto"/>
              <w:ind w:left="120" w:right="233"/>
            </w:pPr>
            <w:r>
              <w:t>38.82km,电缆线路约1.89km。地埋电缆线路位于地块内部阵列线路的连接，地</w:t>
            </w:r>
            <w:r>
              <w:rPr>
                <w:spacing w:val="4"/>
              </w:rPr>
              <w:t xml:space="preserve">  </w:t>
            </w:r>
            <w:r>
              <w:t>块至升压站的线路连接采用架空线路。集电线路共设置114个塔基，塔基基座尺</w:t>
            </w:r>
            <w:r>
              <w:rPr>
                <w:spacing w:val="9"/>
              </w:rPr>
              <w:t xml:space="preserve"> </w:t>
            </w:r>
            <w:r>
              <w:rPr>
                <w:spacing w:val="3"/>
              </w:rPr>
              <w:t>寸6.9m*6.9m。</w:t>
            </w:r>
          </w:p>
          <w:p w14:paraId="64AFEA3E">
            <w:pPr>
              <w:pStyle w:val="6"/>
              <w:spacing w:line="218" w:lineRule="auto"/>
              <w:ind w:left="724"/>
            </w:pPr>
            <w:r>
              <w:rPr>
                <w:b/>
                <w:bCs/>
                <w:spacing w:val="-3"/>
              </w:rPr>
              <w:t>(4)道路布置</w:t>
            </w:r>
          </w:p>
        </w:tc>
      </w:tr>
    </w:tbl>
    <w:p w14:paraId="5589E1E7">
      <w:pPr>
        <w:pStyle w:val="2"/>
      </w:pPr>
    </w:p>
    <w:p w14:paraId="071A1A1B">
      <w:pPr>
        <w:sectPr>
          <w:footerReference r:id="rId52" w:type="default"/>
          <w:pgSz w:w="11910" w:h="16840"/>
          <w:pgMar w:top="1431" w:right="1425" w:bottom="1268" w:left="1405" w:header="0" w:footer="1089" w:gutter="0"/>
          <w:cols w:space="720" w:num="1"/>
        </w:sectPr>
      </w:pPr>
    </w:p>
    <w:p w14:paraId="09B6547B">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141C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7" w:hRule="atLeast"/>
        </w:trPr>
        <w:tc>
          <w:tcPr>
            <w:tcW w:w="414" w:type="dxa"/>
            <w:vAlign w:val="top"/>
          </w:tcPr>
          <w:p w14:paraId="69595D8F">
            <w:pPr>
              <w:rPr>
                <w:rFonts w:ascii="Arial"/>
                <w:sz w:val="21"/>
              </w:rPr>
            </w:pPr>
          </w:p>
        </w:tc>
        <w:tc>
          <w:tcPr>
            <w:tcW w:w="8655" w:type="dxa"/>
            <w:vAlign w:val="top"/>
          </w:tcPr>
          <w:p w14:paraId="0DB4C5D3">
            <w:pPr>
              <w:pStyle w:val="6"/>
              <w:spacing w:before="14" w:line="360" w:lineRule="auto"/>
              <w:ind w:left="100" w:right="122" w:firstLine="509"/>
            </w:pPr>
            <w:r>
              <w:t>场区周边有多条乡村道路通往场区，交通便利，不进</w:t>
            </w:r>
            <w:r>
              <w:rPr>
                <w:spacing w:val="-1"/>
              </w:rPr>
              <w:t>行新建道路。对部分路</w:t>
            </w:r>
            <w:r>
              <w:t xml:space="preserve"> 面进行改造填平，部分改造后的路面为厚度20cm石渣路</w:t>
            </w:r>
            <w:r>
              <w:rPr>
                <w:spacing w:val="-1"/>
              </w:rPr>
              <w:t>面。</w:t>
            </w:r>
          </w:p>
          <w:p w14:paraId="34661BBA">
            <w:pPr>
              <w:pStyle w:val="6"/>
              <w:spacing w:line="218" w:lineRule="auto"/>
              <w:ind w:left="594"/>
            </w:pPr>
            <w:r>
              <w:rPr>
                <w:b/>
                <w:bCs/>
                <w:spacing w:val="-5"/>
              </w:rPr>
              <w:t>2、施工布置</w:t>
            </w:r>
          </w:p>
          <w:p w14:paraId="1B5653C0">
            <w:pPr>
              <w:pStyle w:val="6"/>
              <w:spacing w:before="187" w:line="362" w:lineRule="auto"/>
              <w:ind w:left="100" w:right="94" w:firstLine="499"/>
              <w:jc w:val="both"/>
            </w:pPr>
            <w:r>
              <w:t>根据项目区现场条件及项目施工组织安排，设计将临时施工场地布设在光伏</w:t>
            </w:r>
            <w:r>
              <w:rPr>
                <w:spacing w:val="11"/>
              </w:rPr>
              <w:t xml:space="preserve"> </w:t>
            </w:r>
            <w:r>
              <w:rPr>
                <w:spacing w:val="1"/>
              </w:rPr>
              <w:t>方阵内，混凝土主要用于光伏板基础、箱变基础、升压站土建等，</w:t>
            </w:r>
            <w:r>
              <w:t xml:space="preserve">升压站及塔基 </w:t>
            </w:r>
            <w:r>
              <w:rPr>
                <w:spacing w:val="1"/>
              </w:rPr>
              <w:t>土建用混凝土为外购商品混凝土。光伏板支架桩及箱变基础用混凝土在场地内自</w:t>
            </w:r>
            <w:r>
              <w:rPr>
                <w:spacing w:val="14"/>
              </w:rPr>
              <w:t xml:space="preserve"> </w:t>
            </w:r>
            <w:r>
              <w:rPr>
                <w:spacing w:val="-1"/>
              </w:rPr>
              <w:t>行拌合。</w:t>
            </w:r>
          </w:p>
          <w:p w14:paraId="1160B617">
            <w:pPr>
              <w:pStyle w:val="6"/>
              <w:spacing w:line="219" w:lineRule="auto"/>
              <w:ind w:left="721"/>
            </w:pPr>
            <w:r>
              <w:rPr>
                <w:spacing w:val="1"/>
              </w:rPr>
              <w:t>(1)砂石料生产系统</w:t>
            </w:r>
          </w:p>
          <w:p w14:paraId="10F0E282">
            <w:pPr>
              <w:pStyle w:val="6"/>
              <w:spacing w:before="183" w:line="219" w:lineRule="auto"/>
              <w:ind w:left="610"/>
            </w:pPr>
            <w:r>
              <w:t>本项目不设砂石料加工系统，施工过程中所需砂石料通过外购方式解决。</w:t>
            </w:r>
          </w:p>
          <w:p w14:paraId="5C8D4F20">
            <w:pPr>
              <w:pStyle w:val="6"/>
              <w:spacing w:before="196" w:line="219" w:lineRule="auto"/>
              <w:ind w:left="721"/>
            </w:pPr>
            <w:r>
              <w:rPr>
                <w:spacing w:val="1"/>
              </w:rPr>
              <w:t>(2)材料仓储</w:t>
            </w:r>
          </w:p>
          <w:p w14:paraId="63F30631">
            <w:pPr>
              <w:pStyle w:val="6"/>
              <w:spacing w:before="164" w:line="357" w:lineRule="auto"/>
              <w:ind w:left="100" w:right="110" w:firstLine="499"/>
            </w:pPr>
            <w:r>
              <w:t>铁塔、光伏支架、光伏板材料在地块周边集镇租用仓库仓储。光伏板支架及</w:t>
            </w:r>
            <w:r>
              <w:rPr>
                <w:spacing w:val="12"/>
              </w:rPr>
              <w:t xml:space="preserve"> </w:t>
            </w:r>
            <w:r>
              <w:t>塔基支架直接拉至场内安装，场内不设置综合仓库和加工厂。</w:t>
            </w:r>
          </w:p>
          <w:p w14:paraId="1EB1E541">
            <w:pPr>
              <w:pStyle w:val="6"/>
              <w:spacing w:before="24" w:line="219" w:lineRule="auto"/>
              <w:ind w:left="731"/>
            </w:pPr>
            <w:r>
              <w:rPr>
                <w:spacing w:val="1"/>
              </w:rPr>
              <w:t>(3)临时表土</w:t>
            </w:r>
          </w:p>
          <w:p w14:paraId="032E25BB">
            <w:pPr>
              <w:pStyle w:val="6"/>
              <w:spacing w:before="162" w:line="285" w:lineRule="auto"/>
              <w:ind w:left="100" w:right="132" w:firstLine="499"/>
            </w:pPr>
            <w:r>
              <w:t>①升压站表土集中堆存于升压站一角，用于后期升压</w:t>
            </w:r>
            <w:r>
              <w:rPr>
                <w:spacing w:val="-1"/>
              </w:rPr>
              <w:t>站区景观绿化，临时表</w:t>
            </w:r>
            <w:r>
              <w:t xml:space="preserve"> </w:t>
            </w:r>
            <w:r>
              <w:rPr>
                <w:spacing w:val="10"/>
              </w:rPr>
              <w:t>土堆场占地面积0.01</w:t>
            </w:r>
            <w:r>
              <w:t>hm</w:t>
            </w:r>
            <w:r>
              <w:rPr>
                <w:spacing w:val="10"/>
              </w:rPr>
              <w:t>²,容量0.02万m³。</w:t>
            </w:r>
          </w:p>
          <w:p w14:paraId="27AE7E79">
            <w:pPr>
              <w:pStyle w:val="6"/>
              <w:spacing w:before="190" w:line="217" w:lineRule="auto"/>
              <w:ind w:left="600"/>
            </w:pPr>
            <w:r>
              <w:t>②交通道路不进行新建，无废弃表土。</w:t>
            </w:r>
          </w:p>
          <w:p w14:paraId="63EF9286">
            <w:pPr>
              <w:pStyle w:val="6"/>
              <w:spacing w:before="198" w:line="309" w:lineRule="auto"/>
              <w:ind w:left="100" w:right="109" w:firstLine="499"/>
            </w:pPr>
            <w:r>
              <w:t>③光伏阵列区内仅光伏板支架基础部分产生少量废弃表</w:t>
            </w:r>
            <w:r>
              <w:rPr>
                <w:spacing w:val="-1"/>
              </w:rPr>
              <w:t>土，产生的废弃表土</w:t>
            </w:r>
            <w:r>
              <w:t xml:space="preserve"> </w:t>
            </w:r>
            <w:r>
              <w:rPr>
                <w:spacing w:val="1"/>
              </w:rPr>
              <w:t>用于场地内光伏板下方的金银花种植。不设置表土堆场。集电线路塔基共设</w:t>
            </w:r>
            <w:r>
              <w:t>置22 个，产生的废弃表土用于光伏阵列区的金银花种</w:t>
            </w:r>
            <w:r>
              <w:rPr>
                <w:spacing w:val="-1"/>
              </w:rPr>
              <w:t>植。</w:t>
            </w:r>
          </w:p>
          <w:p w14:paraId="053B8E81">
            <w:pPr>
              <w:pStyle w:val="6"/>
              <w:spacing w:before="187" w:line="219" w:lineRule="auto"/>
              <w:ind w:left="711"/>
            </w:pPr>
            <w:r>
              <w:rPr>
                <w:spacing w:val="2"/>
              </w:rPr>
              <w:t>(4)弃渣场</w:t>
            </w:r>
          </w:p>
          <w:p w14:paraId="2CF5C320">
            <w:pPr>
              <w:pStyle w:val="6"/>
              <w:spacing w:before="194" w:line="219" w:lineRule="auto"/>
              <w:ind w:left="600"/>
            </w:pPr>
            <w:r>
              <w:t>本工程土石方挖填平衡，无弃渣产生。故本项目不设置弃渣场。</w:t>
            </w:r>
          </w:p>
        </w:tc>
      </w:tr>
      <w:tr w14:paraId="4C93F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2" w:hRule="atLeast"/>
        </w:trPr>
        <w:tc>
          <w:tcPr>
            <w:tcW w:w="414" w:type="dxa"/>
            <w:textDirection w:val="tbRlV"/>
            <w:vAlign w:val="top"/>
          </w:tcPr>
          <w:p w14:paraId="21D46850">
            <w:pPr>
              <w:pStyle w:val="6"/>
              <w:spacing w:before="88" w:line="202" w:lineRule="auto"/>
              <w:ind w:left="1236"/>
            </w:pPr>
            <w:r>
              <w:t>施</w:t>
            </w:r>
            <w:r>
              <w:rPr>
                <w:spacing w:val="-21"/>
              </w:rPr>
              <w:t xml:space="preserve"> </w:t>
            </w:r>
            <w:r>
              <w:t>工</w:t>
            </w:r>
            <w:r>
              <w:rPr>
                <w:spacing w:val="-21"/>
              </w:rPr>
              <w:t xml:space="preserve"> </w:t>
            </w:r>
            <w:r>
              <w:t>方</w:t>
            </w:r>
            <w:r>
              <w:rPr>
                <w:spacing w:val="-21"/>
              </w:rPr>
              <w:t xml:space="preserve"> </w:t>
            </w:r>
            <w:r>
              <w:t>案</w:t>
            </w:r>
          </w:p>
        </w:tc>
        <w:tc>
          <w:tcPr>
            <w:tcW w:w="8655" w:type="dxa"/>
            <w:vAlign w:val="top"/>
          </w:tcPr>
          <w:p w14:paraId="1F019C39">
            <w:pPr>
              <w:pStyle w:val="6"/>
              <w:spacing w:before="54" w:line="219" w:lineRule="auto"/>
              <w:ind w:left="104"/>
            </w:pPr>
            <w:r>
              <w:rPr>
                <w:b/>
                <w:bCs/>
                <w:spacing w:val="-2"/>
              </w:rPr>
              <w:t>1、施工条件</w:t>
            </w:r>
          </w:p>
          <w:p w14:paraId="2AFC941C">
            <w:pPr>
              <w:pStyle w:val="6"/>
              <w:spacing w:before="199" w:line="221" w:lineRule="auto"/>
              <w:ind w:left="731"/>
            </w:pPr>
            <w:r>
              <w:rPr>
                <w:spacing w:val="1"/>
              </w:rPr>
              <w:t>(1)施工交通</w:t>
            </w:r>
          </w:p>
          <w:p w14:paraId="71424C64">
            <w:pPr>
              <w:pStyle w:val="6"/>
              <w:spacing w:before="159" w:line="357" w:lineRule="auto"/>
              <w:ind w:left="100" w:right="132" w:firstLine="499"/>
            </w:pPr>
            <w:r>
              <w:t>场区周边有多条乡村道路通往场区，交通便利，不进</w:t>
            </w:r>
            <w:r>
              <w:rPr>
                <w:spacing w:val="-1"/>
              </w:rPr>
              <w:t>行新建道路。对部分路</w:t>
            </w:r>
            <w:r>
              <w:t xml:space="preserve"> 面进行改造填平，部分改造后的路面为20cm石渣路</w:t>
            </w:r>
            <w:r>
              <w:rPr>
                <w:spacing w:val="-1"/>
              </w:rPr>
              <w:t>面。</w:t>
            </w:r>
          </w:p>
          <w:p w14:paraId="1A775F94">
            <w:pPr>
              <w:pStyle w:val="6"/>
              <w:spacing w:before="4" w:line="219" w:lineRule="auto"/>
              <w:ind w:left="721"/>
            </w:pPr>
            <w:r>
              <w:t>(2)施工用水、用电及通讯</w:t>
            </w:r>
          </w:p>
          <w:p w14:paraId="0471DD4E">
            <w:pPr>
              <w:pStyle w:val="6"/>
              <w:spacing w:before="175" w:line="365" w:lineRule="auto"/>
              <w:ind w:left="100" w:right="84" w:firstLine="509"/>
            </w:pPr>
            <w:r>
              <w:rPr>
                <w:spacing w:val="1"/>
              </w:rPr>
              <w:t>施工用水：施工用水由施工机械用水、生活用水和消防用水等组</w:t>
            </w:r>
            <w:r>
              <w:t>成，施工用 水采用水车运水供应，考虑从附近村庄取水。</w:t>
            </w:r>
          </w:p>
          <w:p w14:paraId="24E2E707">
            <w:pPr>
              <w:pStyle w:val="6"/>
              <w:spacing w:line="218" w:lineRule="auto"/>
              <w:ind w:left="600"/>
            </w:pPr>
            <w:r>
              <w:t>施工用电：本工程施工用电可由场址附近10kV线路引接作为电</w:t>
            </w:r>
            <w:r>
              <w:rPr>
                <w:spacing w:val="-1"/>
              </w:rPr>
              <w:t>源。</w:t>
            </w:r>
          </w:p>
        </w:tc>
      </w:tr>
    </w:tbl>
    <w:p w14:paraId="5688EDC0">
      <w:pPr>
        <w:pStyle w:val="2"/>
      </w:pPr>
    </w:p>
    <w:p w14:paraId="5CBFD97F">
      <w:pPr>
        <w:sectPr>
          <w:footerReference r:id="rId53" w:type="default"/>
          <w:pgSz w:w="11910" w:h="16840"/>
          <w:pgMar w:top="1431" w:right="1425" w:bottom="1255" w:left="1405" w:header="0" w:footer="1093" w:gutter="0"/>
          <w:cols w:space="720" w:num="1"/>
        </w:sectPr>
      </w:pPr>
    </w:p>
    <w:p w14:paraId="5ED7D1C2">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8645"/>
      </w:tblGrid>
      <w:tr w14:paraId="5041D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9" w:hRule="atLeast"/>
        </w:trPr>
        <w:tc>
          <w:tcPr>
            <w:tcW w:w="424" w:type="dxa"/>
            <w:vMerge w:val="restart"/>
            <w:tcBorders>
              <w:bottom w:val="nil"/>
            </w:tcBorders>
            <w:vAlign w:val="top"/>
          </w:tcPr>
          <w:p w14:paraId="5DE67A58">
            <w:pPr>
              <w:rPr>
                <w:rFonts w:ascii="Arial"/>
                <w:sz w:val="21"/>
              </w:rPr>
            </w:pPr>
          </w:p>
        </w:tc>
        <w:tc>
          <w:tcPr>
            <w:tcW w:w="8645" w:type="dxa"/>
            <w:tcBorders>
              <w:bottom w:val="nil"/>
            </w:tcBorders>
            <w:shd w:val="clear" w:color="auto" w:fill="FFFFFF"/>
            <w:vAlign w:val="top"/>
          </w:tcPr>
          <w:p w14:paraId="78B47116">
            <w:pPr>
              <w:pStyle w:val="6"/>
              <w:spacing w:before="13" w:line="379" w:lineRule="auto"/>
              <w:ind w:left="100" w:right="426" w:firstLine="489"/>
              <w:rPr>
                <w:sz w:val="23"/>
                <w:szCs w:val="23"/>
              </w:rPr>
            </w:pPr>
            <w:r>
              <w:rPr>
                <w:spacing w:val="1"/>
                <w:sz w:val="23"/>
                <w:szCs w:val="23"/>
              </w:rPr>
              <w:t>施工通讯系统：施工现场有中国移动、联通等信号覆盖，对</w:t>
            </w:r>
            <w:r>
              <w:rPr>
                <w:sz w:val="23"/>
                <w:szCs w:val="23"/>
              </w:rPr>
              <w:t xml:space="preserve">外通信主要采用 </w:t>
            </w:r>
            <w:r>
              <w:rPr>
                <w:spacing w:val="-1"/>
                <w:sz w:val="23"/>
                <w:szCs w:val="23"/>
              </w:rPr>
              <w:t>移动通讯方式。必要时也可采用有线方式。</w:t>
            </w:r>
          </w:p>
          <w:p w14:paraId="2517128A">
            <w:pPr>
              <w:pStyle w:val="6"/>
              <w:spacing w:before="15" w:line="219" w:lineRule="auto"/>
              <w:ind w:left="711"/>
              <w:rPr>
                <w:sz w:val="23"/>
                <w:szCs w:val="23"/>
              </w:rPr>
            </w:pPr>
            <w:r>
              <w:rPr>
                <w:sz w:val="23"/>
                <w:szCs w:val="23"/>
              </w:rPr>
              <w:t>(3)施工材料</w:t>
            </w:r>
          </w:p>
          <w:p w14:paraId="0F02DD40">
            <w:pPr>
              <w:pStyle w:val="6"/>
              <w:spacing w:before="177" w:line="378" w:lineRule="auto"/>
              <w:ind w:left="111" w:right="441" w:firstLine="479"/>
              <w:rPr>
                <w:sz w:val="23"/>
                <w:szCs w:val="23"/>
              </w:rPr>
            </w:pPr>
            <w:r>
              <w:rPr>
                <w:sz w:val="23"/>
                <w:szCs w:val="23"/>
              </w:rPr>
              <w:t>本工程所需的主要材料为砌石料、砂石骨料、水泥、钢材、木材、油料等主</w:t>
            </w:r>
            <w:r>
              <w:rPr>
                <w:spacing w:val="11"/>
                <w:sz w:val="23"/>
                <w:szCs w:val="23"/>
              </w:rPr>
              <w:t xml:space="preserve"> </w:t>
            </w:r>
            <w:r>
              <w:rPr>
                <w:spacing w:val="-1"/>
                <w:sz w:val="23"/>
                <w:szCs w:val="23"/>
              </w:rPr>
              <w:t>要从马龙区采购。</w:t>
            </w:r>
          </w:p>
          <w:p w14:paraId="03B278E9">
            <w:pPr>
              <w:pStyle w:val="6"/>
              <w:spacing w:line="222" w:lineRule="auto"/>
              <w:ind w:left="94"/>
              <w:rPr>
                <w:sz w:val="23"/>
                <w:szCs w:val="23"/>
              </w:rPr>
            </w:pPr>
            <w:r>
              <w:rPr>
                <w:b/>
                <w:bCs/>
                <w:spacing w:val="-5"/>
                <w:sz w:val="23"/>
                <w:szCs w:val="23"/>
              </w:rPr>
              <w:t>2、施工工艺</w:t>
            </w:r>
          </w:p>
          <w:p w14:paraId="76B253F0">
            <w:pPr>
              <w:pStyle w:val="6"/>
              <w:spacing w:before="182" w:line="307" w:lineRule="auto"/>
              <w:ind w:left="100" w:right="442" w:firstLine="489"/>
              <w:rPr>
                <w:sz w:val="23"/>
                <w:szCs w:val="23"/>
              </w:rPr>
            </w:pPr>
            <w:r>
              <w:rPr>
                <w:sz w:val="23"/>
                <w:szCs w:val="23"/>
              </w:rPr>
              <w:t>项目施工主要包括：光伏阵列施工、道路施工、集电线路施工、升压站建设</w:t>
            </w:r>
            <w:r>
              <w:rPr>
                <w:spacing w:val="10"/>
                <w:sz w:val="23"/>
                <w:szCs w:val="23"/>
              </w:rPr>
              <w:t xml:space="preserve"> </w:t>
            </w:r>
            <w:r>
              <w:rPr>
                <w:spacing w:val="-1"/>
                <w:sz w:val="23"/>
                <w:szCs w:val="23"/>
              </w:rPr>
              <w:t>等。本工程施工期施工工艺流程如下图所示：</w:t>
            </w:r>
          </w:p>
        </w:tc>
      </w:tr>
      <w:tr w14:paraId="0F313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0" w:hRule="atLeast"/>
        </w:trPr>
        <w:tc>
          <w:tcPr>
            <w:tcW w:w="424" w:type="dxa"/>
            <w:vMerge w:val="continue"/>
            <w:tcBorders>
              <w:top w:val="nil"/>
            </w:tcBorders>
            <w:vAlign w:val="top"/>
          </w:tcPr>
          <w:p w14:paraId="5F6DC874">
            <w:pPr>
              <w:rPr>
                <w:rFonts w:ascii="Arial"/>
                <w:sz w:val="21"/>
              </w:rPr>
            </w:pPr>
          </w:p>
        </w:tc>
        <w:tc>
          <w:tcPr>
            <w:tcW w:w="8645" w:type="dxa"/>
            <w:tcBorders>
              <w:top w:val="nil"/>
            </w:tcBorders>
            <w:shd w:val="clear" w:color="auto" w:fill="FFFFFF"/>
            <w:vAlign w:val="top"/>
          </w:tcPr>
          <w:p w14:paraId="67D2D257">
            <w:pPr>
              <w:pStyle w:val="6"/>
              <w:spacing w:before="95" w:line="4239" w:lineRule="exact"/>
              <w:ind w:firstLine="181"/>
            </w:pPr>
            <w:r>
              <w:rPr>
                <w:position w:val="-84"/>
              </w:rPr>
              <w:pict>
                <v:group id="_x0000_s1046" o:spid="_x0000_s1046" o:spt="203" style="height:211.95pt;width:423.1pt;" coordsize="8462,4238">
                  <o:lock v:ext="edit"/>
                  <v:shape id="_x0000_s1047" o:spid="_x0000_s1047" o:spt="75" type="#_x0000_t75" style="position:absolute;left:1799;top:0;height:3811;width:6630;" filled="f" stroked="f" coordsize="21600,21600">
                    <v:path/>
                    <v:fill on="f" focussize="0,0"/>
                    <v:stroke on="f"/>
                    <v:imagedata r:id="rId176" o:title=""/>
                    <o:lock v:ext="edit" aspectratio="t"/>
                  </v:shape>
                  <v:shape id="_x0000_s1048" o:spid="_x0000_s1048" o:spt="202" type="#_x0000_t202" style="position:absolute;left:-20;top:40;height:4218;width:8502;" filled="f" stroked="f" coordsize="21600,21600">
                    <v:path/>
                    <v:fill on="f" focussize="0,0"/>
                    <v:stroke on="f"/>
                    <v:imagedata o:title=""/>
                    <o:lock v:ext="edit" aspectratio="f"/>
                    <v:textbox inset="0mm,0mm,0mm,0mm">
                      <w:txbxContent>
                        <w:p w14:paraId="5ED4126B">
                          <w:pPr>
                            <w:tabs>
                              <w:tab w:val="left" w:pos="3678"/>
                            </w:tabs>
                            <w:spacing w:before="19" w:line="198" w:lineRule="auto"/>
                            <w:ind w:left="3699" w:right="20" w:hanging="620"/>
                            <w:rPr>
                              <w:rFonts w:ascii="宋体" w:hAnsi="宋体" w:eastAsia="宋体" w:cs="宋体"/>
                              <w:sz w:val="23"/>
                              <w:szCs w:val="23"/>
                            </w:rPr>
                          </w:pPr>
                          <w:r>
                            <w:rPr>
                              <w:rFonts w:ascii="宋体" w:hAnsi="宋体" w:eastAsia="宋体" w:cs="宋体"/>
                              <w:position w:val="7"/>
                              <w:sz w:val="23"/>
                              <w:szCs w:val="23"/>
                              <w:u w:val="single" w:color="auto"/>
                            </w:rPr>
                            <w:tab/>
                          </w:r>
                          <w:r>
                            <w:rPr>
                              <w:rFonts w:ascii="宋体" w:hAnsi="宋体" w:eastAsia="宋体" w:cs="宋体"/>
                              <w:spacing w:val="-94"/>
                              <w:position w:val="7"/>
                              <w:sz w:val="23"/>
                              <w:szCs w:val="23"/>
                            </w:rPr>
                            <w:t xml:space="preserve"> </w:t>
                          </w:r>
                          <w:r>
                            <w:rPr>
                              <w:rFonts w:ascii="宋体" w:hAnsi="宋体" w:eastAsia="宋体" w:cs="宋体"/>
                              <w:spacing w:val="-20"/>
                              <w:position w:val="7"/>
                              <w:sz w:val="23"/>
                              <w:szCs w:val="23"/>
                            </w:rPr>
                            <w:t>施工生活区、</w:t>
                          </w:r>
                          <w:r>
                            <w:rPr>
                              <w:rFonts w:ascii="宋体" w:hAnsi="宋体" w:eastAsia="宋体" w:cs="宋体"/>
                              <w:spacing w:val="45"/>
                              <w:position w:val="7"/>
                              <w:sz w:val="23"/>
                              <w:szCs w:val="23"/>
                            </w:rPr>
                            <w:t xml:space="preserve"> </w:t>
                          </w:r>
                          <w:r>
                            <w:rPr>
                              <w:rFonts w:ascii="宋体" w:hAnsi="宋体" w:eastAsia="宋体" w:cs="宋体"/>
                              <w:spacing w:val="-20"/>
                              <w:position w:val="-2"/>
                              <w:sz w:val="23"/>
                              <w:szCs w:val="23"/>
                            </w:rPr>
                            <w:t>废水、废气、噪声、固废、植被破坏</w:t>
                          </w:r>
                          <w:r>
                            <w:rPr>
                              <w:rFonts w:ascii="宋体" w:hAnsi="宋体" w:eastAsia="宋体" w:cs="宋体"/>
                              <w:position w:val="-2"/>
                              <w:sz w:val="23"/>
                              <w:szCs w:val="23"/>
                            </w:rPr>
                            <w:t xml:space="preserve"> </w:t>
                          </w:r>
                          <w:r>
                            <w:rPr>
                              <w:rFonts w:ascii="宋体" w:hAnsi="宋体" w:eastAsia="宋体" w:cs="宋体"/>
                              <w:spacing w:val="1"/>
                              <w:sz w:val="23"/>
                              <w:szCs w:val="23"/>
                              <w:u w:val="single" w:color="auto"/>
                            </w:rPr>
                            <w:t>生产区的建设</w:t>
                          </w:r>
                        </w:p>
                        <w:p w14:paraId="653F1176">
                          <w:pPr>
                            <w:spacing w:before="46" w:line="176" w:lineRule="auto"/>
                            <w:ind w:left="20"/>
                            <w:rPr>
                              <w:rFonts w:ascii="宋体" w:hAnsi="宋体" w:eastAsia="宋体" w:cs="宋体"/>
                              <w:sz w:val="23"/>
                              <w:szCs w:val="23"/>
                            </w:rPr>
                          </w:pPr>
                          <w:r>
                            <w:rPr>
                              <w:rFonts w:ascii="宋体" w:hAnsi="宋体" w:eastAsia="宋体" w:cs="宋体"/>
                              <w:sz w:val="23"/>
                              <w:szCs w:val="23"/>
                            </w:rPr>
                            <w:t>废水、废气、噪声、固废、植被破坏</w:t>
                          </w:r>
                        </w:p>
                        <w:p w14:paraId="61FF4D32">
                          <w:pPr>
                            <w:spacing w:line="218" w:lineRule="auto"/>
                            <w:jc w:val="right"/>
                            <w:rPr>
                              <w:rFonts w:ascii="宋体" w:hAnsi="宋体" w:eastAsia="宋体" w:cs="宋体"/>
                              <w:sz w:val="22"/>
                              <w:szCs w:val="22"/>
                            </w:rPr>
                          </w:pPr>
                          <w:r>
                            <w:rPr>
                              <w:rFonts w:ascii="宋体" w:hAnsi="宋体" w:eastAsia="宋体" w:cs="宋体"/>
                              <w:spacing w:val="-20"/>
                              <w:sz w:val="23"/>
                              <w:szCs w:val="23"/>
                            </w:rPr>
                            <w:t>光伏阵列施工</w:t>
                          </w:r>
                          <w:r>
                            <w:rPr>
                              <w:rFonts w:ascii="宋体" w:hAnsi="宋体" w:eastAsia="宋体" w:cs="宋体"/>
                              <w:spacing w:val="-29"/>
                              <w:sz w:val="23"/>
                              <w:szCs w:val="23"/>
                            </w:rPr>
                            <w:t xml:space="preserve"> </w:t>
                          </w:r>
                          <w:r>
                            <w:rPr>
                              <w:rFonts w:ascii="宋体" w:hAnsi="宋体" w:eastAsia="宋体" w:cs="宋体"/>
                              <w:spacing w:val="-19"/>
                              <w:sz w:val="22"/>
                              <w:szCs w:val="22"/>
                            </w:rPr>
                            <w:t>→废水、废气、噪声、固废、植被破</w:t>
                          </w:r>
                          <w:r>
                            <w:rPr>
                              <w:rFonts w:ascii="宋体" w:hAnsi="宋体" w:eastAsia="宋体" w:cs="宋体"/>
                              <w:spacing w:val="-13"/>
                              <w:sz w:val="22"/>
                              <w:szCs w:val="22"/>
                            </w:rPr>
                            <w:t>坏</w:t>
                          </w:r>
                        </w:p>
                        <w:p w14:paraId="62C0A72E">
                          <w:pPr>
                            <w:spacing w:before="188" w:line="219" w:lineRule="auto"/>
                            <w:ind w:left="1989"/>
                            <w:rPr>
                              <w:rFonts w:ascii="宋体" w:hAnsi="宋体" w:eastAsia="宋体" w:cs="宋体"/>
                              <w:sz w:val="23"/>
                              <w:szCs w:val="23"/>
                            </w:rPr>
                          </w:pPr>
                          <w:r>
                            <w:rPr>
                              <w:rFonts w:ascii="宋体" w:hAnsi="宋体" w:eastAsia="宋体" w:cs="宋体"/>
                              <w:spacing w:val="-2"/>
                              <w:sz w:val="23"/>
                              <w:szCs w:val="23"/>
                            </w:rPr>
                            <w:t>道路修建</w:t>
                          </w:r>
                        </w:p>
                        <w:p w14:paraId="737A1111">
                          <w:pPr>
                            <w:spacing w:before="17" w:line="230" w:lineRule="auto"/>
                            <w:jc w:val="right"/>
                            <w:rPr>
                              <w:rFonts w:ascii="宋体" w:hAnsi="宋体" w:eastAsia="宋体" w:cs="宋体"/>
                              <w:sz w:val="23"/>
                              <w:szCs w:val="23"/>
                            </w:rPr>
                          </w:pPr>
                          <w:r>
                            <w:rPr>
                              <w:rFonts w:ascii="宋体" w:hAnsi="宋体" w:eastAsia="宋体" w:cs="宋体"/>
                              <w:spacing w:val="-24"/>
                              <w:position w:val="-1"/>
                              <w:sz w:val="23"/>
                              <w:szCs w:val="23"/>
                              <w:u w:val="single" w:color="auto"/>
                            </w:rPr>
                            <w:t>升压站建设</w:t>
                          </w:r>
                          <w:r>
                            <w:rPr>
                              <w:rFonts w:ascii="宋体" w:hAnsi="宋体" w:eastAsia="宋体" w:cs="宋体"/>
                              <w:spacing w:val="-24"/>
                              <w:position w:val="-1"/>
                              <w:sz w:val="23"/>
                              <w:szCs w:val="23"/>
                            </w:rPr>
                            <w:t xml:space="preserve"> </w:t>
                          </w:r>
                          <w:r>
                            <w:rPr>
                              <w:rFonts w:ascii="宋体" w:hAnsi="宋体" w:eastAsia="宋体" w:cs="宋体"/>
                              <w:spacing w:val="-24"/>
                              <w:sz w:val="23"/>
                              <w:szCs w:val="23"/>
                            </w:rPr>
                            <w:t>→废水、</w:t>
                          </w:r>
                          <w:r>
                            <w:rPr>
                              <w:rFonts w:ascii="宋体" w:hAnsi="宋体" w:eastAsia="宋体" w:cs="宋体"/>
                              <w:spacing w:val="-23"/>
                              <w:sz w:val="23"/>
                              <w:szCs w:val="23"/>
                            </w:rPr>
                            <w:t>废气、噪声、固废、植被破</w:t>
                          </w:r>
                          <w:r>
                            <w:rPr>
                              <w:rFonts w:ascii="宋体" w:hAnsi="宋体" w:eastAsia="宋体" w:cs="宋体"/>
                              <w:spacing w:val="-13"/>
                              <w:sz w:val="23"/>
                              <w:szCs w:val="23"/>
                            </w:rPr>
                            <w:t>坏</w:t>
                          </w:r>
                        </w:p>
                        <w:p w14:paraId="19FBE9B8">
                          <w:pPr>
                            <w:spacing w:line="316" w:lineRule="auto"/>
                            <w:rPr>
                              <w:rFonts w:ascii="Arial"/>
                              <w:sz w:val="21"/>
                            </w:rPr>
                          </w:pPr>
                        </w:p>
                        <w:p w14:paraId="176A0F17">
                          <w:pPr>
                            <w:tabs>
                              <w:tab w:val="left" w:pos="3698"/>
                            </w:tabs>
                            <w:spacing w:before="75" w:line="227" w:lineRule="auto"/>
                            <w:ind w:left="3149"/>
                            <w:rPr>
                              <w:rFonts w:ascii="宋体" w:hAnsi="宋体" w:eastAsia="宋体" w:cs="宋体"/>
                              <w:sz w:val="23"/>
                              <w:szCs w:val="23"/>
                            </w:rPr>
                          </w:pPr>
                          <w:r>
                            <w:rPr>
                              <w:rFonts w:ascii="宋体" w:hAnsi="宋体" w:eastAsia="宋体" w:cs="宋体"/>
                              <w:position w:val="1"/>
                              <w:sz w:val="23"/>
                              <w:szCs w:val="23"/>
                              <w:u w:val="single" w:color="auto"/>
                            </w:rPr>
                            <w:tab/>
                          </w:r>
                          <w:r>
                            <w:rPr>
                              <w:rFonts w:ascii="宋体" w:hAnsi="宋体" w:eastAsia="宋体" w:cs="宋体"/>
                              <w:spacing w:val="-95"/>
                              <w:position w:val="1"/>
                              <w:sz w:val="23"/>
                              <w:szCs w:val="23"/>
                            </w:rPr>
                            <w:t xml:space="preserve"> </w:t>
                          </w:r>
                          <w:r>
                            <w:rPr>
                              <w:rFonts w:ascii="宋体" w:hAnsi="宋体" w:eastAsia="宋体" w:cs="宋体"/>
                              <w:spacing w:val="-19"/>
                              <w:position w:val="1"/>
                              <w:sz w:val="23"/>
                              <w:szCs w:val="23"/>
                            </w:rPr>
                            <w:t>集电线路施</w:t>
                          </w:r>
                          <w:r>
                            <w:rPr>
                              <w:rFonts w:ascii="宋体" w:hAnsi="宋体" w:eastAsia="宋体" w:cs="宋体"/>
                              <w:spacing w:val="-18"/>
                              <w:position w:val="1"/>
                              <w:sz w:val="23"/>
                              <w:szCs w:val="23"/>
                            </w:rPr>
                            <w:t xml:space="preserve">工 </w:t>
                          </w:r>
                          <w:r>
                            <w:rPr>
                              <w:rFonts w:ascii="宋体" w:hAnsi="宋体" w:eastAsia="宋体" w:cs="宋体"/>
                              <w:spacing w:val="-18"/>
                              <w:sz w:val="23"/>
                              <w:szCs w:val="23"/>
                            </w:rPr>
                            <w:t>废水、废气、噪声、固废、植被破</w:t>
                          </w:r>
                          <w:r>
                            <w:rPr>
                              <w:rFonts w:ascii="宋体" w:hAnsi="宋体" w:eastAsia="宋体" w:cs="宋体"/>
                              <w:spacing w:val="-13"/>
                              <w:sz w:val="23"/>
                              <w:szCs w:val="23"/>
                            </w:rPr>
                            <w:t>坏</w:t>
                          </w:r>
                        </w:p>
                        <w:p w14:paraId="02466F30">
                          <w:pPr>
                            <w:spacing w:line="449" w:lineRule="auto"/>
                            <w:rPr>
                              <w:rFonts w:ascii="Arial"/>
                              <w:sz w:val="21"/>
                            </w:rPr>
                          </w:pPr>
                        </w:p>
                        <w:p w14:paraId="25B9C7AA">
                          <w:pPr>
                            <w:spacing w:before="75" w:line="221" w:lineRule="auto"/>
                            <w:ind w:left="3509"/>
                            <w:rPr>
                              <w:rFonts w:ascii="宋体" w:hAnsi="宋体" w:eastAsia="宋体" w:cs="宋体"/>
                              <w:sz w:val="23"/>
                              <w:szCs w:val="23"/>
                            </w:rPr>
                          </w:pPr>
                          <w:r>
                            <w:rPr>
                              <w:rFonts w:ascii="宋体" w:hAnsi="宋体" w:eastAsia="宋体" w:cs="宋体"/>
                              <w:spacing w:val="2"/>
                              <w:sz w:val="23"/>
                              <w:szCs w:val="23"/>
                            </w:rPr>
                            <w:t>施工人员---→生活垃圾、清洁废水</w:t>
                          </w:r>
                        </w:p>
                        <w:p w14:paraId="29AB36BA">
                          <w:pPr>
                            <w:spacing w:before="103" w:line="220" w:lineRule="auto"/>
                            <w:ind w:left="1993"/>
                            <w:rPr>
                              <w:rFonts w:ascii="宋体" w:hAnsi="宋体" w:eastAsia="宋体" w:cs="宋体"/>
                              <w:sz w:val="23"/>
                              <w:szCs w:val="23"/>
                            </w:rPr>
                          </w:pPr>
                          <w:r>
                            <w:rPr>
                              <w:rFonts w:ascii="宋体" w:hAnsi="宋体" w:eastAsia="宋体" w:cs="宋体"/>
                              <w:b/>
                              <w:bCs/>
                              <w:spacing w:val="-2"/>
                              <w:sz w:val="23"/>
                              <w:szCs w:val="23"/>
                            </w:rPr>
                            <w:t>图2-3</w:t>
                          </w:r>
                          <w:r>
                            <w:rPr>
                              <w:rFonts w:ascii="宋体" w:hAnsi="宋体" w:eastAsia="宋体" w:cs="宋体"/>
                              <w:spacing w:val="-2"/>
                              <w:sz w:val="23"/>
                              <w:szCs w:val="23"/>
                            </w:rPr>
                            <w:t xml:space="preserve">  </w:t>
                          </w:r>
                          <w:r>
                            <w:rPr>
                              <w:rFonts w:ascii="宋体" w:hAnsi="宋体" w:eastAsia="宋体" w:cs="宋体"/>
                              <w:b/>
                              <w:bCs/>
                              <w:spacing w:val="-2"/>
                              <w:sz w:val="23"/>
                              <w:szCs w:val="23"/>
                            </w:rPr>
                            <w:t>施工期工艺流程图及排污节点图</w:t>
                          </w:r>
                        </w:p>
                        <w:p w14:paraId="287E15FA">
                          <w:pPr>
                            <w:spacing w:before="187" w:line="219" w:lineRule="auto"/>
                            <w:ind w:left="439"/>
                            <w:rPr>
                              <w:rFonts w:ascii="宋体" w:hAnsi="宋体" w:eastAsia="宋体" w:cs="宋体"/>
                              <w:sz w:val="23"/>
                              <w:szCs w:val="23"/>
                            </w:rPr>
                          </w:pPr>
                          <w:r>
                            <w:rPr>
                              <w:rFonts w:ascii="宋体" w:hAnsi="宋体" w:eastAsia="宋体" w:cs="宋体"/>
                              <w:sz w:val="23"/>
                              <w:szCs w:val="23"/>
                            </w:rPr>
                            <w:t>项目光伏阵列施工工艺流程及产污节点见图2-4。</w:t>
                          </w:r>
                        </w:p>
                      </w:txbxContent>
                    </v:textbox>
                  </v:shape>
                  <v:shape id="_x0000_s1049" o:spid="_x0000_s1049" o:spt="75" type="#_x0000_t75" style="position:absolute;left:2980;top:3387;height:35;width:1588;" filled="f" stroked="f" coordsize="21600,21600">
                    <v:path/>
                    <v:fill on="f" focussize="0,0"/>
                    <v:stroke on="f"/>
                    <v:imagedata r:id="rId177" o:title=""/>
                    <o:lock v:ext="edit" aspectratio="t"/>
                  </v:shape>
                  <w10:wrap type="none"/>
                  <w10:anchorlock/>
                </v:group>
              </w:pict>
            </w:r>
          </w:p>
        </w:tc>
      </w:tr>
    </w:tbl>
    <w:p w14:paraId="5DA853D8">
      <w:pPr>
        <w:pStyle w:val="2"/>
      </w:pPr>
    </w:p>
    <w:p w14:paraId="02B050D1">
      <w:pPr>
        <w:sectPr>
          <w:footerReference r:id="rId54" w:type="default"/>
          <w:pgSz w:w="11910" w:h="16840"/>
          <w:pgMar w:top="1431" w:right="1400" w:bottom="1255" w:left="1405" w:header="0" w:footer="1093" w:gutter="0"/>
          <w:cols w:space="720" w:num="1"/>
        </w:sectPr>
      </w:pPr>
    </w:p>
    <w:p w14:paraId="0D1F04D3">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5801A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9" w:hRule="atLeast"/>
        </w:trPr>
        <w:tc>
          <w:tcPr>
            <w:tcW w:w="414" w:type="dxa"/>
            <w:vAlign w:val="top"/>
          </w:tcPr>
          <w:p w14:paraId="369B269F">
            <w:pPr>
              <w:rPr>
                <w:rFonts w:ascii="Arial"/>
                <w:sz w:val="21"/>
              </w:rPr>
            </w:pPr>
          </w:p>
        </w:tc>
        <w:tc>
          <w:tcPr>
            <w:tcW w:w="8655" w:type="dxa"/>
            <w:vAlign w:val="top"/>
          </w:tcPr>
          <w:p w14:paraId="7806E948">
            <w:pPr>
              <w:spacing w:before="234" w:line="5583" w:lineRule="exact"/>
              <w:ind w:firstLine="3310"/>
            </w:pPr>
            <w:r>
              <w:pict>
                <v:shape id="_x0000_s1050" o:spid="_x0000_s1050" o:spt="202" type="#_x0000_t202" style="position:absolute;left:0pt;margin-left:245.8pt;margin-top:3pt;height:18pt;width:57.35pt;mso-position-horizontal-relative:page;mso-position-vertical-relative:page;z-index:251673600;mso-width-relative:page;mso-height-relative:page;" filled="f" stroked="f" coordsize="21600,21600">
                  <v:path/>
                  <v:fill on="f" focussize="0,0"/>
                  <v:stroke on="f"/>
                  <v:imagedata o:title=""/>
                  <o:lock v:ext="edit" aspectratio="f"/>
                  <v:textbox inset="0mm,0mm,0mm,0mm">
                    <w:txbxContent>
                      <w:p w14:paraId="3C9E5EAB">
                        <w:pPr>
                          <w:pStyle w:val="6"/>
                          <w:spacing w:before="20" w:line="179" w:lineRule="auto"/>
                          <w:ind w:left="40" w:right="20" w:hanging="20"/>
                          <w:rPr>
                            <w:sz w:val="12"/>
                            <w:szCs w:val="12"/>
                          </w:rPr>
                        </w:pPr>
                        <w:r>
                          <w:rPr>
                            <w:spacing w:val="-7"/>
                            <w:sz w:val="23"/>
                            <w:szCs w:val="23"/>
                          </w:rPr>
                          <w:t>W、G、</w:t>
                        </w:r>
                        <w:r>
                          <w:rPr>
                            <w:color w:val="203050"/>
                            <w:spacing w:val="-7"/>
                            <w:sz w:val="23"/>
                            <w:szCs w:val="23"/>
                          </w:rPr>
                          <w:t>N</w:t>
                        </w:r>
                        <w:r>
                          <w:rPr>
                            <w:spacing w:val="-7"/>
                            <w:sz w:val="23"/>
                            <w:szCs w:val="23"/>
                          </w:rPr>
                          <w:t>、S</w:t>
                        </w:r>
                        <w:r>
                          <w:rPr>
                            <w:spacing w:val="4"/>
                            <w:sz w:val="23"/>
                            <w:szCs w:val="23"/>
                          </w:rPr>
                          <w:t xml:space="preserve"> </w:t>
                        </w:r>
                        <w:r>
                          <w:rPr>
                            <w:sz w:val="12"/>
                            <w:szCs w:val="12"/>
                          </w:rPr>
                          <w:t>A</w:t>
                        </w:r>
                      </w:p>
                    </w:txbxContent>
                  </v:textbox>
                </v:shape>
              </w:pict>
            </w:r>
            <w:r>
              <w:pict>
                <v:shape id="_x0000_s1051" o:spid="_x0000_s1051" o:spt="202" type="#_x0000_t202" style="position:absolute;left:0pt;margin-left:174.3pt;margin-top:27.05pt;height:12.1pt;width:84.5pt;mso-position-horizontal-relative:page;mso-position-vertical-relative:page;z-index:251674624;mso-width-relative:page;mso-height-relative:page;" filled="f" stroked="f" coordsize="21600,21600">
                  <v:path/>
                  <v:fill on="f" focussize="0,0"/>
                  <v:stroke on="f"/>
                  <v:imagedata o:title=""/>
                  <o:lock v:ext="edit" aspectratio="f"/>
                  <v:textbox inset="0mm,0mm,0mm,0mm">
                    <w:txbxContent>
                      <w:p w14:paraId="0F70DF2F">
                        <w:pPr>
                          <w:pStyle w:val="6"/>
                          <w:spacing w:before="19" w:line="219" w:lineRule="auto"/>
                          <w:ind w:left="20"/>
                          <w:rPr>
                            <w:sz w:val="17"/>
                            <w:szCs w:val="17"/>
                          </w:rPr>
                        </w:pPr>
                        <w:r>
                          <w:rPr>
                            <w:spacing w:val="37"/>
                            <w:sz w:val="17"/>
                            <w:szCs w:val="17"/>
                          </w:rPr>
                          <w:t>光伏阵列基础施工</w:t>
                        </w:r>
                      </w:p>
                    </w:txbxContent>
                  </v:textbox>
                </v:shape>
              </w:pict>
            </w:r>
            <w:r>
              <w:pict>
                <v:shape id="_x0000_s1052" o:spid="_x0000_s1052" o:spt="202" type="#_x0000_t202" style="position:absolute;left:0pt;margin-left:173.8pt;margin-top:35.1pt;height:251.6pt;width:138.35pt;mso-position-horizontal-relative:page;mso-position-vertical-relative:page;z-index:251675648;mso-width-relative:page;mso-height-relative:page;" filled="f" stroked="f" coordsize="21600,21600">
                  <v:path/>
                  <v:fill on="f" focussize="0,0"/>
                  <v:stroke on="f"/>
                  <v:imagedata o:title=""/>
                  <o:lock v:ext="edit" aspectratio="f"/>
                  <v:textbox inset="0mm,0mm,0mm,0mm">
                    <w:txbxContent>
                      <w:p w14:paraId="2E8EDEBC">
                        <w:pPr>
                          <w:spacing w:before="20" w:line="26" w:lineRule="exact"/>
                          <w:ind w:firstLine="22"/>
                        </w:pPr>
                        <w:r>
                          <w:drawing>
                            <wp:inline distT="0" distB="0" distL="0" distR="0">
                              <wp:extent cx="1173480" cy="1651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78"/>
                                      <a:stretch>
                                        <a:fillRect/>
                                      </a:stretch>
                                    </pic:blipFill>
                                    <pic:spPr>
                                      <a:xfrm>
                                        <a:off x="0" y="0"/>
                                        <a:ext cx="1173533" cy="16621"/>
                                      </a:xfrm>
                                      <a:prstGeom prst="rect">
                                        <a:avLst/>
                                      </a:prstGeom>
                                    </pic:spPr>
                                  </pic:pic>
                                </a:graphicData>
                              </a:graphic>
                            </wp:inline>
                          </w:drawing>
                        </w:r>
                      </w:p>
                      <w:p w14:paraId="452CABD0">
                        <w:pPr>
                          <w:pStyle w:val="6"/>
                          <w:spacing w:before="107" w:line="183" w:lineRule="auto"/>
                          <w:ind w:left="1870"/>
                          <w:rPr>
                            <w:sz w:val="17"/>
                            <w:szCs w:val="17"/>
                          </w:rPr>
                        </w:pPr>
                        <w:r>
                          <w:rPr>
                            <w:sz w:val="17"/>
                            <w:szCs w:val="17"/>
                          </w:rPr>
                          <w:t>S</w:t>
                        </w:r>
                      </w:p>
                      <w:p w14:paraId="0A4E943D">
                        <w:pPr>
                          <w:pStyle w:val="6"/>
                          <w:spacing w:before="208" w:line="220" w:lineRule="auto"/>
                          <w:ind w:left="510"/>
                          <w:rPr>
                            <w:sz w:val="17"/>
                            <w:szCs w:val="17"/>
                          </w:rPr>
                        </w:pPr>
                        <w:r>
                          <w:rPr>
                            <w:spacing w:val="-2"/>
                            <w:sz w:val="17"/>
                            <w:szCs w:val="17"/>
                          </w:rPr>
                          <w:t>支架安装</w:t>
                        </w:r>
                      </w:p>
                      <w:p w14:paraId="7BD1E66B">
                        <w:pPr>
                          <w:pStyle w:val="6"/>
                          <w:spacing w:before="118" w:line="183" w:lineRule="auto"/>
                          <w:ind w:left="1840"/>
                          <w:rPr>
                            <w:sz w:val="23"/>
                            <w:szCs w:val="23"/>
                          </w:rPr>
                        </w:pPr>
                        <w:r>
                          <w:rPr>
                            <w:sz w:val="23"/>
                            <w:szCs w:val="23"/>
                          </w:rPr>
                          <w:t>S</w:t>
                        </w:r>
                      </w:p>
                      <w:p w14:paraId="5837B5D9">
                        <w:pPr>
                          <w:pStyle w:val="6"/>
                          <w:spacing w:before="169" w:line="219" w:lineRule="auto"/>
                          <w:ind w:left="230"/>
                          <w:rPr>
                            <w:sz w:val="17"/>
                            <w:szCs w:val="17"/>
                          </w:rPr>
                        </w:pPr>
                        <w:r>
                          <w:rPr>
                            <w:spacing w:val="39"/>
                            <w:sz w:val="17"/>
                            <w:szCs w:val="17"/>
                            <w:u w:val="single" w:color="auto"/>
                          </w:rPr>
                          <w:t>光伏组件安装</w:t>
                        </w:r>
                      </w:p>
                      <w:p w14:paraId="77A934B3">
                        <w:pPr>
                          <w:pStyle w:val="6"/>
                          <w:spacing w:before="121" w:line="183" w:lineRule="auto"/>
                          <w:ind w:left="1830"/>
                          <w:rPr>
                            <w:sz w:val="23"/>
                            <w:szCs w:val="23"/>
                          </w:rPr>
                        </w:pPr>
                        <w:r>
                          <w:rPr>
                            <w:sz w:val="23"/>
                            <w:szCs w:val="23"/>
                          </w:rPr>
                          <w:t>S</w:t>
                        </w:r>
                      </w:p>
                      <w:p w14:paraId="2C579E21">
                        <w:pPr>
                          <w:pStyle w:val="6"/>
                          <w:spacing w:before="130" w:line="220" w:lineRule="auto"/>
                          <w:ind w:left="330"/>
                          <w:rPr>
                            <w:sz w:val="17"/>
                            <w:szCs w:val="17"/>
                          </w:rPr>
                        </w:pPr>
                        <w:r>
                          <w:rPr>
                            <w:spacing w:val="-6"/>
                            <w:sz w:val="17"/>
                            <w:szCs w:val="17"/>
                          </w:rPr>
                          <w:t>逆</w:t>
                        </w:r>
                        <w:r>
                          <w:rPr>
                            <w:spacing w:val="-28"/>
                            <w:sz w:val="17"/>
                            <w:szCs w:val="17"/>
                          </w:rPr>
                          <w:t xml:space="preserve"> </w:t>
                        </w:r>
                        <w:r>
                          <w:rPr>
                            <w:spacing w:val="-6"/>
                            <w:sz w:val="17"/>
                            <w:szCs w:val="17"/>
                          </w:rPr>
                          <w:t>变</w:t>
                        </w:r>
                        <w:r>
                          <w:rPr>
                            <w:spacing w:val="-28"/>
                            <w:sz w:val="17"/>
                            <w:szCs w:val="17"/>
                          </w:rPr>
                          <w:t xml:space="preserve"> </w:t>
                        </w:r>
                        <w:r>
                          <w:rPr>
                            <w:spacing w:val="-6"/>
                            <w:sz w:val="17"/>
                            <w:szCs w:val="17"/>
                          </w:rPr>
                          <w:t>器</w:t>
                        </w:r>
                        <w:r>
                          <w:rPr>
                            <w:spacing w:val="-24"/>
                            <w:sz w:val="17"/>
                            <w:szCs w:val="17"/>
                          </w:rPr>
                          <w:t xml:space="preserve"> </w:t>
                        </w:r>
                        <w:r>
                          <w:rPr>
                            <w:spacing w:val="-6"/>
                            <w:sz w:val="17"/>
                            <w:szCs w:val="17"/>
                          </w:rPr>
                          <w:t>安</w:t>
                        </w:r>
                        <w:r>
                          <w:rPr>
                            <w:spacing w:val="-27"/>
                            <w:sz w:val="17"/>
                            <w:szCs w:val="17"/>
                          </w:rPr>
                          <w:t xml:space="preserve"> </w:t>
                        </w:r>
                        <w:r>
                          <w:rPr>
                            <w:spacing w:val="-6"/>
                            <w:sz w:val="17"/>
                            <w:szCs w:val="17"/>
                          </w:rPr>
                          <w:t>装</w:t>
                        </w:r>
                      </w:p>
                      <w:p w14:paraId="1D36B912">
                        <w:pPr>
                          <w:pStyle w:val="6"/>
                          <w:spacing w:before="145" w:line="183" w:lineRule="auto"/>
                          <w:ind w:left="1540"/>
                          <w:rPr>
                            <w:sz w:val="23"/>
                            <w:szCs w:val="23"/>
                          </w:rPr>
                        </w:pPr>
                        <w:r>
                          <w:rPr>
                            <w:spacing w:val="-1"/>
                            <w:sz w:val="23"/>
                            <w:szCs w:val="23"/>
                          </w:rPr>
                          <w:t>W、G、N、S</w:t>
                        </w:r>
                      </w:p>
                      <w:p w14:paraId="0A5C44EC">
                        <w:pPr>
                          <w:pStyle w:val="6"/>
                          <w:spacing w:before="157" w:line="220" w:lineRule="auto"/>
                          <w:ind w:left="289"/>
                          <w:rPr>
                            <w:sz w:val="23"/>
                            <w:szCs w:val="23"/>
                          </w:rPr>
                        </w:pPr>
                        <w:r>
                          <w:rPr>
                            <w:spacing w:val="2"/>
                            <w:sz w:val="23"/>
                            <w:szCs w:val="23"/>
                          </w:rPr>
                          <w:t>箱变基础施工</w:t>
                        </w:r>
                      </w:p>
                      <w:p w14:paraId="78C4C9A0">
                        <w:pPr>
                          <w:pStyle w:val="6"/>
                          <w:spacing w:before="24" w:line="183" w:lineRule="auto"/>
                          <w:ind w:left="1760"/>
                          <w:rPr>
                            <w:sz w:val="23"/>
                            <w:szCs w:val="23"/>
                          </w:rPr>
                        </w:pPr>
                        <w:r>
                          <w:rPr>
                            <w:sz w:val="23"/>
                            <w:szCs w:val="23"/>
                          </w:rPr>
                          <w:t>S</w:t>
                        </w:r>
                      </w:p>
                      <w:p w14:paraId="07A7E7D9">
                        <w:pPr>
                          <w:pStyle w:val="6"/>
                          <w:spacing w:before="191" w:line="220" w:lineRule="auto"/>
                          <w:ind w:left="230"/>
                          <w:rPr>
                            <w:sz w:val="17"/>
                            <w:szCs w:val="17"/>
                          </w:rPr>
                        </w:pPr>
                        <w:r>
                          <w:rPr>
                            <w:spacing w:val="39"/>
                            <w:sz w:val="17"/>
                            <w:szCs w:val="17"/>
                            <w:u w:val="single" w:color="auto"/>
                          </w:rPr>
                          <w:t>箱变设备安装</w:t>
                        </w:r>
                      </w:p>
                      <w:p w14:paraId="7B101985">
                        <w:pPr>
                          <w:pStyle w:val="6"/>
                          <w:spacing w:before="105" w:line="183" w:lineRule="auto"/>
                          <w:ind w:right="15"/>
                          <w:jc w:val="right"/>
                          <w:rPr>
                            <w:sz w:val="23"/>
                            <w:szCs w:val="23"/>
                          </w:rPr>
                        </w:pPr>
                        <w:r>
                          <w:rPr>
                            <w:spacing w:val="-6"/>
                            <w:sz w:val="23"/>
                            <w:szCs w:val="23"/>
                          </w:rPr>
                          <w:t>、G、N、S</w:t>
                        </w:r>
                      </w:p>
                      <w:p w14:paraId="354021E1">
                        <w:pPr>
                          <w:pStyle w:val="6"/>
                          <w:spacing w:before="164" w:line="219" w:lineRule="auto"/>
                          <w:ind w:left="20"/>
                          <w:rPr>
                            <w:sz w:val="17"/>
                            <w:szCs w:val="17"/>
                          </w:rPr>
                        </w:pPr>
                        <w:r>
                          <w:rPr>
                            <w:spacing w:val="39"/>
                            <w:sz w:val="17"/>
                            <w:szCs w:val="17"/>
                            <w:u w:val="single" w:color="auto"/>
                          </w:rPr>
                          <w:t>集电线路敷设施工</w:t>
                        </w:r>
                      </w:p>
                      <w:p w14:paraId="25FE6A26">
                        <w:pPr>
                          <w:spacing w:line="470" w:lineRule="auto"/>
                          <w:rPr>
                            <w:rFonts w:ascii="Arial"/>
                            <w:sz w:val="21"/>
                          </w:rPr>
                        </w:pPr>
                      </w:p>
                      <w:p w14:paraId="078E298C">
                        <w:pPr>
                          <w:pStyle w:val="6"/>
                          <w:spacing w:before="55" w:line="219" w:lineRule="auto"/>
                          <w:ind w:left="510"/>
                          <w:rPr>
                            <w:sz w:val="17"/>
                            <w:szCs w:val="17"/>
                          </w:rPr>
                        </w:pPr>
                        <w:r>
                          <w:rPr>
                            <w:spacing w:val="-2"/>
                            <w:sz w:val="17"/>
                            <w:szCs w:val="17"/>
                          </w:rPr>
                          <w:t>调试使</w:t>
                        </w:r>
                        <w:r>
                          <w:rPr>
                            <w:color w:val="304050"/>
                            <w:spacing w:val="-2"/>
                            <w:sz w:val="17"/>
                            <w:szCs w:val="17"/>
                          </w:rPr>
                          <w:t>用</w:t>
                        </w:r>
                      </w:p>
                    </w:txbxContent>
                  </v:textbox>
                </v:shape>
              </w:pict>
            </w:r>
            <w:r>
              <w:drawing>
                <wp:anchor distT="0" distB="0" distL="0" distR="0" simplePos="0" relativeHeight="251679744" behindDoc="0" locked="0" layoutInCell="1" allowOverlap="1">
                  <wp:simplePos x="0" y="0"/>
                  <wp:positionH relativeFrom="rightMargin">
                    <wp:posOffset>-3164205</wp:posOffset>
                  </wp:positionH>
                  <wp:positionV relativeFrom="topMargin">
                    <wp:posOffset>878205</wp:posOffset>
                  </wp:positionV>
                  <wp:extent cx="838200" cy="15875"/>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79"/>
                          <a:stretch>
                            <a:fillRect/>
                          </a:stretch>
                        </pic:blipFill>
                        <pic:spPr>
                          <a:xfrm>
                            <a:off x="0" y="0"/>
                            <a:ext cx="838189" cy="15867"/>
                          </a:xfrm>
                          <a:prstGeom prst="rect">
                            <a:avLst/>
                          </a:prstGeom>
                        </pic:spPr>
                      </pic:pic>
                    </a:graphicData>
                  </a:graphic>
                </wp:anchor>
              </w:drawing>
            </w:r>
            <w:r>
              <w:drawing>
                <wp:anchor distT="0" distB="0" distL="0" distR="0" simplePos="0" relativeHeight="251678720" behindDoc="0" locked="0" layoutInCell="1" allowOverlap="1">
                  <wp:simplePos x="0" y="0"/>
                  <wp:positionH relativeFrom="rightMargin">
                    <wp:posOffset>-3253740</wp:posOffset>
                  </wp:positionH>
                  <wp:positionV relativeFrom="topMargin">
                    <wp:posOffset>1767205</wp:posOffset>
                  </wp:positionV>
                  <wp:extent cx="1022350" cy="15875"/>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80"/>
                          <a:stretch>
                            <a:fillRect/>
                          </a:stretch>
                        </pic:blipFill>
                        <pic:spPr>
                          <a:xfrm>
                            <a:off x="0" y="0"/>
                            <a:ext cx="1022345" cy="15868"/>
                          </a:xfrm>
                          <a:prstGeom prst="rect">
                            <a:avLst/>
                          </a:prstGeom>
                        </pic:spPr>
                      </pic:pic>
                    </a:graphicData>
                  </a:graphic>
                </wp:anchor>
              </w:drawing>
            </w:r>
            <w:r>
              <w:drawing>
                <wp:anchor distT="0" distB="0" distL="0" distR="0" simplePos="0" relativeHeight="251676672" behindDoc="0" locked="0" layoutInCell="1" allowOverlap="1">
                  <wp:simplePos x="0" y="0"/>
                  <wp:positionH relativeFrom="rightMargin">
                    <wp:posOffset>-3241040</wp:posOffset>
                  </wp:positionH>
                  <wp:positionV relativeFrom="topMargin">
                    <wp:posOffset>2268855</wp:posOffset>
                  </wp:positionV>
                  <wp:extent cx="1155700" cy="2159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81"/>
                          <a:stretch>
                            <a:fillRect/>
                          </a:stretch>
                        </pic:blipFill>
                        <pic:spPr>
                          <a:xfrm>
                            <a:off x="0" y="0"/>
                            <a:ext cx="1155678" cy="21468"/>
                          </a:xfrm>
                          <a:prstGeom prst="rect">
                            <a:avLst/>
                          </a:prstGeom>
                        </pic:spPr>
                      </pic:pic>
                    </a:graphicData>
                  </a:graphic>
                </wp:anchor>
              </w:drawing>
            </w:r>
            <w:r>
              <w:drawing>
                <wp:anchor distT="0" distB="0" distL="0" distR="0" simplePos="0" relativeHeight="251677696" behindDoc="0" locked="0" layoutInCell="1" allowOverlap="1">
                  <wp:simplePos x="0" y="0"/>
                  <wp:positionH relativeFrom="rightMargin">
                    <wp:posOffset>-3170555</wp:posOffset>
                  </wp:positionH>
                  <wp:positionV relativeFrom="topMargin">
                    <wp:posOffset>3595370</wp:posOffset>
                  </wp:positionV>
                  <wp:extent cx="850900" cy="1651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82"/>
                          <a:stretch>
                            <a:fillRect/>
                          </a:stretch>
                        </pic:blipFill>
                        <pic:spPr>
                          <a:xfrm>
                            <a:off x="0" y="0"/>
                            <a:ext cx="850894" cy="16300"/>
                          </a:xfrm>
                          <a:prstGeom prst="rect">
                            <a:avLst/>
                          </a:prstGeom>
                        </pic:spPr>
                      </pic:pic>
                    </a:graphicData>
                  </a:graphic>
                </wp:anchor>
              </w:drawing>
            </w:r>
            <w:r>
              <w:rPr>
                <w:position w:val="-111"/>
              </w:rPr>
              <w:drawing>
                <wp:inline distT="0" distB="0" distL="0" distR="0">
                  <wp:extent cx="1752600" cy="354457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83"/>
                          <a:stretch>
                            <a:fillRect/>
                          </a:stretch>
                        </pic:blipFill>
                        <pic:spPr>
                          <a:xfrm>
                            <a:off x="0" y="0"/>
                            <a:ext cx="1752615" cy="3545091"/>
                          </a:xfrm>
                          <a:prstGeom prst="rect">
                            <a:avLst/>
                          </a:prstGeom>
                        </pic:spPr>
                      </pic:pic>
                    </a:graphicData>
                  </a:graphic>
                </wp:inline>
              </w:drawing>
            </w:r>
          </w:p>
          <w:p w14:paraId="0C17C8D6">
            <w:pPr>
              <w:pStyle w:val="6"/>
              <w:spacing w:line="213" w:lineRule="auto"/>
              <w:ind w:left="2484"/>
              <w:rPr>
                <w:sz w:val="23"/>
                <w:szCs w:val="23"/>
              </w:rPr>
            </w:pPr>
            <w:r>
              <w:rPr>
                <w:b/>
                <w:bCs/>
                <w:spacing w:val="-3"/>
                <w:sz w:val="23"/>
                <w:szCs w:val="23"/>
              </w:rPr>
              <w:t>注：W-废水G-废气N-噪声S-固体废物</w:t>
            </w:r>
          </w:p>
          <w:p w14:paraId="48EBBE98">
            <w:pPr>
              <w:pStyle w:val="6"/>
              <w:spacing w:before="115" w:line="219" w:lineRule="auto"/>
              <w:ind w:left="1964"/>
              <w:rPr>
                <w:sz w:val="23"/>
                <w:szCs w:val="23"/>
              </w:rPr>
            </w:pPr>
            <w:r>
              <w:rPr>
                <w:b/>
                <w:bCs/>
                <w:spacing w:val="-2"/>
                <w:sz w:val="23"/>
                <w:szCs w:val="23"/>
              </w:rPr>
              <w:t>图2-4光伏阵列施工工艺流程及产污节点示</w:t>
            </w:r>
            <w:r>
              <w:rPr>
                <w:b/>
                <w:bCs/>
                <w:spacing w:val="-3"/>
                <w:sz w:val="23"/>
                <w:szCs w:val="23"/>
              </w:rPr>
              <w:t>意图</w:t>
            </w:r>
          </w:p>
          <w:p w14:paraId="10C4DABE">
            <w:pPr>
              <w:pStyle w:val="6"/>
              <w:spacing w:before="197" w:line="219" w:lineRule="auto"/>
              <w:ind w:left="704"/>
              <w:rPr>
                <w:sz w:val="23"/>
                <w:szCs w:val="23"/>
              </w:rPr>
            </w:pPr>
            <w:r>
              <w:rPr>
                <w:b/>
                <w:bCs/>
                <w:spacing w:val="-3"/>
                <w:sz w:val="23"/>
                <w:szCs w:val="23"/>
              </w:rPr>
              <w:t>(1)光伏阵列基础施工</w:t>
            </w:r>
          </w:p>
          <w:p w14:paraId="31B3757C">
            <w:pPr>
              <w:pStyle w:val="6"/>
              <w:spacing w:before="200" w:line="381" w:lineRule="auto"/>
              <w:ind w:left="100" w:right="518" w:firstLine="419"/>
              <w:rPr>
                <w:sz w:val="23"/>
                <w:szCs w:val="23"/>
              </w:rPr>
            </w:pPr>
            <w:r>
              <w:rPr>
                <w:sz w:val="23"/>
                <w:szCs w:val="23"/>
              </w:rPr>
              <w:t>光伏阵列基础采用钻孔灌注桩形式，混凝土灌注桩基础施工包括钻孔、钢筋</w:t>
            </w:r>
            <w:r>
              <w:rPr>
                <w:spacing w:val="14"/>
                <w:sz w:val="23"/>
                <w:szCs w:val="23"/>
              </w:rPr>
              <w:t xml:space="preserve"> </w:t>
            </w:r>
            <w:r>
              <w:rPr>
                <w:spacing w:val="-1"/>
                <w:sz w:val="23"/>
                <w:szCs w:val="23"/>
              </w:rPr>
              <w:t>笼制作与安装、混凝土浇筑。</w:t>
            </w:r>
          </w:p>
          <w:p w14:paraId="56148A51">
            <w:pPr>
              <w:pStyle w:val="6"/>
              <w:spacing w:line="217" w:lineRule="auto"/>
              <w:ind w:left="590"/>
              <w:rPr>
                <w:sz w:val="23"/>
                <w:szCs w:val="23"/>
              </w:rPr>
            </w:pPr>
            <w:r>
              <w:rPr>
                <w:spacing w:val="-2"/>
                <w:sz w:val="23"/>
                <w:szCs w:val="23"/>
              </w:rPr>
              <w:t>①钻孔</w:t>
            </w:r>
          </w:p>
          <w:p w14:paraId="1971D8BF">
            <w:pPr>
              <w:pStyle w:val="6"/>
              <w:spacing w:before="192" w:line="374" w:lineRule="auto"/>
              <w:ind w:left="110" w:right="479" w:firstLine="469"/>
              <w:rPr>
                <w:sz w:val="23"/>
                <w:szCs w:val="23"/>
              </w:rPr>
            </w:pPr>
            <w:r>
              <w:rPr>
                <w:sz w:val="23"/>
                <w:szCs w:val="23"/>
              </w:rPr>
              <w:t>根据施工现场坐标控制点首先建立该区测量控制网，对桩位</w:t>
            </w:r>
            <w:r>
              <w:rPr>
                <w:spacing w:val="-1"/>
                <w:sz w:val="23"/>
                <w:szCs w:val="23"/>
              </w:rPr>
              <w:t>准确定位放线。</w:t>
            </w:r>
            <w:r>
              <w:rPr>
                <w:sz w:val="23"/>
                <w:szCs w:val="23"/>
              </w:rPr>
              <w:t xml:space="preserve"> 采用钻孔机械进行钻孔，钻孔应保证桩孔竖直。钻孔完成后，进行钻孔验收，验 </w:t>
            </w:r>
            <w:r>
              <w:rPr>
                <w:spacing w:val="-1"/>
                <w:sz w:val="23"/>
                <w:szCs w:val="23"/>
              </w:rPr>
              <w:t>收合格后方可进行下道工序施工。</w:t>
            </w:r>
          </w:p>
          <w:p w14:paraId="2435D5A6">
            <w:pPr>
              <w:pStyle w:val="6"/>
              <w:spacing w:line="217" w:lineRule="auto"/>
              <w:ind w:left="590"/>
              <w:rPr>
                <w:sz w:val="23"/>
                <w:szCs w:val="23"/>
              </w:rPr>
            </w:pPr>
            <w:r>
              <w:rPr>
                <w:spacing w:val="-1"/>
                <w:sz w:val="23"/>
                <w:szCs w:val="23"/>
              </w:rPr>
              <w:t>②钢筋笼制作与安装</w:t>
            </w:r>
          </w:p>
          <w:p w14:paraId="1A035DCA">
            <w:pPr>
              <w:pStyle w:val="6"/>
              <w:spacing w:before="202" w:line="384" w:lineRule="auto"/>
              <w:ind w:left="131" w:right="651" w:firstLine="509"/>
              <w:rPr>
                <w:sz w:val="23"/>
                <w:szCs w:val="23"/>
              </w:rPr>
            </w:pPr>
            <w:r>
              <w:rPr>
                <w:sz w:val="23"/>
                <w:szCs w:val="23"/>
              </w:rPr>
              <w:t>钢筋笼为HRB400钢筋，将预先编好的钢筋笼放入桩孔</w:t>
            </w:r>
            <w:r>
              <w:rPr>
                <w:spacing w:val="-1"/>
                <w:sz w:val="23"/>
                <w:szCs w:val="23"/>
              </w:rPr>
              <w:t>中，调整好位置，使</w:t>
            </w:r>
            <w:r>
              <w:rPr>
                <w:sz w:val="23"/>
                <w:szCs w:val="23"/>
              </w:rPr>
              <w:t xml:space="preserve"> </w:t>
            </w:r>
            <w:r>
              <w:rPr>
                <w:spacing w:val="-1"/>
                <w:sz w:val="23"/>
                <w:szCs w:val="23"/>
              </w:rPr>
              <w:t>钢筋笼位于钻孔中心位置。</w:t>
            </w:r>
          </w:p>
          <w:p w14:paraId="7F3EDA8F">
            <w:pPr>
              <w:pStyle w:val="6"/>
              <w:spacing w:before="1" w:line="217" w:lineRule="auto"/>
              <w:ind w:left="600"/>
              <w:rPr>
                <w:sz w:val="23"/>
                <w:szCs w:val="23"/>
              </w:rPr>
            </w:pPr>
            <w:r>
              <w:rPr>
                <w:spacing w:val="-1"/>
                <w:sz w:val="23"/>
                <w:szCs w:val="23"/>
              </w:rPr>
              <w:t>③混凝土浇筑</w:t>
            </w:r>
          </w:p>
          <w:p w14:paraId="318B2431">
            <w:pPr>
              <w:pStyle w:val="6"/>
              <w:spacing w:before="181" w:line="371" w:lineRule="auto"/>
              <w:ind w:left="121" w:right="461" w:firstLine="399"/>
              <w:rPr>
                <w:sz w:val="23"/>
                <w:szCs w:val="23"/>
              </w:rPr>
            </w:pPr>
            <w:r>
              <w:rPr>
                <w:sz w:val="23"/>
                <w:szCs w:val="23"/>
              </w:rPr>
              <w:t>采用临时设置的混凝土拌合站供应、小型自卸汽车运</w:t>
            </w:r>
            <w:r>
              <w:rPr>
                <w:spacing w:val="-1"/>
                <w:sz w:val="23"/>
                <w:szCs w:val="23"/>
              </w:rPr>
              <w:t>输、人工浇筑、插入式</w:t>
            </w:r>
            <w:r>
              <w:rPr>
                <w:sz w:val="23"/>
                <w:szCs w:val="23"/>
              </w:rPr>
              <w:t xml:space="preserve"> 振捣器振捣的施工方案。应严格把控混凝土浇筑质量，浇筑时速度不宜过快，防</w:t>
            </w:r>
            <w:r>
              <w:rPr>
                <w:spacing w:val="11"/>
                <w:sz w:val="23"/>
                <w:szCs w:val="23"/>
              </w:rPr>
              <w:t xml:space="preserve"> </w:t>
            </w:r>
            <w:r>
              <w:rPr>
                <w:sz w:val="23"/>
                <w:szCs w:val="23"/>
              </w:rPr>
              <w:t>止集料离析、分离。</w:t>
            </w:r>
          </w:p>
          <w:p w14:paraId="703493D5">
            <w:pPr>
              <w:pStyle w:val="6"/>
              <w:spacing w:before="1" w:line="218" w:lineRule="auto"/>
              <w:ind w:left="704"/>
              <w:rPr>
                <w:sz w:val="23"/>
                <w:szCs w:val="23"/>
              </w:rPr>
            </w:pPr>
            <w:r>
              <w:rPr>
                <w:b/>
                <w:bCs/>
                <w:spacing w:val="-3"/>
                <w:sz w:val="23"/>
                <w:szCs w:val="23"/>
              </w:rPr>
              <w:t>(2)光伏阵列组件和支架安装</w:t>
            </w:r>
          </w:p>
        </w:tc>
      </w:tr>
    </w:tbl>
    <w:p w14:paraId="1A292471">
      <w:pPr>
        <w:pStyle w:val="2"/>
      </w:pPr>
    </w:p>
    <w:p w14:paraId="03E056AE">
      <w:pPr>
        <w:sectPr>
          <w:footerReference r:id="rId55" w:type="default"/>
          <w:pgSz w:w="11910" w:h="16840"/>
          <w:pgMar w:top="1431" w:right="1425" w:bottom="1255" w:left="1405" w:header="0" w:footer="1093" w:gutter="0"/>
          <w:cols w:space="720" w:num="1"/>
        </w:sectPr>
      </w:pPr>
    </w:p>
    <w:p w14:paraId="4F49ACBA">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71269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01B23D82">
            <w:pPr>
              <w:rPr>
                <w:rFonts w:ascii="Arial"/>
                <w:sz w:val="21"/>
              </w:rPr>
            </w:pPr>
          </w:p>
        </w:tc>
        <w:tc>
          <w:tcPr>
            <w:tcW w:w="8655" w:type="dxa"/>
            <w:vAlign w:val="top"/>
          </w:tcPr>
          <w:p w14:paraId="6E935DF6">
            <w:pPr>
              <w:pStyle w:val="6"/>
              <w:spacing w:before="12" w:line="357" w:lineRule="auto"/>
              <w:ind w:left="131" w:right="110" w:firstLine="469"/>
            </w:pPr>
            <w:r>
              <w:t>支架的安装：支架安装前应对基础的水平偏差和定位轴线偏差进行查验，不</w:t>
            </w:r>
            <w:r>
              <w:rPr>
                <w:spacing w:val="12"/>
              </w:rPr>
              <w:t xml:space="preserve"> </w:t>
            </w:r>
            <w:r>
              <w:rPr>
                <w:spacing w:val="1"/>
              </w:rPr>
              <w:t>合格的项目应进行整改后再进行安装。总体施工顺序{测量(标高)就位准备→</w:t>
            </w:r>
          </w:p>
          <w:p w14:paraId="600C0C46">
            <w:pPr>
              <w:pStyle w:val="6"/>
              <w:spacing w:before="4" w:line="219" w:lineRule="auto"/>
              <w:ind w:left="121"/>
            </w:pPr>
            <w:r>
              <w:t>膨胀螺栓孔钻制→安装膨胀螺栓→安装立柱→安装横梁→安装榔条}等。</w:t>
            </w:r>
          </w:p>
          <w:p w14:paraId="314CE6BC">
            <w:pPr>
              <w:pStyle w:val="6"/>
              <w:spacing w:before="182" w:line="359" w:lineRule="auto"/>
              <w:ind w:left="110" w:right="113" w:firstLine="489"/>
              <w:jc w:val="both"/>
            </w:pPr>
            <w:r>
              <w:t>光伏组件的安装：挑选工作参数接近的组件在同一子方阵内，额定工作电流</w:t>
            </w:r>
            <w:r>
              <w:rPr>
                <w:spacing w:val="9"/>
              </w:rPr>
              <w:t xml:space="preserve"> </w:t>
            </w:r>
            <w:r>
              <w:t>相等或相接近的组件进行串连，其安装角度、组件边缘高差和组件平整度应严格 遵守设计文件或生产厂家的要求。严禁在雷、雨天进行组件的连线工作。</w:t>
            </w:r>
          </w:p>
          <w:p w14:paraId="630315E9">
            <w:pPr>
              <w:pStyle w:val="6"/>
              <w:spacing w:line="220" w:lineRule="auto"/>
              <w:ind w:left="714"/>
            </w:pPr>
            <w:r>
              <w:rPr>
                <w:b/>
                <w:bCs/>
                <w:spacing w:val="-2"/>
              </w:rPr>
              <w:t>(4)逆变器安装</w:t>
            </w:r>
          </w:p>
          <w:p w14:paraId="4DF37FC4">
            <w:pPr>
              <w:pStyle w:val="6"/>
              <w:spacing w:before="185" w:line="361" w:lineRule="auto"/>
              <w:ind w:left="110" w:firstLine="483"/>
            </w:pPr>
            <w:r>
              <w:rPr>
                <w:spacing w:val="-4"/>
              </w:rPr>
              <w:t>将逆变器固定在光伏支架立柱上，确保逆变器的安装牢固和稳定，根据逆变</w:t>
            </w:r>
            <w:r>
              <w:rPr>
                <w:spacing w:val="5"/>
              </w:rPr>
              <w:t xml:space="preserve">   </w:t>
            </w:r>
            <w:r>
              <w:rPr>
                <w:spacing w:val="-3"/>
              </w:rPr>
              <w:t>器的输入和输出要求，连接直流电缆和交流电缆，对逆变器进行接地保护，确保</w:t>
            </w:r>
            <w:r>
              <w:rPr>
                <w:spacing w:val="3"/>
              </w:rPr>
              <w:t xml:space="preserve">   </w:t>
            </w:r>
            <w:r>
              <w:rPr>
                <w:spacing w:val="-3"/>
              </w:rPr>
              <w:t>系统的安全运行，完成逆变器安装后，进行调试和检验工作，包括检查输入电流、</w:t>
            </w:r>
            <w:r>
              <w:rPr>
                <w:spacing w:val="1"/>
              </w:rPr>
              <w:t xml:space="preserve"> </w:t>
            </w:r>
            <w:r>
              <w:rPr>
                <w:spacing w:val="-3"/>
              </w:rPr>
              <w:t>输出电压、频率等参数是否正常。</w:t>
            </w:r>
          </w:p>
          <w:p w14:paraId="49D63510">
            <w:pPr>
              <w:pStyle w:val="6"/>
              <w:spacing w:line="219" w:lineRule="auto"/>
              <w:ind w:left="724"/>
            </w:pPr>
            <w:r>
              <w:rPr>
                <w:b/>
                <w:bCs/>
                <w:spacing w:val="-2"/>
              </w:rPr>
              <w:t>(5)集电线路施工</w:t>
            </w:r>
          </w:p>
          <w:p w14:paraId="1511D9F7">
            <w:pPr>
              <w:pStyle w:val="6"/>
              <w:spacing w:before="209" w:line="219" w:lineRule="auto"/>
              <w:ind w:left="610"/>
            </w:pPr>
            <w:r>
              <w:t>场内集电线路直埋电缆和架空线路两种方案。</w:t>
            </w:r>
          </w:p>
          <w:p w14:paraId="47762331">
            <w:pPr>
              <w:pStyle w:val="6"/>
              <w:spacing w:before="145" w:line="219" w:lineRule="auto"/>
              <w:ind w:left="610"/>
            </w:pPr>
            <w:r>
              <w:rPr>
                <w:spacing w:val="1"/>
              </w:rPr>
              <w:t>1)直埋电缆</w:t>
            </w:r>
          </w:p>
          <w:p w14:paraId="3161BDCB">
            <w:pPr>
              <w:pStyle w:val="6"/>
              <w:spacing w:before="205" w:line="347" w:lineRule="auto"/>
              <w:ind w:left="121" w:right="107" w:firstLine="479"/>
            </w:pPr>
            <w:r>
              <w:t>地埋式电缆施工包括沟槽开挖、基底处理、电缆埋设、电缆沟回填。集电线</w:t>
            </w:r>
            <w:r>
              <w:rPr>
                <w:spacing w:val="15"/>
              </w:rPr>
              <w:t xml:space="preserve"> </w:t>
            </w:r>
            <w:r>
              <w:t>路起于各光伏阵列电缆上塔处，讫于220kV升压站，用35kV架空线路+电力电缆</w:t>
            </w:r>
          </w:p>
          <w:p w14:paraId="41E401DB">
            <w:pPr>
              <w:pStyle w:val="6"/>
              <w:spacing w:before="14" w:line="216" w:lineRule="auto"/>
              <w:ind w:left="121"/>
            </w:pPr>
            <w:r>
              <w:t>直埋敷设的混合方案，路径总长约40.71km,其中架空线路约38.82km,电缆线路</w:t>
            </w:r>
          </w:p>
          <w:p w14:paraId="41DD216F">
            <w:pPr>
              <w:pStyle w:val="6"/>
              <w:spacing w:before="182" w:line="361" w:lineRule="auto"/>
              <w:ind w:left="110" w:right="114" w:firstLine="10"/>
            </w:pPr>
            <w:r>
              <w:t>约1.89km。地埋电缆线路位于地块内部阵列线路的连接，地块至升压站的线路连</w:t>
            </w:r>
            <w:r>
              <w:rPr>
                <w:spacing w:val="8"/>
              </w:rPr>
              <w:t xml:space="preserve"> </w:t>
            </w:r>
            <w:r>
              <w:rPr>
                <w:spacing w:val="1"/>
              </w:rPr>
              <w:t>接采用架空线路。集电线路共设置114个塔</w:t>
            </w:r>
            <w:r>
              <w:t>基，塔基基座尺寸6.9m*6.9m。</w:t>
            </w:r>
          </w:p>
          <w:p w14:paraId="0D4C01C8">
            <w:pPr>
              <w:pStyle w:val="6"/>
              <w:spacing w:line="217" w:lineRule="auto"/>
              <w:ind w:left="600"/>
            </w:pPr>
            <w:r>
              <w:rPr>
                <w:spacing w:val="2"/>
              </w:rPr>
              <w:t>①沟槽开挖</w:t>
            </w:r>
          </w:p>
          <w:p w14:paraId="4DD7EB72">
            <w:pPr>
              <w:pStyle w:val="6"/>
              <w:spacing w:before="187" w:line="216" w:lineRule="auto"/>
              <w:ind w:left="620"/>
            </w:pPr>
            <w:r>
              <w:t>电缆沟开挖尺寸为顶宽1.6m,底宽1m,深1m。电缆沟埋深在1m左右，计</w:t>
            </w:r>
          </w:p>
          <w:p w14:paraId="6FCCA132">
            <w:pPr>
              <w:pStyle w:val="6"/>
              <w:spacing w:before="191" w:line="219" w:lineRule="auto"/>
              <w:ind w:left="121"/>
            </w:pPr>
            <w:r>
              <w:t>划采用机械开挖，然后预留20cm进行人工清底，以防超挖，沟槽开挖宽度应比</w:t>
            </w:r>
          </w:p>
          <w:p w14:paraId="2D442C06">
            <w:pPr>
              <w:pStyle w:val="6"/>
              <w:spacing w:before="182" w:line="357" w:lineRule="auto"/>
              <w:ind w:left="110" w:right="103" w:firstLine="30"/>
              <w:jc w:val="both"/>
            </w:pPr>
            <w:r>
              <w:t>设计宽度每侧加宽0.5m,以便于模板安装和基槽底部排水；边坡放坡系数视现场</w:t>
            </w:r>
            <w:r>
              <w:rPr>
                <w:spacing w:val="6"/>
              </w:rPr>
              <w:t xml:space="preserve">  </w:t>
            </w:r>
            <w:r>
              <w:rPr>
                <w:spacing w:val="1"/>
              </w:rPr>
              <w:t>土质情况而定。必要时应加挡土板进行支护，堆放在沟槽两侧的堆</w:t>
            </w:r>
            <w:r>
              <w:t>土高度应控制 在1.5m以内。</w:t>
            </w:r>
          </w:p>
          <w:p w14:paraId="7559EAC6">
            <w:pPr>
              <w:pStyle w:val="6"/>
              <w:spacing w:line="217" w:lineRule="auto"/>
              <w:ind w:left="600"/>
            </w:pPr>
            <w:r>
              <w:rPr>
                <w:spacing w:val="-2"/>
              </w:rPr>
              <w:t>②基底处理</w:t>
            </w:r>
          </w:p>
          <w:p w14:paraId="497D6328">
            <w:pPr>
              <w:pStyle w:val="6"/>
              <w:spacing w:before="201" w:line="342" w:lineRule="auto"/>
              <w:ind w:left="141" w:right="3" w:firstLine="469"/>
            </w:pPr>
            <w:r>
              <w:t>在基底开挖后，铺砂垫层后放置电缆，再铺一层细沙后覆盖红砖，然后进行</w:t>
            </w:r>
            <w:r>
              <w:rPr>
                <w:spacing w:val="11"/>
              </w:rPr>
              <w:t xml:space="preserve"> </w:t>
            </w:r>
            <w:r>
              <w:rPr>
                <w:spacing w:val="-3"/>
              </w:rPr>
              <w:t>回填。在电缆接头处设砖砌电缆井，电缆井尺寸为长×宽×高：1.2</w:t>
            </w:r>
            <w:r>
              <w:rPr>
                <w:spacing w:val="-4"/>
              </w:rPr>
              <w:t>m(1.6m)×1.2m</w:t>
            </w:r>
            <w:r>
              <w:t xml:space="preserve"> </w:t>
            </w:r>
            <w:r>
              <w:rPr>
                <w:spacing w:val="3"/>
              </w:rPr>
              <w:t>(1.6m)×1.0m。</w:t>
            </w:r>
          </w:p>
        </w:tc>
      </w:tr>
    </w:tbl>
    <w:p w14:paraId="3BEC962B">
      <w:pPr>
        <w:pStyle w:val="2"/>
      </w:pPr>
    </w:p>
    <w:p w14:paraId="42EF3300">
      <w:pPr>
        <w:sectPr>
          <w:footerReference r:id="rId56" w:type="default"/>
          <w:pgSz w:w="11910" w:h="16840"/>
          <w:pgMar w:top="1431" w:right="1425" w:bottom="1255" w:left="1405" w:header="0" w:footer="1093" w:gutter="0"/>
          <w:cols w:space="720" w:num="1"/>
        </w:sectPr>
      </w:pPr>
    </w:p>
    <w:p w14:paraId="56554223">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8645"/>
      </w:tblGrid>
      <w:tr w14:paraId="3B3F5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9" w:hRule="atLeast"/>
        </w:trPr>
        <w:tc>
          <w:tcPr>
            <w:tcW w:w="424" w:type="dxa"/>
            <w:vAlign w:val="top"/>
          </w:tcPr>
          <w:p w14:paraId="727232E5">
            <w:pPr>
              <w:rPr>
                <w:rFonts w:ascii="Arial"/>
                <w:sz w:val="21"/>
              </w:rPr>
            </w:pPr>
          </w:p>
        </w:tc>
        <w:tc>
          <w:tcPr>
            <w:tcW w:w="8645" w:type="dxa"/>
            <w:vAlign w:val="top"/>
          </w:tcPr>
          <w:p w14:paraId="1E2166E2">
            <w:pPr>
              <w:pStyle w:val="6"/>
              <w:spacing w:before="12" w:line="217" w:lineRule="auto"/>
              <w:ind w:left="580"/>
            </w:pPr>
            <w:r>
              <w:rPr>
                <w:spacing w:val="-2"/>
              </w:rPr>
              <w:t>③电缆沟回填</w:t>
            </w:r>
          </w:p>
          <w:p w14:paraId="592614C8">
            <w:pPr>
              <w:pStyle w:val="6"/>
              <w:spacing w:before="190" w:line="352" w:lineRule="auto"/>
              <w:ind w:left="111" w:right="217" w:firstLine="489"/>
            </w:pPr>
            <w:r>
              <w:t>回填时，先将干砂填至电缆沟上部100mm处，用人工打夯、密实后方可开始</w:t>
            </w:r>
            <w:r>
              <w:rPr>
                <w:spacing w:val="15"/>
              </w:rPr>
              <w:t xml:space="preserve"> </w:t>
            </w:r>
            <w:r>
              <w:t>填土。填土应分层进行，每层松填厚度不超过300mm,电缆沟顶部400mm内采</w:t>
            </w:r>
          </w:p>
          <w:p w14:paraId="6E1CDC4F">
            <w:pPr>
              <w:pStyle w:val="6"/>
              <w:spacing w:before="12" w:line="358" w:lineRule="auto"/>
              <w:ind w:left="90" w:right="231" w:firstLine="20"/>
            </w:pPr>
            <w:r>
              <w:t>用人工拍打密实，密实度需达到85%以上，方可进行蛙式打夯机打夯密实，密实</w:t>
            </w:r>
            <w:r>
              <w:rPr>
                <w:spacing w:val="11"/>
              </w:rPr>
              <w:t xml:space="preserve"> </w:t>
            </w:r>
            <w:r>
              <w:rPr>
                <w:spacing w:val="-1"/>
              </w:rPr>
              <w:t>度需达到95%以上。</w:t>
            </w:r>
          </w:p>
          <w:p w14:paraId="5AB1F0B3">
            <w:pPr>
              <w:pStyle w:val="6"/>
              <w:spacing w:before="31" w:line="219" w:lineRule="auto"/>
              <w:ind w:left="580"/>
            </w:pPr>
            <w:r>
              <w:rPr>
                <w:spacing w:val="1"/>
              </w:rPr>
              <w:t>2)架空线路</w:t>
            </w:r>
          </w:p>
          <w:p w14:paraId="5E3C5F3F">
            <w:pPr>
              <w:pStyle w:val="6"/>
              <w:spacing w:before="164" w:line="357" w:lineRule="auto"/>
              <w:ind w:left="100" w:right="113" w:firstLine="489"/>
            </w:pPr>
            <w:r>
              <w:t>架空线路采用铁塔架设的方式，施工包括架空基坑开挖，混凝土浇筑，铁塔</w:t>
            </w:r>
            <w:r>
              <w:rPr>
                <w:spacing w:val="9"/>
              </w:rPr>
              <w:t xml:space="preserve"> </w:t>
            </w:r>
            <w:r>
              <w:rPr>
                <w:spacing w:val="-1"/>
              </w:rPr>
              <w:t>组装，架线。</w:t>
            </w:r>
          </w:p>
          <w:p w14:paraId="609FE88D">
            <w:pPr>
              <w:pStyle w:val="6"/>
              <w:spacing w:line="217" w:lineRule="auto"/>
              <w:ind w:left="580"/>
            </w:pPr>
            <w:r>
              <w:rPr>
                <w:spacing w:val="2"/>
              </w:rPr>
              <w:t>①基坑开挖</w:t>
            </w:r>
          </w:p>
          <w:p w14:paraId="20794C9A">
            <w:pPr>
              <w:pStyle w:val="6"/>
              <w:spacing w:before="189" w:line="357" w:lineRule="auto"/>
              <w:ind w:left="111" w:right="105" w:firstLine="479"/>
            </w:pPr>
            <w:r>
              <w:t>土质基坑基础采用明挖方式，在挖掘前首先清理基面及基面附近的浮石等杂</w:t>
            </w:r>
            <w:r>
              <w:rPr>
                <w:spacing w:val="17"/>
              </w:rPr>
              <w:t xml:space="preserve"> </w:t>
            </w:r>
            <w:r>
              <w:t>物，开挖自上而下进行，基坑四壁保持稳定放坡或用挡土板支护。</w:t>
            </w:r>
          </w:p>
          <w:p w14:paraId="379734C2">
            <w:pPr>
              <w:pStyle w:val="6"/>
              <w:spacing w:line="217" w:lineRule="auto"/>
              <w:ind w:left="580"/>
            </w:pPr>
            <w:r>
              <w:rPr>
                <w:spacing w:val="-2"/>
              </w:rPr>
              <w:t>②混凝土浇筑</w:t>
            </w:r>
          </w:p>
          <w:p w14:paraId="7836876A">
            <w:pPr>
              <w:pStyle w:val="6"/>
              <w:spacing w:before="190" w:line="360" w:lineRule="auto"/>
              <w:ind w:left="111" w:right="132" w:firstLine="479"/>
            </w:pPr>
            <w:r>
              <w:t>采用现场拌和的混凝土，需及时进行浇筑，浇筑先从</w:t>
            </w:r>
            <w:r>
              <w:rPr>
                <w:spacing w:val="-1"/>
              </w:rPr>
              <w:t>一角或一处开始，延入</w:t>
            </w:r>
            <w:r>
              <w:t xml:space="preserve"> 四周。混凝土倾倒入模盒内，其自由倾落高度不超2m,超过2m时设置溜管、斜</w:t>
            </w:r>
          </w:p>
          <w:p w14:paraId="75B89B2E">
            <w:pPr>
              <w:pStyle w:val="6"/>
              <w:spacing w:before="11" w:line="358" w:lineRule="auto"/>
              <w:ind w:left="131" w:right="229" w:hanging="20"/>
            </w:pPr>
            <w:r>
              <w:t>槽或串筒倾倒，以防离析。混凝土分层浇筑和捣固，每层厚度为20cm,留有振捣</w:t>
            </w:r>
            <w:r>
              <w:rPr>
                <w:spacing w:val="13"/>
              </w:rPr>
              <w:t xml:space="preserve"> </w:t>
            </w:r>
            <w:r>
              <w:t>窗口的地方在振捣后及时封严。</w:t>
            </w:r>
          </w:p>
          <w:p w14:paraId="728CA062">
            <w:pPr>
              <w:pStyle w:val="6"/>
              <w:spacing w:line="217" w:lineRule="auto"/>
              <w:ind w:left="580"/>
            </w:pPr>
            <w:r>
              <w:rPr>
                <w:spacing w:val="-2"/>
              </w:rPr>
              <w:t>③铁塔组装</w:t>
            </w:r>
          </w:p>
          <w:p w14:paraId="5059E048">
            <w:pPr>
              <w:pStyle w:val="6"/>
              <w:spacing w:before="182" w:line="357" w:lineRule="auto"/>
              <w:ind w:left="111" w:firstLine="473"/>
            </w:pPr>
            <w:r>
              <w:rPr>
                <w:spacing w:val="-3"/>
              </w:rPr>
              <w:t>工程铁塔安装施工采用分解组塔的施工方法。在实际施工过程中，根据铁塔</w:t>
            </w:r>
            <w:r>
              <w:t xml:space="preserve">   </w:t>
            </w:r>
            <w:r>
              <w:rPr>
                <w:spacing w:val="-3"/>
              </w:rPr>
              <w:t>的形式、高度、重量以及施工场地、施工设备等施工现场情况，确定正装分解组</w:t>
            </w:r>
            <w:r>
              <w:t xml:space="preserve">   </w:t>
            </w:r>
            <w:r>
              <w:rPr>
                <w:spacing w:val="-3"/>
              </w:rPr>
              <w:t>塔或倒装分解组塔。利用支立抱杆，吊装铁塔构件，抱杆通过</w:t>
            </w:r>
            <w:r>
              <w:rPr>
                <w:spacing w:val="-4"/>
              </w:rPr>
              <w:t>牵引绳的连接拉动，</w:t>
            </w:r>
            <w:r>
              <w:t xml:space="preserve"> </w:t>
            </w:r>
            <w:r>
              <w:rPr>
                <w:spacing w:val="-3"/>
              </w:rPr>
              <w:t>随铁塔高度的增高而上升，各个构件顶端和底部支脚采用螺栓</w:t>
            </w:r>
            <w:r>
              <w:rPr>
                <w:spacing w:val="-4"/>
              </w:rPr>
              <w:t>连接。</w:t>
            </w:r>
          </w:p>
          <w:p w14:paraId="09B52C77">
            <w:pPr>
              <w:pStyle w:val="6"/>
              <w:spacing w:line="217" w:lineRule="auto"/>
              <w:ind w:left="580"/>
            </w:pPr>
            <w:r>
              <w:rPr>
                <w:spacing w:val="5"/>
              </w:rPr>
              <w:t>④架线</w:t>
            </w:r>
          </w:p>
          <w:p w14:paraId="649E33BC">
            <w:pPr>
              <w:pStyle w:val="6"/>
              <w:spacing w:before="201" w:line="361" w:lineRule="auto"/>
              <w:ind w:left="111" w:firstLine="482"/>
            </w:pPr>
            <w:r>
              <w:rPr>
                <w:spacing w:val="-4"/>
              </w:rPr>
              <w:t>架线包括导线、避雷线的放线、紧线及附件安装。放线前应先做好准备工作，</w:t>
            </w:r>
            <w:r>
              <w:rPr>
                <w:spacing w:val="16"/>
              </w:rPr>
              <w:t xml:space="preserve"> </w:t>
            </w:r>
            <w:r>
              <w:rPr>
                <w:spacing w:val="-13"/>
              </w:rPr>
              <w:t>如线盘设置、每基杆塔挂放线滑轮，调整耐张杆的拉线和加补强拉线，搭设交叉跨越</w:t>
            </w:r>
            <w:r>
              <w:rPr>
                <w:spacing w:val="2"/>
              </w:rPr>
              <w:t xml:space="preserve">  </w:t>
            </w:r>
            <w:r>
              <w:rPr>
                <w:spacing w:val="-2"/>
              </w:rPr>
              <w:t>架，备齐导线紧线工具等。</w:t>
            </w:r>
          </w:p>
          <w:p w14:paraId="60587346">
            <w:pPr>
              <w:pStyle w:val="6"/>
              <w:spacing w:before="1" w:line="220" w:lineRule="auto"/>
              <w:ind w:left="584"/>
            </w:pPr>
            <w:r>
              <w:rPr>
                <w:b/>
                <w:bCs/>
                <w:spacing w:val="-2"/>
              </w:rPr>
              <w:t>(6)升压站施工</w:t>
            </w:r>
          </w:p>
          <w:p w14:paraId="47200F0F">
            <w:pPr>
              <w:pStyle w:val="6"/>
              <w:spacing w:before="175" w:line="340" w:lineRule="auto"/>
              <w:ind w:left="131" w:right="108" w:firstLine="459"/>
            </w:pPr>
            <w:r>
              <w:t>升压站施工主要包括场地清理准备、建构筑物基础开挖、建筑物施工、电气</w:t>
            </w:r>
            <w:r>
              <w:rPr>
                <w:spacing w:val="14"/>
              </w:rPr>
              <w:t xml:space="preserve"> </w:t>
            </w:r>
            <w:r>
              <w:rPr>
                <w:spacing w:val="1"/>
              </w:rPr>
              <w:t>设备安装调试等。项目升压站施工工艺流程及</w:t>
            </w:r>
            <w:r>
              <w:t>产污节点见图2-6。</w:t>
            </w:r>
          </w:p>
        </w:tc>
      </w:tr>
    </w:tbl>
    <w:p w14:paraId="3476E932">
      <w:pPr>
        <w:pStyle w:val="2"/>
      </w:pPr>
    </w:p>
    <w:p w14:paraId="41A06C72">
      <w:pPr>
        <w:sectPr>
          <w:footerReference r:id="rId57" w:type="default"/>
          <w:pgSz w:w="11910" w:h="16840"/>
          <w:pgMar w:top="1431" w:right="1425" w:bottom="1269" w:left="1405" w:header="0" w:footer="1089" w:gutter="0"/>
          <w:cols w:space="720" w:num="1"/>
        </w:sectPr>
      </w:pPr>
    </w:p>
    <w:p w14:paraId="1F7660BF">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655"/>
      </w:tblGrid>
      <w:tr w14:paraId="4C56C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4" w:hRule="atLeast"/>
        </w:trPr>
        <w:tc>
          <w:tcPr>
            <w:tcW w:w="414" w:type="dxa"/>
            <w:vMerge w:val="restart"/>
            <w:tcBorders>
              <w:bottom w:val="nil"/>
            </w:tcBorders>
            <w:vAlign w:val="top"/>
          </w:tcPr>
          <w:p w14:paraId="61F8552B">
            <w:pPr>
              <w:rPr>
                <w:rFonts w:ascii="Arial"/>
                <w:sz w:val="21"/>
              </w:rPr>
            </w:pPr>
          </w:p>
        </w:tc>
        <w:tc>
          <w:tcPr>
            <w:tcW w:w="8655" w:type="dxa"/>
            <w:tcBorders>
              <w:bottom w:val="nil"/>
            </w:tcBorders>
            <w:vAlign w:val="top"/>
          </w:tcPr>
          <w:p w14:paraId="1B4BB291">
            <w:pPr>
              <w:pStyle w:val="6"/>
              <w:spacing w:before="73" w:line="4071" w:lineRule="exact"/>
              <w:ind w:firstLine="3280"/>
            </w:pPr>
            <w:r>
              <w:rPr>
                <w:position w:val="-81"/>
              </w:rPr>
              <w:pict>
                <v:group id="_x0000_s1053" o:spid="_x0000_s1053" o:spt="203" style="height:203.6pt;width:132.95pt;" coordsize="2658,4072">
                  <o:lock v:ext="edit"/>
                  <v:shape id="_x0000_s1054" o:spid="_x0000_s1054" o:spt="75" type="#_x0000_t75" style="position:absolute;left:60;top:41;height:4030;width:2380;" filled="f" stroked="f" coordsize="21600,21600">
                    <v:path/>
                    <v:fill on="f" focussize="0,0"/>
                    <v:stroke on="f"/>
                    <v:imagedata r:id="rId184" o:title=""/>
                    <o:lock v:ext="edit" aspectratio="t"/>
                  </v:shape>
                  <v:shape id="_x0000_s1055" o:spid="_x0000_s1055" o:spt="75" type="#_x0000_t75" style="position:absolute;left:110;top:2113;height:12;width:1490;" filled="f" stroked="f" coordsize="21600,21600">
                    <v:path/>
                    <v:fill on="f" focussize="0,0"/>
                    <v:stroke on="f"/>
                    <v:imagedata r:id="rId185" o:title=""/>
                    <o:lock v:ext="edit" aspectratio="t"/>
                  </v:shape>
                  <v:shape id="_x0000_s1056" o:spid="_x0000_s1056" o:spt="202" type="#_x0000_t202" style="position:absolute;left:-20;top:-20;height:3897;width:2698;" filled="f" stroked="f" coordsize="21600,21600">
                    <v:path/>
                    <v:fill on="f" focussize="0,0"/>
                    <v:stroke on="f"/>
                    <v:imagedata o:title=""/>
                    <o:lock v:ext="edit" aspectratio="f"/>
                    <v:textbox inset="0mm,0mm,0mm,0mm">
                      <w:txbxContent>
                        <w:p w14:paraId="0ABC86BA">
                          <w:pPr>
                            <w:spacing w:before="19" w:line="186" w:lineRule="auto"/>
                            <w:ind w:left="1389" w:right="140" w:hanging="30"/>
                            <w:rPr>
                              <w:rFonts w:ascii="宋体" w:hAnsi="宋体" w:eastAsia="宋体" w:cs="宋体"/>
                              <w:sz w:val="15"/>
                              <w:szCs w:val="15"/>
                            </w:rPr>
                          </w:pPr>
                          <w:r>
                            <w:rPr>
                              <w:rFonts w:ascii="宋体" w:hAnsi="宋体" w:eastAsia="宋体" w:cs="宋体"/>
                              <w:spacing w:val="-1"/>
                              <w:sz w:val="24"/>
                              <w:szCs w:val="24"/>
                            </w:rPr>
                            <w:t>W、G、N、S</w:t>
                          </w:r>
                          <w:r>
                            <w:rPr>
                              <w:rFonts w:ascii="宋体" w:hAnsi="宋体" w:eastAsia="宋体" w:cs="宋体"/>
                              <w:spacing w:val="4"/>
                              <w:sz w:val="24"/>
                              <w:szCs w:val="24"/>
                            </w:rPr>
                            <w:t xml:space="preserve"> </w:t>
                          </w:r>
                          <w:r>
                            <w:rPr>
                              <w:rFonts w:ascii="宋体" w:hAnsi="宋体" w:eastAsia="宋体" w:cs="宋体"/>
                              <w:sz w:val="15"/>
                              <w:szCs w:val="15"/>
                            </w:rPr>
                            <w:t>A</w:t>
                          </w:r>
                        </w:p>
                        <w:p w14:paraId="2739266A">
                          <w:pPr>
                            <w:spacing w:before="105" w:line="220" w:lineRule="auto"/>
                            <w:ind w:left="489"/>
                            <w:rPr>
                              <w:rFonts w:ascii="宋体" w:hAnsi="宋体" w:eastAsia="宋体" w:cs="宋体"/>
                              <w:sz w:val="15"/>
                              <w:szCs w:val="15"/>
                            </w:rPr>
                          </w:pPr>
                          <w:r>
                            <w:rPr>
                              <w:rFonts w:ascii="宋体" w:hAnsi="宋体" w:eastAsia="宋体" w:cs="宋体"/>
                              <w:color w:val="405060"/>
                              <w:spacing w:val="-2"/>
                              <w:sz w:val="15"/>
                              <w:szCs w:val="15"/>
                            </w:rPr>
                            <w:t>场</w:t>
                          </w:r>
                          <w:r>
                            <w:rPr>
                              <w:rFonts w:ascii="宋体" w:hAnsi="宋体" w:eastAsia="宋体" w:cs="宋体"/>
                              <w:spacing w:val="-2"/>
                              <w:sz w:val="15"/>
                              <w:szCs w:val="15"/>
                            </w:rPr>
                            <w:t>地平整</w:t>
                          </w:r>
                        </w:p>
                        <w:p w14:paraId="270E406F">
                          <w:pPr>
                            <w:spacing w:before="137" w:line="183" w:lineRule="auto"/>
                            <w:ind w:left="1460"/>
                            <w:rPr>
                              <w:rFonts w:ascii="宋体" w:hAnsi="宋体" w:eastAsia="宋体" w:cs="宋体"/>
                              <w:sz w:val="15"/>
                              <w:szCs w:val="15"/>
                            </w:rPr>
                          </w:pPr>
                          <w:r>
                            <w:rPr>
                              <w:rFonts w:ascii="宋体" w:hAnsi="宋体" w:eastAsia="宋体" w:cs="宋体"/>
                              <w:spacing w:val="-1"/>
                              <w:sz w:val="15"/>
                              <w:szCs w:val="15"/>
                            </w:rPr>
                            <w:t>W、G、N、S</w:t>
                          </w:r>
                        </w:p>
                        <w:p w14:paraId="2374E994">
                          <w:pPr>
                            <w:spacing w:line="276" w:lineRule="auto"/>
                            <w:rPr>
                              <w:rFonts w:ascii="Arial"/>
                              <w:sz w:val="21"/>
                            </w:rPr>
                          </w:pPr>
                        </w:p>
                        <w:p w14:paraId="481AF51A">
                          <w:pPr>
                            <w:spacing w:before="49" w:line="222" w:lineRule="auto"/>
                            <w:ind w:left="479"/>
                            <w:rPr>
                              <w:rFonts w:ascii="宋体" w:hAnsi="宋体" w:eastAsia="宋体" w:cs="宋体"/>
                              <w:sz w:val="15"/>
                              <w:szCs w:val="15"/>
                            </w:rPr>
                          </w:pPr>
                          <w:r>
                            <w:rPr>
                              <w:rFonts w:ascii="宋体" w:hAnsi="宋体" w:eastAsia="宋体" w:cs="宋体"/>
                              <w:spacing w:val="-2"/>
                              <w:sz w:val="15"/>
                              <w:szCs w:val="15"/>
                            </w:rPr>
                            <w:t>基础施工</w:t>
                          </w:r>
                        </w:p>
                        <w:p w14:paraId="78E97F69">
                          <w:pPr>
                            <w:spacing w:before="170" w:line="180" w:lineRule="auto"/>
                            <w:ind w:left="799" w:right="20" w:firstLine="680"/>
                            <w:rPr>
                              <w:rFonts w:ascii="宋体" w:hAnsi="宋体" w:eastAsia="宋体" w:cs="宋体"/>
                              <w:sz w:val="24"/>
                              <w:szCs w:val="24"/>
                            </w:rPr>
                          </w:pPr>
                          <w:r>
                            <w:rPr>
                              <w:rFonts w:ascii="宋体" w:hAnsi="宋体" w:eastAsia="宋体" w:cs="宋体"/>
                              <w:spacing w:val="-1"/>
                              <w:sz w:val="24"/>
                              <w:szCs w:val="24"/>
                            </w:rPr>
                            <w:t>W、G、N、S</w:t>
                          </w:r>
                          <w:r>
                            <w:rPr>
                              <w:rFonts w:ascii="宋体" w:hAnsi="宋体" w:eastAsia="宋体" w:cs="宋体"/>
                              <w:spacing w:val="4"/>
                              <w:sz w:val="24"/>
                              <w:szCs w:val="24"/>
                            </w:rPr>
                            <w:t xml:space="preserve"> </w:t>
                          </w:r>
                          <w:r>
                            <w:rPr>
                              <w:rFonts w:ascii="宋体" w:hAnsi="宋体" w:eastAsia="宋体" w:cs="宋体"/>
                              <w:sz w:val="24"/>
                              <w:szCs w:val="24"/>
                            </w:rPr>
                            <w:t>V</w:t>
                          </w:r>
                        </w:p>
                        <w:p w14:paraId="082D936D">
                          <w:pPr>
                            <w:spacing w:line="220" w:lineRule="auto"/>
                            <w:ind w:left="390"/>
                            <w:rPr>
                              <w:rFonts w:ascii="宋体" w:hAnsi="宋体" w:eastAsia="宋体" w:cs="宋体"/>
                              <w:sz w:val="15"/>
                              <w:szCs w:val="15"/>
                            </w:rPr>
                          </w:pPr>
                          <w:r>
                            <w:rPr>
                              <w:rFonts w:ascii="宋体" w:hAnsi="宋体" w:eastAsia="宋体" w:cs="宋体"/>
                              <w:spacing w:val="-6"/>
                              <w:sz w:val="15"/>
                              <w:szCs w:val="15"/>
                            </w:rPr>
                            <w:t>构 筑</w:t>
                          </w:r>
                          <w:r>
                            <w:rPr>
                              <w:rFonts w:ascii="宋体" w:hAnsi="宋体" w:eastAsia="宋体" w:cs="宋体"/>
                              <w:spacing w:val="-8"/>
                              <w:sz w:val="15"/>
                              <w:szCs w:val="15"/>
                            </w:rPr>
                            <w:t xml:space="preserve"> </w:t>
                          </w:r>
                          <w:r>
                            <w:rPr>
                              <w:rFonts w:ascii="宋体" w:hAnsi="宋体" w:eastAsia="宋体" w:cs="宋体"/>
                              <w:spacing w:val="-6"/>
                              <w:sz w:val="15"/>
                              <w:szCs w:val="15"/>
                            </w:rPr>
                            <w:t>物</w:t>
                          </w:r>
                          <w:r>
                            <w:rPr>
                              <w:rFonts w:ascii="宋体" w:hAnsi="宋体" w:eastAsia="宋体" w:cs="宋体"/>
                              <w:spacing w:val="-7"/>
                              <w:sz w:val="15"/>
                              <w:szCs w:val="15"/>
                            </w:rPr>
                            <w:t xml:space="preserve"> </w:t>
                          </w:r>
                          <w:r>
                            <w:rPr>
                              <w:rFonts w:ascii="宋体" w:hAnsi="宋体" w:eastAsia="宋体" w:cs="宋体"/>
                              <w:spacing w:val="-6"/>
                              <w:sz w:val="15"/>
                              <w:szCs w:val="15"/>
                            </w:rPr>
                            <w:t>建</w:t>
                          </w:r>
                          <w:r>
                            <w:rPr>
                              <w:rFonts w:ascii="宋体" w:hAnsi="宋体" w:eastAsia="宋体" w:cs="宋体"/>
                              <w:spacing w:val="-5"/>
                              <w:sz w:val="15"/>
                              <w:szCs w:val="15"/>
                            </w:rPr>
                            <w:t xml:space="preserve"> </w:t>
                          </w:r>
                          <w:r>
                            <w:rPr>
                              <w:rFonts w:ascii="宋体" w:hAnsi="宋体" w:eastAsia="宋体" w:cs="宋体"/>
                              <w:spacing w:val="-6"/>
                              <w:sz w:val="15"/>
                              <w:szCs w:val="15"/>
                            </w:rPr>
                            <w:t>设</w:t>
                          </w:r>
                        </w:p>
                        <w:p w14:paraId="653EE5C8">
                          <w:pPr>
                            <w:spacing w:before="139" w:line="183" w:lineRule="auto"/>
                            <w:ind w:left="1730"/>
                            <w:rPr>
                              <w:rFonts w:ascii="宋体" w:hAnsi="宋体" w:eastAsia="宋体" w:cs="宋体"/>
                              <w:sz w:val="15"/>
                              <w:szCs w:val="15"/>
                            </w:rPr>
                          </w:pPr>
                          <w:r>
                            <w:rPr>
                              <w:rFonts w:ascii="宋体" w:hAnsi="宋体" w:eastAsia="宋体" w:cs="宋体"/>
                              <w:sz w:val="15"/>
                              <w:szCs w:val="15"/>
                            </w:rPr>
                            <w:t>S</w:t>
                          </w:r>
                        </w:p>
                        <w:p w14:paraId="0EFA271F">
                          <w:pPr>
                            <w:spacing w:before="132" w:line="182" w:lineRule="auto"/>
                            <w:ind w:left="809"/>
                            <w:rPr>
                              <w:rFonts w:ascii="宋体" w:hAnsi="宋体" w:eastAsia="宋体" w:cs="宋体"/>
                              <w:sz w:val="15"/>
                              <w:szCs w:val="15"/>
                            </w:rPr>
                          </w:pPr>
                          <w:r>
                            <w:rPr>
                              <w:rFonts w:ascii="宋体" w:hAnsi="宋体" w:eastAsia="宋体" w:cs="宋体"/>
                              <w:sz w:val="15"/>
                              <w:szCs w:val="15"/>
                            </w:rPr>
                            <w:t>V</w:t>
                          </w:r>
                        </w:p>
                        <w:p w14:paraId="269F65C9">
                          <w:pPr>
                            <w:spacing w:before="53" w:line="220" w:lineRule="auto"/>
                            <w:ind w:left="300"/>
                            <w:rPr>
                              <w:rFonts w:ascii="宋体" w:hAnsi="宋体" w:eastAsia="宋体" w:cs="宋体"/>
                              <w:sz w:val="15"/>
                              <w:szCs w:val="15"/>
                            </w:rPr>
                          </w:pPr>
                          <w:r>
                            <w:rPr>
                              <w:rFonts w:ascii="宋体" w:hAnsi="宋体" w:eastAsia="宋体" w:cs="宋体"/>
                              <w:spacing w:val="-9"/>
                              <w:sz w:val="15"/>
                              <w:szCs w:val="15"/>
                              <w:u w:val="single" w:color="auto"/>
                            </w:rPr>
                            <w:t>电</w:t>
                          </w:r>
                          <w:r>
                            <w:rPr>
                              <w:rFonts w:ascii="宋体" w:hAnsi="宋体" w:eastAsia="宋体" w:cs="宋体"/>
                              <w:spacing w:val="-10"/>
                              <w:sz w:val="15"/>
                              <w:szCs w:val="15"/>
                              <w:u w:val="single" w:color="auto"/>
                            </w:rPr>
                            <w:t xml:space="preserve"> </w:t>
                          </w:r>
                          <w:r>
                            <w:rPr>
                              <w:rFonts w:ascii="宋体" w:hAnsi="宋体" w:eastAsia="宋体" w:cs="宋体"/>
                              <w:spacing w:val="-9"/>
                              <w:sz w:val="15"/>
                              <w:szCs w:val="15"/>
                              <w:u w:val="single" w:color="auto"/>
                            </w:rPr>
                            <w:t>气</w:t>
                          </w:r>
                          <w:r>
                            <w:rPr>
                              <w:rFonts w:ascii="宋体" w:hAnsi="宋体" w:eastAsia="宋体" w:cs="宋体"/>
                              <w:spacing w:val="-11"/>
                              <w:sz w:val="15"/>
                              <w:szCs w:val="15"/>
                              <w:u w:val="single" w:color="auto"/>
                            </w:rPr>
                            <w:t xml:space="preserve"> </w:t>
                          </w:r>
                          <w:r>
                            <w:rPr>
                              <w:rFonts w:ascii="宋体" w:hAnsi="宋体" w:eastAsia="宋体" w:cs="宋体"/>
                              <w:spacing w:val="-9"/>
                              <w:sz w:val="15"/>
                              <w:szCs w:val="15"/>
                              <w:u w:val="single" w:color="auto"/>
                            </w:rPr>
                            <w:t>装 备 安</w:t>
                          </w:r>
                          <w:r>
                            <w:rPr>
                              <w:rFonts w:ascii="宋体" w:hAnsi="宋体" w:eastAsia="宋体" w:cs="宋体"/>
                              <w:spacing w:val="-11"/>
                              <w:sz w:val="15"/>
                              <w:szCs w:val="15"/>
                              <w:u w:val="single" w:color="auto"/>
                            </w:rPr>
                            <w:t xml:space="preserve"> </w:t>
                          </w:r>
                          <w:r>
                            <w:rPr>
                              <w:rFonts w:ascii="宋体" w:hAnsi="宋体" w:eastAsia="宋体" w:cs="宋体"/>
                              <w:spacing w:val="-9"/>
                              <w:sz w:val="15"/>
                              <w:szCs w:val="15"/>
                              <w:u w:val="single" w:color="auto"/>
                            </w:rPr>
                            <w:t>装</w:t>
                          </w:r>
                        </w:p>
                        <w:p w14:paraId="4BD91A53">
                          <w:pPr>
                            <w:spacing w:line="360" w:lineRule="auto"/>
                            <w:rPr>
                              <w:rFonts w:ascii="Arial"/>
                              <w:sz w:val="21"/>
                            </w:rPr>
                          </w:pPr>
                        </w:p>
                        <w:p w14:paraId="282F2902">
                          <w:pPr>
                            <w:tabs>
                              <w:tab w:val="left" w:pos="819"/>
                            </w:tabs>
                            <w:spacing w:before="49" w:line="251" w:lineRule="auto"/>
                            <w:ind w:left="390" w:right="938" w:hanging="370"/>
                            <w:rPr>
                              <w:rFonts w:ascii="宋体" w:hAnsi="宋体" w:eastAsia="宋体" w:cs="宋体"/>
                              <w:sz w:val="15"/>
                              <w:szCs w:val="15"/>
                            </w:rPr>
                          </w:pPr>
                          <w:r>
                            <w:rPr>
                              <w:rFonts w:ascii="宋体" w:hAnsi="宋体" w:eastAsia="宋体" w:cs="宋体"/>
                              <w:sz w:val="15"/>
                              <w:szCs w:val="15"/>
                              <w:u w:val="single" w:color="auto"/>
                            </w:rPr>
                            <w:tab/>
                          </w:r>
                          <w:r>
                            <w:rPr>
                              <w:rFonts w:ascii="宋体" w:hAnsi="宋体" w:eastAsia="宋体" w:cs="宋体"/>
                              <w:sz w:val="15"/>
                              <w:szCs w:val="15"/>
                              <w:u w:val="single" w:color="auto"/>
                            </w:rPr>
                            <w:tab/>
                          </w:r>
                          <w:r>
                            <w:rPr>
                              <w:rFonts w:ascii="宋体" w:hAnsi="宋体" w:eastAsia="宋体" w:cs="宋体"/>
                              <w:spacing w:val="-5"/>
                              <w:sz w:val="15"/>
                              <w:szCs w:val="15"/>
                              <w:u w:val="single" w:color="auto"/>
                            </w:rPr>
                            <w:t>业</w:t>
                          </w:r>
                          <w:r>
                            <w:rPr>
                              <w:rFonts w:ascii="宋体" w:hAnsi="宋体" w:eastAsia="宋体" w:cs="宋体"/>
                              <w:spacing w:val="4"/>
                              <w:sz w:val="15"/>
                              <w:szCs w:val="15"/>
                              <w:u w:val="single" w:color="auto"/>
                            </w:rPr>
                            <w:t xml:space="preserve">          </w:t>
                          </w:r>
                          <w:r>
                            <w:rPr>
                              <w:rFonts w:ascii="宋体" w:hAnsi="宋体" w:eastAsia="宋体" w:cs="宋体"/>
                              <w:spacing w:val="5"/>
                              <w:sz w:val="15"/>
                              <w:szCs w:val="15"/>
                            </w:rPr>
                            <w:t xml:space="preserve"> </w:t>
                          </w:r>
                          <w:r>
                            <w:rPr>
                              <w:rFonts w:ascii="宋体" w:hAnsi="宋体" w:eastAsia="宋体" w:cs="宋体"/>
                              <w:spacing w:val="-6"/>
                              <w:sz w:val="15"/>
                              <w:szCs w:val="15"/>
                            </w:rPr>
                            <w:t>调 试 、 并</w:t>
                          </w:r>
                          <w:r>
                            <w:rPr>
                              <w:rFonts w:ascii="宋体" w:hAnsi="宋体" w:eastAsia="宋体" w:cs="宋体"/>
                              <w:spacing w:val="9"/>
                              <w:sz w:val="15"/>
                              <w:szCs w:val="15"/>
                            </w:rPr>
                            <w:t xml:space="preserve"> </w:t>
                          </w:r>
                          <w:r>
                            <w:rPr>
                              <w:rFonts w:ascii="宋体" w:hAnsi="宋体" w:eastAsia="宋体" w:cs="宋体"/>
                              <w:spacing w:val="-6"/>
                              <w:sz w:val="15"/>
                              <w:szCs w:val="15"/>
                            </w:rPr>
                            <w:t>网</w:t>
                          </w:r>
                        </w:p>
                      </w:txbxContent>
                    </v:textbox>
                  </v:shape>
                  <v:shape id="_x0000_s1057" o:spid="_x0000_s1057" o:spt="75" type="#_x0000_t75" style="position:absolute;left:100;top:3850;height:22;width:1530;" filled="f" stroked="f" coordsize="21600,21600">
                    <v:path/>
                    <v:fill on="f" focussize="0,0"/>
                    <v:stroke on="f"/>
                    <v:imagedata r:id="rId186" o:title=""/>
                    <o:lock v:ext="edit" aspectratio="t"/>
                  </v:shape>
                  <v:shape id="_x0000_s1058" o:spid="_x0000_s1058" o:spt="75" type="#_x0000_t75" style="position:absolute;left:110;top:2250;height:22;width:1500;" filled="f" stroked="f" coordsize="21600,21600">
                    <v:path/>
                    <v:fill on="f" focussize="0,0"/>
                    <v:stroke on="f"/>
                    <v:imagedata r:id="rId187" o:title=""/>
                    <o:lock v:ext="edit" aspectratio="t"/>
                  </v:shape>
                  <v:shape id="_x0000_s1059" o:spid="_x0000_s1059" o:spt="75" type="#_x0000_t75" style="position:absolute;left:209;top:640;height:22;width:1120;" filled="f" stroked="f" coordsize="21600,21600">
                    <v:path/>
                    <v:fill on="f" focussize="0,0"/>
                    <v:stroke on="f"/>
                    <v:imagedata r:id="rId188" o:title=""/>
                    <o:lock v:ext="edit" aspectratio="t"/>
                  </v:shape>
                  <v:shape id="_x0000_s1060" o:spid="_x0000_s1060" o:spt="75" type="#_x0000_t75" style="position:absolute;left:199;top:1432;height:20;width:1130;" filled="f" stroked="f" coordsize="21600,21600">
                    <v:path/>
                    <v:fill on="f" focussize="0,0"/>
                    <v:stroke on="f"/>
                    <v:imagedata r:id="rId189" o:title=""/>
                    <o:lock v:ext="edit" aspectratio="t"/>
                  </v:shape>
                  <v:shape id="_x0000_s1061" o:spid="_x0000_s1061" o:spt="75" type="#_x0000_t75" style="position:absolute;left:259;top:2824;height:10;width:1170;" filled="f" stroked="f" coordsize="21600,21600">
                    <v:path/>
                    <v:fill on="f" focussize="0,0"/>
                    <v:stroke on="f"/>
                    <v:imagedata r:id="rId190" o:title=""/>
                    <o:lock v:ext="edit" aspectratio="t"/>
                  </v:shape>
                  <w10:wrap type="none"/>
                  <w10:anchorlock/>
                </v:group>
              </w:pict>
            </w:r>
          </w:p>
        </w:tc>
      </w:tr>
      <w:tr w14:paraId="1CDD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25" w:hRule="atLeast"/>
        </w:trPr>
        <w:tc>
          <w:tcPr>
            <w:tcW w:w="414" w:type="dxa"/>
            <w:vMerge w:val="continue"/>
            <w:tcBorders>
              <w:top w:val="nil"/>
            </w:tcBorders>
            <w:vAlign w:val="top"/>
          </w:tcPr>
          <w:p w14:paraId="2FBFE5FA">
            <w:pPr>
              <w:rPr>
                <w:rFonts w:ascii="Arial"/>
                <w:sz w:val="21"/>
              </w:rPr>
            </w:pPr>
          </w:p>
        </w:tc>
        <w:tc>
          <w:tcPr>
            <w:tcW w:w="8655" w:type="dxa"/>
            <w:tcBorders>
              <w:top w:val="nil"/>
            </w:tcBorders>
            <w:vAlign w:val="top"/>
          </w:tcPr>
          <w:p w14:paraId="2FEB39E8">
            <w:pPr>
              <w:pStyle w:val="6"/>
              <w:spacing w:before="77" w:line="219" w:lineRule="auto"/>
              <w:ind w:left="2404"/>
            </w:pPr>
            <w:r>
              <w:rPr>
                <w:b/>
                <w:bCs/>
                <w:spacing w:val="-3"/>
              </w:rPr>
              <w:t>注：W-废水G-废气N-噪声S-固体废物</w:t>
            </w:r>
          </w:p>
          <w:p w14:paraId="23F80938">
            <w:pPr>
              <w:pStyle w:val="6"/>
              <w:spacing w:before="125" w:line="219" w:lineRule="auto"/>
              <w:ind w:left="1984"/>
            </w:pPr>
            <w:r>
              <w:rPr>
                <w:b/>
                <w:bCs/>
                <w:spacing w:val="-2"/>
              </w:rPr>
              <w:t>图2-5升压站施工工艺流程及产污节点示意图</w:t>
            </w:r>
          </w:p>
          <w:p w14:paraId="35E8949D">
            <w:pPr>
              <w:pStyle w:val="6"/>
              <w:spacing w:before="198" w:line="356" w:lineRule="auto"/>
              <w:ind w:left="121" w:right="120" w:firstLine="469"/>
            </w:pPr>
            <w:r>
              <w:t>场地清理准备：采用推土机配合人工，清理去除表面植物残根及杂物，剥离</w:t>
            </w:r>
            <w:r>
              <w:rPr>
                <w:spacing w:val="12"/>
              </w:rPr>
              <w:t xml:space="preserve"> </w:t>
            </w:r>
            <w:r>
              <w:rPr>
                <w:spacing w:val="-1"/>
              </w:rPr>
              <w:t>表土。然后将场地碾平，达到设计要求。</w:t>
            </w:r>
          </w:p>
          <w:p w14:paraId="709B82AE">
            <w:pPr>
              <w:pStyle w:val="6"/>
              <w:spacing w:before="12" w:line="354" w:lineRule="auto"/>
              <w:ind w:left="121" w:right="105" w:firstLine="479"/>
              <w:jc w:val="both"/>
            </w:pPr>
            <w:r>
              <w:t>基础开挖、浇筑：采用小型挖掘机配人工，进行建构筑物桩基、地下电缆沟</w:t>
            </w:r>
            <w:r>
              <w:rPr>
                <w:spacing w:val="17"/>
              </w:rPr>
              <w:t xml:space="preserve"> </w:t>
            </w:r>
            <w:r>
              <w:t>等的开挖。人工清槽后、经验槽合格，进行基础混凝土浇筑和地下电缆沟墙的砌</w:t>
            </w:r>
            <w:r>
              <w:rPr>
                <w:spacing w:val="10"/>
              </w:rPr>
              <w:t xml:space="preserve"> </w:t>
            </w:r>
            <w:r>
              <w:rPr>
                <w:spacing w:val="-1"/>
              </w:rPr>
              <w:t>筑、封盖及土方回填。</w:t>
            </w:r>
          </w:p>
          <w:p w14:paraId="6A9FC7FF">
            <w:pPr>
              <w:pStyle w:val="6"/>
              <w:spacing w:line="364" w:lineRule="auto"/>
              <w:ind w:left="121" w:right="100" w:firstLine="489"/>
            </w:pPr>
            <w:r>
              <w:rPr>
                <w:spacing w:val="-1"/>
              </w:rPr>
              <w:t>建筑物建设：施工流程主要为结构柱、梁、板施工→填充砌体施工→</w:t>
            </w:r>
            <w:r>
              <w:rPr>
                <w:spacing w:val="-75"/>
              </w:rPr>
              <w:t xml:space="preserve"> </w:t>
            </w:r>
            <w:r>
              <w:rPr>
                <w:spacing w:val="-1"/>
              </w:rPr>
              <w:t>电气管</w:t>
            </w:r>
            <w:r>
              <w:t xml:space="preserve"> 线敷设及电气设备入室安装→给排水系统→室内外装修。</w:t>
            </w:r>
          </w:p>
          <w:p w14:paraId="03A1750E">
            <w:pPr>
              <w:pStyle w:val="6"/>
              <w:spacing w:before="5" w:line="360" w:lineRule="auto"/>
              <w:ind w:left="121" w:right="85" w:firstLine="499"/>
            </w:pPr>
            <w:r>
              <w:t>电气设备安装：变压器安装工程、电缆敷设、电气设备的安装调试、系统的</w:t>
            </w:r>
            <w:r>
              <w:rPr>
                <w:spacing w:val="17"/>
              </w:rPr>
              <w:t xml:space="preserve"> </w:t>
            </w:r>
            <w:r>
              <w:rPr>
                <w:spacing w:val="-1"/>
              </w:rPr>
              <w:t>并网运行调试等。</w:t>
            </w:r>
          </w:p>
          <w:p w14:paraId="03CCDB53">
            <w:pPr>
              <w:pStyle w:val="6"/>
              <w:spacing w:line="219" w:lineRule="auto"/>
              <w:ind w:left="724"/>
            </w:pPr>
            <w:r>
              <w:rPr>
                <w:b/>
                <w:bCs/>
                <w:spacing w:val="-2"/>
              </w:rPr>
              <w:t>(6)改扩建道路施工</w:t>
            </w:r>
          </w:p>
          <w:p w14:paraId="225996D7">
            <w:pPr>
              <w:pStyle w:val="6"/>
              <w:spacing w:before="187" w:line="356" w:lineRule="auto"/>
              <w:ind w:left="110" w:right="101" w:firstLine="499"/>
              <w:jc w:val="both"/>
            </w:pPr>
            <w:r>
              <w:t>改扩建道路对部分路面进行改造填平和弯道进行加宽，部分改造后的路面为</w:t>
            </w:r>
            <w:r>
              <w:rPr>
                <w:spacing w:val="11"/>
              </w:rPr>
              <w:t xml:space="preserve"> </w:t>
            </w:r>
            <w:r>
              <w:rPr>
                <w:spacing w:val="1"/>
              </w:rPr>
              <w:t>20</w:t>
            </w:r>
            <w:r>
              <w:t>cm</w:t>
            </w:r>
            <w:r>
              <w:rPr>
                <w:spacing w:val="1"/>
              </w:rPr>
              <w:t>石渣路面。施工过程中采用分段施工，基础</w:t>
            </w:r>
            <w:r>
              <w:t>开挖采用机械化施工为主、人工 为辅。</w:t>
            </w:r>
          </w:p>
          <w:p w14:paraId="510BADFF">
            <w:pPr>
              <w:pStyle w:val="6"/>
              <w:spacing w:line="219" w:lineRule="auto"/>
              <w:ind w:left="114"/>
            </w:pPr>
            <w:r>
              <w:rPr>
                <w:b/>
                <w:bCs/>
                <w:spacing w:val="-4"/>
              </w:rPr>
              <w:t>3、施工周期及施工人数</w:t>
            </w:r>
          </w:p>
          <w:p w14:paraId="5728AE4F">
            <w:pPr>
              <w:pStyle w:val="6"/>
              <w:spacing w:before="209" w:line="220" w:lineRule="auto"/>
              <w:ind w:left="721"/>
            </w:pPr>
            <w:r>
              <w:rPr>
                <w:spacing w:val="2"/>
              </w:rPr>
              <w:t>(1)施工周期</w:t>
            </w:r>
          </w:p>
          <w:p w14:paraId="01FF3EDC">
            <w:pPr>
              <w:pStyle w:val="6"/>
              <w:spacing w:before="162" w:line="219" w:lineRule="auto"/>
              <w:ind w:left="600"/>
            </w:pPr>
            <w:r>
              <w:t>本项目总工期为9个月。计划2024年12月初开工，2025年8月底完</w:t>
            </w:r>
            <w:r>
              <w:rPr>
                <w:spacing w:val="-1"/>
              </w:rPr>
              <w:t>工。</w:t>
            </w:r>
          </w:p>
          <w:p w14:paraId="1FACD0FF">
            <w:pPr>
              <w:pStyle w:val="6"/>
              <w:spacing w:before="207" w:line="219" w:lineRule="auto"/>
              <w:ind w:left="721"/>
            </w:pPr>
            <w:r>
              <w:rPr>
                <w:spacing w:val="1"/>
              </w:rPr>
              <w:t>(2)施工人数</w:t>
            </w:r>
          </w:p>
          <w:p w14:paraId="02EBFAB4">
            <w:pPr>
              <w:pStyle w:val="6"/>
              <w:spacing w:before="166" w:line="220" w:lineRule="auto"/>
              <w:ind w:left="590"/>
            </w:pPr>
            <w:r>
              <w:rPr>
                <w:spacing w:val="-1"/>
              </w:rPr>
              <w:t>施工人员平均100人/d。</w:t>
            </w:r>
          </w:p>
        </w:tc>
      </w:tr>
    </w:tbl>
    <w:p w14:paraId="6BE66575">
      <w:pPr>
        <w:pStyle w:val="2"/>
      </w:pPr>
    </w:p>
    <w:p w14:paraId="7CDE4805">
      <w:pPr>
        <w:sectPr>
          <w:footerReference r:id="rId58" w:type="default"/>
          <w:pgSz w:w="11910" w:h="16840"/>
          <w:pgMar w:top="1431" w:right="1425" w:bottom="1269" w:left="1405" w:header="0" w:footer="1089" w:gutter="0"/>
          <w:cols w:space="720" w:num="1"/>
        </w:sectPr>
      </w:pPr>
    </w:p>
    <w:p w14:paraId="716A99F9">
      <w:pPr>
        <w:spacing w:line="93" w:lineRule="exact"/>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50"/>
        <w:gridCol w:w="2168"/>
        <w:gridCol w:w="829"/>
        <w:gridCol w:w="2347"/>
        <w:gridCol w:w="739"/>
        <w:gridCol w:w="2177"/>
        <w:gridCol w:w="185"/>
      </w:tblGrid>
      <w:tr w14:paraId="661F5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8" w:hRule="atLeast"/>
        </w:trPr>
        <w:tc>
          <w:tcPr>
            <w:tcW w:w="424" w:type="dxa"/>
            <w:vMerge w:val="restart"/>
            <w:tcBorders>
              <w:bottom w:val="nil"/>
            </w:tcBorders>
            <w:vAlign w:val="top"/>
          </w:tcPr>
          <w:p w14:paraId="1B89F3B6">
            <w:pPr>
              <w:rPr>
                <w:rFonts w:ascii="Arial"/>
                <w:sz w:val="21"/>
              </w:rPr>
            </w:pPr>
          </w:p>
        </w:tc>
        <w:tc>
          <w:tcPr>
            <w:tcW w:w="8595" w:type="dxa"/>
            <w:gridSpan w:val="7"/>
            <w:vAlign w:val="top"/>
          </w:tcPr>
          <w:p w14:paraId="44330D74">
            <w:pPr>
              <w:pStyle w:val="6"/>
              <w:spacing w:before="19" w:line="219" w:lineRule="auto"/>
              <w:ind w:left="83"/>
              <w:rPr>
                <w:sz w:val="20"/>
                <w:szCs w:val="20"/>
              </w:rPr>
            </w:pPr>
            <w:r>
              <w:rPr>
                <w:b/>
                <w:bCs/>
                <w:spacing w:val="-14"/>
                <w:sz w:val="20"/>
                <w:szCs w:val="20"/>
              </w:rPr>
              <w:t>4</w:t>
            </w:r>
            <w:r>
              <w:rPr>
                <w:spacing w:val="-25"/>
                <w:sz w:val="20"/>
                <w:szCs w:val="20"/>
              </w:rPr>
              <w:t xml:space="preserve"> </w:t>
            </w:r>
            <w:r>
              <w:rPr>
                <w:b/>
                <w:bCs/>
                <w:spacing w:val="-14"/>
                <w:sz w:val="20"/>
                <w:szCs w:val="20"/>
              </w:rPr>
              <w:t>、</w:t>
            </w:r>
            <w:r>
              <w:rPr>
                <w:spacing w:val="-44"/>
                <w:sz w:val="20"/>
                <w:szCs w:val="20"/>
              </w:rPr>
              <w:t xml:space="preserve"> </w:t>
            </w:r>
            <w:r>
              <w:rPr>
                <w:b/>
                <w:bCs/>
                <w:spacing w:val="-14"/>
                <w:sz w:val="20"/>
                <w:szCs w:val="20"/>
              </w:rPr>
              <w:t>光</w:t>
            </w:r>
            <w:r>
              <w:rPr>
                <w:spacing w:val="-46"/>
                <w:sz w:val="20"/>
                <w:szCs w:val="20"/>
              </w:rPr>
              <w:t xml:space="preserve"> </w:t>
            </w:r>
            <w:r>
              <w:rPr>
                <w:b/>
                <w:bCs/>
                <w:spacing w:val="-14"/>
                <w:sz w:val="20"/>
                <w:szCs w:val="20"/>
              </w:rPr>
              <w:t>伏</w:t>
            </w:r>
            <w:r>
              <w:rPr>
                <w:spacing w:val="-23"/>
                <w:sz w:val="20"/>
                <w:szCs w:val="20"/>
              </w:rPr>
              <w:t xml:space="preserve"> </w:t>
            </w:r>
            <w:r>
              <w:rPr>
                <w:b/>
                <w:bCs/>
                <w:spacing w:val="-14"/>
                <w:sz w:val="20"/>
                <w:szCs w:val="20"/>
              </w:rPr>
              <w:t>电</w:t>
            </w:r>
            <w:r>
              <w:rPr>
                <w:spacing w:val="-45"/>
                <w:sz w:val="20"/>
                <w:szCs w:val="20"/>
              </w:rPr>
              <w:t xml:space="preserve"> </w:t>
            </w:r>
            <w:r>
              <w:rPr>
                <w:b/>
                <w:bCs/>
                <w:spacing w:val="-14"/>
                <w:sz w:val="20"/>
                <w:szCs w:val="20"/>
              </w:rPr>
              <w:t>站</w:t>
            </w:r>
            <w:r>
              <w:rPr>
                <w:spacing w:val="-46"/>
                <w:sz w:val="20"/>
                <w:szCs w:val="20"/>
              </w:rPr>
              <w:t xml:space="preserve"> </w:t>
            </w:r>
            <w:r>
              <w:rPr>
                <w:b/>
                <w:bCs/>
                <w:spacing w:val="-14"/>
                <w:sz w:val="20"/>
                <w:szCs w:val="20"/>
              </w:rPr>
              <w:t>服</w:t>
            </w:r>
            <w:r>
              <w:rPr>
                <w:spacing w:val="-44"/>
                <w:sz w:val="20"/>
                <w:szCs w:val="20"/>
              </w:rPr>
              <w:t xml:space="preserve"> </w:t>
            </w:r>
            <w:r>
              <w:rPr>
                <w:b/>
                <w:bCs/>
                <w:spacing w:val="-14"/>
                <w:sz w:val="20"/>
                <w:szCs w:val="20"/>
              </w:rPr>
              <w:t>务</w:t>
            </w:r>
            <w:r>
              <w:rPr>
                <w:spacing w:val="-44"/>
                <w:sz w:val="20"/>
                <w:szCs w:val="20"/>
              </w:rPr>
              <w:t xml:space="preserve"> </w:t>
            </w:r>
            <w:r>
              <w:rPr>
                <w:b/>
                <w:bCs/>
                <w:spacing w:val="-14"/>
                <w:sz w:val="20"/>
                <w:szCs w:val="20"/>
              </w:rPr>
              <w:t>期</w:t>
            </w:r>
            <w:r>
              <w:rPr>
                <w:spacing w:val="-46"/>
                <w:sz w:val="20"/>
                <w:szCs w:val="20"/>
              </w:rPr>
              <w:t xml:space="preserve"> </w:t>
            </w:r>
            <w:r>
              <w:rPr>
                <w:b/>
                <w:bCs/>
                <w:spacing w:val="-14"/>
                <w:sz w:val="20"/>
                <w:szCs w:val="20"/>
              </w:rPr>
              <w:t>满</w:t>
            </w:r>
            <w:r>
              <w:rPr>
                <w:spacing w:val="-44"/>
                <w:sz w:val="20"/>
                <w:szCs w:val="20"/>
              </w:rPr>
              <w:t xml:space="preserve"> </w:t>
            </w:r>
            <w:r>
              <w:rPr>
                <w:b/>
                <w:bCs/>
                <w:spacing w:val="-14"/>
                <w:sz w:val="20"/>
                <w:szCs w:val="20"/>
              </w:rPr>
              <w:t>后</w:t>
            </w:r>
            <w:r>
              <w:rPr>
                <w:spacing w:val="-30"/>
                <w:sz w:val="20"/>
                <w:szCs w:val="20"/>
              </w:rPr>
              <w:t xml:space="preserve"> </w:t>
            </w:r>
            <w:r>
              <w:rPr>
                <w:b/>
                <w:bCs/>
                <w:spacing w:val="-14"/>
                <w:sz w:val="20"/>
                <w:szCs w:val="20"/>
              </w:rPr>
              <w:t>的</w:t>
            </w:r>
            <w:r>
              <w:rPr>
                <w:spacing w:val="-45"/>
                <w:sz w:val="20"/>
                <w:szCs w:val="20"/>
              </w:rPr>
              <w:t xml:space="preserve"> </w:t>
            </w:r>
            <w:r>
              <w:rPr>
                <w:b/>
                <w:bCs/>
                <w:spacing w:val="-14"/>
                <w:sz w:val="20"/>
                <w:szCs w:val="20"/>
              </w:rPr>
              <w:t>退</w:t>
            </w:r>
            <w:r>
              <w:rPr>
                <w:spacing w:val="-45"/>
                <w:sz w:val="20"/>
                <w:szCs w:val="20"/>
              </w:rPr>
              <w:t xml:space="preserve"> </w:t>
            </w:r>
            <w:r>
              <w:rPr>
                <w:b/>
                <w:bCs/>
                <w:spacing w:val="-14"/>
                <w:sz w:val="20"/>
                <w:szCs w:val="20"/>
              </w:rPr>
              <w:t>役</w:t>
            </w:r>
            <w:r>
              <w:rPr>
                <w:spacing w:val="-44"/>
                <w:sz w:val="20"/>
                <w:szCs w:val="20"/>
              </w:rPr>
              <w:t xml:space="preserve"> </w:t>
            </w:r>
            <w:r>
              <w:rPr>
                <w:b/>
                <w:bCs/>
                <w:spacing w:val="-14"/>
                <w:sz w:val="20"/>
                <w:szCs w:val="20"/>
              </w:rPr>
              <w:t>工</w:t>
            </w:r>
            <w:r>
              <w:rPr>
                <w:spacing w:val="-41"/>
                <w:sz w:val="20"/>
                <w:szCs w:val="20"/>
              </w:rPr>
              <w:t xml:space="preserve"> </w:t>
            </w:r>
            <w:r>
              <w:rPr>
                <w:b/>
                <w:bCs/>
                <w:spacing w:val="-14"/>
                <w:sz w:val="20"/>
                <w:szCs w:val="20"/>
              </w:rPr>
              <w:t>艺</w:t>
            </w:r>
          </w:p>
          <w:p w14:paraId="53CF76E7">
            <w:pPr>
              <w:pStyle w:val="6"/>
              <w:spacing w:before="206" w:line="426" w:lineRule="auto"/>
              <w:ind w:left="90" w:right="1252" w:firstLine="449"/>
              <w:rPr>
                <w:sz w:val="20"/>
                <w:szCs w:val="20"/>
              </w:rPr>
            </w:pPr>
            <w:r>
              <w:rPr>
                <w:sz w:val="20"/>
                <w:szCs w:val="20"/>
              </w:rPr>
              <w:t>退役期对光伏电站设备进行拆除。首先拆除全部光伏组</w:t>
            </w:r>
            <w:r>
              <w:rPr>
                <w:spacing w:val="-1"/>
                <w:sz w:val="20"/>
                <w:szCs w:val="20"/>
              </w:rPr>
              <w:t>件以及支架，按照光伏</w:t>
            </w:r>
            <w:r>
              <w:rPr>
                <w:sz w:val="20"/>
                <w:szCs w:val="20"/>
              </w:rPr>
              <w:t xml:space="preserve"> 组件和支架安装时的反顺序，采用起重设备拆除，运输到指定地点，作残值处理。</w:t>
            </w:r>
          </w:p>
          <w:p w14:paraId="2B8CA8B5">
            <w:pPr>
              <w:pStyle w:val="6"/>
              <w:spacing w:before="5" w:line="218" w:lineRule="auto"/>
              <w:ind w:left="70"/>
              <w:rPr>
                <w:sz w:val="20"/>
                <w:szCs w:val="20"/>
              </w:rPr>
            </w:pPr>
            <w:r>
              <w:rPr>
                <w:spacing w:val="41"/>
                <w:sz w:val="20"/>
                <w:szCs w:val="20"/>
              </w:rPr>
              <w:t>变压器等设备器材配件材料等有使用价值的可运回设备生产商进行维修后再次使</w:t>
            </w:r>
          </w:p>
          <w:p w14:paraId="3FCA996F">
            <w:pPr>
              <w:pStyle w:val="6"/>
              <w:spacing w:before="215" w:line="438" w:lineRule="auto"/>
              <w:ind w:left="100" w:right="1313" w:hanging="20"/>
              <w:rPr>
                <w:sz w:val="20"/>
                <w:szCs w:val="20"/>
              </w:rPr>
            </w:pPr>
            <w:r>
              <w:rPr>
                <w:sz w:val="20"/>
                <w:szCs w:val="20"/>
              </w:rPr>
              <w:t>用。埋设的电缆、光缆采用开挖拆除，交由废品回收站处</w:t>
            </w:r>
            <w:r>
              <w:rPr>
                <w:spacing w:val="-1"/>
                <w:sz w:val="20"/>
                <w:szCs w:val="20"/>
              </w:rPr>
              <w:t>理。对于项目区的土地要</w:t>
            </w:r>
            <w:r>
              <w:rPr>
                <w:sz w:val="20"/>
                <w:szCs w:val="20"/>
              </w:rPr>
              <w:t xml:space="preserve"> </w:t>
            </w:r>
            <w:r>
              <w:rPr>
                <w:spacing w:val="-1"/>
                <w:sz w:val="20"/>
                <w:szCs w:val="20"/>
              </w:rPr>
              <w:t>根据原有使用性质进行复垦。</w:t>
            </w:r>
          </w:p>
          <w:p w14:paraId="2F1D1515">
            <w:pPr>
              <w:pStyle w:val="6"/>
              <w:spacing w:before="2" w:line="426" w:lineRule="auto"/>
              <w:ind w:left="80" w:right="1232" w:firstLine="479"/>
              <w:jc w:val="both"/>
              <w:rPr>
                <w:sz w:val="20"/>
                <w:szCs w:val="20"/>
              </w:rPr>
            </w:pPr>
            <w:r>
              <w:rPr>
                <w:sz w:val="20"/>
                <w:szCs w:val="20"/>
              </w:rPr>
              <w:t>本环评建议建设单位委托相关单位对本项目做土地复垦</w:t>
            </w:r>
            <w:r>
              <w:rPr>
                <w:spacing w:val="-1"/>
                <w:sz w:val="20"/>
                <w:szCs w:val="20"/>
              </w:rPr>
              <w:t>方案，保障项目区土地</w:t>
            </w:r>
            <w:r>
              <w:rPr>
                <w:sz w:val="20"/>
                <w:szCs w:val="20"/>
              </w:rPr>
              <w:t xml:space="preserve"> 适用。对项目建设施工中，开挖基础上翻的沙砾、石头一律清</w:t>
            </w:r>
            <w:r>
              <w:rPr>
                <w:spacing w:val="-1"/>
                <w:sz w:val="20"/>
                <w:szCs w:val="20"/>
              </w:rPr>
              <w:t>理到项目区外指定地</w:t>
            </w:r>
            <w:r>
              <w:rPr>
                <w:sz w:val="20"/>
                <w:szCs w:val="20"/>
              </w:rPr>
              <w:t xml:space="preserve"> </w:t>
            </w:r>
            <w:r>
              <w:rPr>
                <w:spacing w:val="1"/>
                <w:sz w:val="20"/>
                <w:szCs w:val="20"/>
              </w:rPr>
              <w:t>点，不得就地推平或掩埋，清理了沙砾和石头后，要对土地进行</w:t>
            </w:r>
            <w:r>
              <w:rPr>
                <w:sz w:val="20"/>
                <w:szCs w:val="20"/>
              </w:rPr>
              <w:t>平整，对于荒地等 区域种植当地特色植物，以防止水土流失现象产生。本项目服务期满后退役工艺流</w:t>
            </w:r>
            <w:r>
              <w:rPr>
                <w:spacing w:val="7"/>
                <w:sz w:val="20"/>
                <w:szCs w:val="20"/>
              </w:rPr>
              <w:t xml:space="preserve"> </w:t>
            </w:r>
            <w:r>
              <w:rPr>
                <w:spacing w:val="35"/>
                <w:sz w:val="20"/>
                <w:szCs w:val="20"/>
              </w:rPr>
              <w:t>程及产污节点图详见下图。</w:t>
            </w:r>
          </w:p>
          <w:p w14:paraId="499C1D10">
            <w:pPr>
              <w:pStyle w:val="6"/>
              <w:spacing w:before="1" w:line="180" w:lineRule="auto"/>
              <w:ind w:left="3190" w:right="3170"/>
              <w:rPr>
                <w:sz w:val="20"/>
                <w:szCs w:val="20"/>
              </w:rPr>
            </w:pPr>
            <w:r>
              <w:rPr>
                <w:spacing w:val="2"/>
                <w:sz w:val="20"/>
                <w:szCs w:val="20"/>
              </w:rPr>
              <w:t>报废太阳能电池板、废旧</w:t>
            </w:r>
            <w:r>
              <w:rPr>
                <w:sz w:val="20"/>
                <w:szCs w:val="20"/>
              </w:rPr>
              <w:t xml:space="preserve"> </w:t>
            </w:r>
            <w:r>
              <w:rPr>
                <w:spacing w:val="1"/>
                <w:sz w:val="20"/>
                <w:szCs w:val="20"/>
              </w:rPr>
              <w:t>电器设备、建筑垃圾、噪</w:t>
            </w:r>
          </w:p>
          <w:p w14:paraId="42D50DF3">
            <w:pPr>
              <w:pStyle w:val="6"/>
              <w:spacing w:line="220" w:lineRule="auto"/>
              <w:ind w:left="3691"/>
              <w:rPr>
                <w:sz w:val="20"/>
                <w:szCs w:val="20"/>
              </w:rPr>
            </w:pPr>
            <w:r>
              <w:rPr>
                <w:spacing w:val="-3"/>
                <w:position w:val="-2"/>
                <w:sz w:val="20"/>
                <w:szCs w:val="20"/>
              </w:rPr>
              <w:t xml:space="preserve">声、生态影响                </w:t>
            </w:r>
            <w:r>
              <w:rPr>
                <w:spacing w:val="-3"/>
                <w:position w:val="1"/>
                <w:sz w:val="20"/>
                <w:szCs w:val="20"/>
              </w:rPr>
              <w:t>噪</w:t>
            </w:r>
            <w:r>
              <w:rPr>
                <w:spacing w:val="-26"/>
                <w:position w:val="1"/>
                <w:sz w:val="20"/>
                <w:szCs w:val="20"/>
              </w:rPr>
              <w:t xml:space="preserve"> </w:t>
            </w:r>
            <w:r>
              <w:rPr>
                <w:spacing w:val="-3"/>
                <w:position w:val="1"/>
                <w:sz w:val="20"/>
                <w:szCs w:val="20"/>
              </w:rPr>
              <w:t>声</w:t>
            </w:r>
            <w:r>
              <w:rPr>
                <w:spacing w:val="-26"/>
                <w:position w:val="1"/>
                <w:sz w:val="20"/>
                <w:szCs w:val="20"/>
              </w:rPr>
              <w:t xml:space="preserve"> </w:t>
            </w:r>
            <w:r>
              <w:rPr>
                <w:spacing w:val="-3"/>
                <w:position w:val="1"/>
                <w:sz w:val="20"/>
                <w:szCs w:val="20"/>
              </w:rPr>
              <w:t>、</w:t>
            </w:r>
            <w:r>
              <w:rPr>
                <w:spacing w:val="-39"/>
                <w:position w:val="1"/>
                <w:sz w:val="20"/>
                <w:szCs w:val="20"/>
              </w:rPr>
              <w:t xml:space="preserve"> </w:t>
            </w:r>
            <w:r>
              <w:rPr>
                <w:spacing w:val="-3"/>
                <w:position w:val="1"/>
                <w:sz w:val="20"/>
                <w:szCs w:val="20"/>
              </w:rPr>
              <w:t>生</w:t>
            </w:r>
            <w:r>
              <w:rPr>
                <w:spacing w:val="-39"/>
                <w:position w:val="1"/>
                <w:sz w:val="20"/>
                <w:szCs w:val="20"/>
              </w:rPr>
              <w:t xml:space="preserve"> </w:t>
            </w:r>
            <w:r>
              <w:rPr>
                <w:spacing w:val="-3"/>
                <w:position w:val="1"/>
                <w:sz w:val="20"/>
                <w:szCs w:val="20"/>
              </w:rPr>
              <w:t>态</w:t>
            </w:r>
            <w:r>
              <w:rPr>
                <w:spacing w:val="-40"/>
                <w:position w:val="1"/>
                <w:sz w:val="20"/>
                <w:szCs w:val="20"/>
              </w:rPr>
              <w:t xml:space="preserve"> </w:t>
            </w:r>
            <w:r>
              <w:rPr>
                <w:spacing w:val="-3"/>
                <w:position w:val="1"/>
                <w:sz w:val="20"/>
                <w:szCs w:val="20"/>
              </w:rPr>
              <w:t>影</w:t>
            </w:r>
            <w:r>
              <w:rPr>
                <w:spacing w:val="-30"/>
                <w:position w:val="1"/>
                <w:sz w:val="20"/>
                <w:szCs w:val="20"/>
              </w:rPr>
              <w:t xml:space="preserve"> </w:t>
            </w:r>
            <w:r>
              <w:rPr>
                <w:spacing w:val="-3"/>
                <w:position w:val="1"/>
                <w:sz w:val="20"/>
                <w:szCs w:val="20"/>
              </w:rPr>
              <w:t>响</w:t>
            </w:r>
          </w:p>
        </w:tc>
      </w:tr>
      <w:tr w14:paraId="59372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424" w:type="dxa"/>
            <w:vMerge w:val="continue"/>
            <w:tcBorders>
              <w:top w:val="nil"/>
              <w:bottom w:val="nil"/>
            </w:tcBorders>
            <w:vAlign w:val="top"/>
          </w:tcPr>
          <w:p w14:paraId="0C8FBFF4">
            <w:pPr>
              <w:rPr>
                <w:rFonts w:ascii="Arial"/>
                <w:sz w:val="21"/>
              </w:rPr>
            </w:pPr>
          </w:p>
        </w:tc>
        <w:tc>
          <w:tcPr>
            <w:tcW w:w="150" w:type="dxa"/>
            <w:vMerge w:val="restart"/>
            <w:tcBorders>
              <w:bottom w:val="nil"/>
            </w:tcBorders>
            <w:vAlign w:val="top"/>
          </w:tcPr>
          <w:p w14:paraId="766C310B">
            <w:pPr>
              <w:rPr>
                <w:rFonts w:ascii="Arial"/>
                <w:sz w:val="21"/>
              </w:rPr>
            </w:pPr>
          </w:p>
        </w:tc>
        <w:tc>
          <w:tcPr>
            <w:tcW w:w="2168" w:type="dxa"/>
            <w:vMerge w:val="restart"/>
            <w:tcBorders>
              <w:bottom w:val="nil"/>
            </w:tcBorders>
            <w:vAlign w:val="top"/>
          </w:tcPr>
          <w:p w14:paraId="0DA98D87">
            <w:pPr>
              <w:pStyle w:val="6"/>
              <w:spacing w:before="135" w:line="219" w:lineRule="auto"/>
              <w:ind w:left="480"/>
              <w:rPr>
                <w:sz w:val="20"/>
                <w:szCs w:val="20"/>
              </w:rPr>
            </w:pPr>
            <w:r>
              <w:rPr>
                <w:spacing w:val="2"/>
                <w:sz w:val="20"/>
                <w:szCs w:val="20"/>
              </w:rPr>
              <w:t>服务期满后</w:t>
            </w:r>
          </w:p>
        </w:tc>
        <w:tc>
          <w:tcPr>
            <w:tcW w:w="829" w:type="dxa"/>
            <w:vAlign w:val="top"/>
          </w:tcPr>
          <w:p w14:paraId="21B57E00">
            <w:pPr>
              <w:spacing w:line="220" w:lineRule="exact"/>
              <w:rPr>
                <w:rFonts w:ascii="Arial"/>
                <w:sz w:val="19"/>
              </w:rPr>
            </w:pPr>
          </w:p>
        </w:tc>
        <w:tc>
          <w:tcPr>
            <w:tcW w:w="2347" w:type="dxa"/>
            <w:vMerge w:val="restart"/>
            <w:tcBorders>
              <w:bottom w:val="nil"/>
            </w:tcBorders>
            <w:vAlign w:val="top"/>
          </w:tcPr>
          <w:p w14:paraId="2245A489">
            <w:pPr>
              <w:pStyle w:val="6"/>
              <w:spacing w:before="13" w:line="201" w:lineRule="auto"/>
              <w:ind w:left="83" w:right="82"/>
              <w:rPr>
                <w:sz w:val="20"/>
                <w:szCs w:val="20"/>
              </w:rPr>
            </w:pPr>
            <w:r>
              <w:rPr>
                <w:spacing w:val="24"/>
                <w:sz w:val="20"/>
                <w:szCs w:val="20"/>
              </w:rPr>
              <w:t>光伏组件</w:t>
            </w:r>
            <w:r>
              <w:rPr>
                <w:spacing w:val="-27"/>
                <w:sz w:val="20"/>
                <w:szCs w:val="20"/>
              </w:rPr>
              <w:t xml:space="preserve"> </w:t>
            </w:r>
            <w:r>
              <w:rPr>
                <w:spacing w:val="24"/>
                <w:sz w:val="20"/>
                <w:szCs w:val="20"/>
              </w:rPr>
              <w:t>、</w:t>
            </w:r>
            <w:r>
              <w:rPr>
                <w:spacing w:val="-21"/>
                <w:sz w:val="20"/>
                <w:szCs w:val="20"/>
              </w:rPr>
              <w:t xml:space="preserve"> </w:t>
            </w:r>
            <w:r>
              <w:rPr>
                <w:spacing w:val="24"/>
                <w:sz w:val="20"/>
                <w:szCs w:val="20"/>
              </w:rPr>
              <w:t>电气设备</w:t>
            </w:r>
            <w:r>
              <w:rPr>
                <w:sz w:val="20"/>
                <w:szCs w:val="20"/>
              </w:rPr>
              <w:t xml:space="preserve"> </w:t>
            </w:r>
            <w:r>
              <w:rPr>
                <w:spacing w:val="27"/>
                <w:sz w:val="20"/>
                <w:szCs w:val="20"/>
              </w:rPr>
              <w:t>拆除</w:t>
            </w:r>
            <w:r>
              <w:rPr>
                <w:spacing w:val="-31"/>
                <w:sz w:val="20"/>
                <w:szCs w:val="20"/>
              </w:rPr>
              <w:t xml:space="preserve"> </w:t>
            </w:r>
            <w:r>
              <w:rPr>
                <w:spacing w:val="27"/>
                <w:sz w:val="20"/>
                <w:szCs w:val="20"/>
              </w:rPr>
              <w:t>、</w:t>
            </w:r>
            <w:r>
              <w:rPr>
                <w:spacing w:val="-43"/>
                <w:sz w:val="20"/>
                <w:szCs w:val="20"/>
              </w:rPr>
              <w:t xml:space="preserve"> </w:t>
            </w:r>
            <w:r>
              <w:rPr>
                <w:spacing w:val="27"/>
                <w:sz w:val="20"/>
                <w:szCs w:val="20"/>
              </w:rPr>
              <w:t>建构筑物拆除</w:t>
            </w:r>
          </w:p>
        </w:tc>
        <w:tc>
          <w:tcPr>
            <w:tcW w:w="739" w:type="dxa"/>
            <w:vAlign w:val="top"/>
          </w:tcPr>
          <w:p w14:paraId="0B003F7F">
            <w:pPr>
              <w:spacing w:line="220" w:lineRule="exact"/>
              <w:rPr>
                <w:rFonts w:ascii="Arial"/>
                <w:sz w:val="19"/>
              </w:rPr>
            </w:pPr>
          </w:p>
        </w:tc>
        <w:tc>
          <w:tcPr>
            <w:tcW w:w="2177" w:type="dxa"/>
            <w:vMerge w:val="restart"/>
            <w:tcBorders>
              <w:bottom w:val="nil"/>
            </w:tcBorders>
            <w:vAlign w:val="top"/>
          </w:tcPr>
          <w:p w14:paraId="760BEF93">
            <w:pPr>
              <w:pStyle w:val="6"/>
              <w:spacing w:before="135" w:line="220" w:lineRule="auto"/>
              <w:ind w:left="617"/>
              <w:rPr>
                <w:sz w:val="20"/>
                <w:szCs w:val="20"/>
              </w:rPr>
            </w:pPr>
            <w:r>
              <w:rPr>
                <w:spacing w:val="-2"/>
                <w:sz w:val="20"/>
                <w:szCs w:val="20"/>
              </w:rPr>
              <w:t>土地复垦</w:t>
            </w:r>
          </w:p>
        </w:tc>
        <w:tc>
          <w:tcPr>
            <w:tcW w:w="185" w:type="dxa"/>
            <w:vMerge w:val="restart"/>
            <w:tcBorders>
              <w:top w:val="nil"/>
              <w:bottom w:val="nil"/>
            </w:tcBorders>
            <w:vAlign w:val="top"/>
          </w:tcPr>
          <w:p w14:paraId="67451D30">
            <w:pPr>
              <w:rPr>
                <w:rFonts w:ascii="Arial"/>
                <w:sz w:val="21"/>
              </w:rPr>
            </w:pPr>
          </w:p>
        </w:tc>
      </w:tr>
      <w:tr w14:paraId="7060A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424" w:type="dxa"/>
            <w:vMerge w:val="continue"/>
            <w:tcBorders>
              <w:top w:val="nil"/>
              <w:bottom w:val="nil"/>
            </w:tcBorders>
            <w:vAlign w:val="top"/>
          </w:tcPr>
          <w:p w14:paraId="07BFB7C5">
            <w:pPr>
              <w:rPr>
                <w:rFonts w:ascii="Arial"/>
                <w:sz w:val="21"/>
              </w:rPr>
            </w:pPr>
          </w:p>
        </w:tc>
        <w:tc>
          <w:tcPr>
            <w:tcW w:w="150" w:type="dxa"/>
            <w:vMerge w:val="continue"/>
            <w:tcBorders>
              <w:top w:val="nil"/>
            </w:tcBorders>
            <w:vAlign w:val="top"/>
          </w:tcPr>
          <w:p w14:paraId="00531E1A">
            <w:pPr>
              <w:rPr>
                <w:rFonts w:ascii="Arial"/>
                <w:sz w:val="21"/>
              </w:rPr>
            </w:pPr>
          </w:p>
        </w:tc>
        <w:tc>
          <w:tcPr>
            <w:tcW w:w="2168" w:type="dxa"/>
            <w:vMerge w:val="continue"/>
            <w:tcBorders>
              <w:top w:val="nil"/>
            </w:tcBorders>
            <w:vAlign w:val="top"/>
          </w:tcPr>
          <w:p w14:paraId="0486CE91">
            <w:pPr>
              <w:rPr>
                <w:rFonts w:ascii="Arial"/>
                <w:sz w:val="21"/>
              </w:rPr>
            </w:pPr>
          </w:p>
        </w:tc>
        <w:tc>
          <w:tcPr>
            <w:tcW w:w="829" w:type="dxa"/>
            <w:vAlign w:val="top"/>
          </w:tcPr>
          <w:p w14:paraId="4BE20711">
            <w:pPr>
              <w:spacing w:line="209" w:lineRule="exact"/>
              <w:rPr>
                <w:rFonts w:ascii="Arial"/>
                <w:sz w:val="18"/>
              </w:rPr>
            </w:pPr>
          </w:p>
        </w:tc>
        <w:tc>
          <w:tcPr>
            <w:tcW w:w="2347" w:type="dxa"/>
            <w:vMerge w:val="continue"/>
            <w:tcBorders>
              <w:top w:val="nil"/>
            </w:tcBorders>
            <w:vAlign w:val="top"/>
          </w:tcPr>
          <w:p w14:paraId="2F56AB48">
            <w:pPr>
              <w:rPr>
                <w:rFonts w:ascii="Arial"/>
                <w:sz w:val="21"/>
              </w:rPr>
            </w:pPr>
          </w:p>
        </w:tc>
        <w:tc>
          <w:tcPr>
            <w:tcW w:w="739" w:type="dxa"/>
            <w:vAlign w:val="top"/>
          </w:tcPr>
          <w:p w14:paraId="43BF547F">
            <w:pPr>
              <w:spacing w:line="209" w:lineRule="exact"/>
              <w:rPr>
                <w:rFonts w:ascii="Arial"/>
                <w:sz w:val="18"/>
              </w:rPr>
            </w:pPr>
          </w:p>
        </w:tc>
        <w:tc>
          <w:tcPr>
            <w:tcW w:w="2177" w:type="dxa"/>
            <w:vMerge w:val="continue"/>
            <w:tcBorders>
              <w:top w:val="nil"/>
            </w:tcBorders>
            <w:vAlign w:val="top"/>
          </w:tcPr>
          <w:p w14:paraId="2FF20A52">
            <w:pPr>
              <w:rPr>
                <w:rFonts w:ascii="Arial"/>
                <w:sz w:val="21"/>
              </w:rPr>
            </w:pPr>
          </w:p>
        </w:tc>
        <w:tc>
          <w:tcPr>
            <w:tcW w:w="185" w:type="dxa"/>
            <w:vMerge w:val="continue"/>
            <w:tcBorders>
              <w:top w:val="nil"/>
              <w:bottom w:val="nil"/>
            </w:tcBorders>
            <w:vAlign w:val="top"/>
          </w:tcPr>
          <w:p w14:paraId="67493020">
            <w:pPr>
              <w:rPr>
                <w:rFonts w:ascii="Arial"/>
                <w:sz w:val="21"/>
              </w:rPr>
            </w:pPr>
          </w:p>
        </w:tc>
      </w:tr>
      <w:tr w14:paraId="06CC1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424" w:type="dxa"/>
            <w:vMerge w:val="continue"/>
            <w:tcBorders>
              <w:top w:val="nil"/>
            </w:tcBorders>
            <w:vAlign w:val="top"/>
          </w:tcPr>
          <w:p w14:paraId="4B21AD2A">
            <w:pPr>
              <w:rPr>
                <w:rFonts w:ascii="Arial"/>
                <w:sz w:val="21"/>
              </w:rPr>
            </w:pPr>
          </w:p>
        </w:tc>
        <w:tc>
          <w:tcPr>
            <w:tcW w:w="8595" w:type="dxa"/>
            <w:gridSpan w:val="7"/>
            <w:vAlign w:val="top"/>
          </w:tcPr>
          <w:p w14:paraId="3DE717E5">
            <w:pPr>
              <w:pStyle w:val="6"/>
              <w:spacing w:before="172" w:line="219" w:lineRule="auto"/>
              <w:ind w:left="1663"/>
              <w:rPr>
                <w:sz w:val="20"/>
                <w:szCs w:val="20"/>
              </w:rPr>
            </w:pPr>
            <w:r>
              <w:rPr>
                <w:b/>
                <w:bCs/>
                <w:spacing w:val="-13"/>
                <w:sz w:val="20"/>
                <w:szCs w:val="20"/>
              </w:rPr>
              <w:t>图</w:t>
            </w:r>
            <w:r>
              <w:rPr>
                <w:spacing w:val="-30"/>
                <w:sz w:val="20"/>
                <w:szCs w:val="20"/>
              </w:rPr>
              <w:t xml:space="preserve"> </w:t>
            </w:r>
            <w:r>
              <w:rPr>
                <w:b/>
                <w:bCs/>
                <w:spacing w:val="-13"/>
                <w:sz w:val="20"/>
                <w:szCs w:val="20"/>
              </w:rPr>
              <w:t>2</w:t>
            </w:r>
            <w:r>
              <w:rPr>
                <w:spacing w:val="-37"/>
                <w:sz w:val="20"/>
                <w:szCs w:val="20"/>
              </w:rPr>
              <w:t xml:space="preserve"> </w:t>
            </w:r>
            <w:r>
              <w:rPr>
                <w:b/>
                <w:bCs/>
                <w:spacing w:val="-13"/>
                <w:sz w:val="20"/>
                <w:szCs w:val="20"/>
              </w:rPr>
              <w:t>-</w:t>
            </w:r>
            <w:r>
              <w:rPr>
                <w:spacing w:val="-34"/>
                <w:sz w:val="20"/>
                <w:szCs w:val="20"/>
              </w:rPr>
              <w:t xml:space="preserve"> </w:t>
            </w:r>
            <w:r>
              <w:rPr>
                <w:b/>
                <w:bCs/>
                <w:spacing w:val="-13"/>
                <w:sz w:val="20"/>
                <w:szCs w:val="20"/>
              </w:rPr>
              <w:t>6</w:t>
            </w:r>
            <w:r>
              <w:rPr>
                <w:spacing w:val="-35"/>
                <w:sz w:val="20"/>
                <w:szCs w:val="20"/>
              </w:rPr>
              <w:t xml:space="preserve"> </w:t>
            </w:r>
            <w:r>
              <w:rPr>
                <w:b/>
                <w:bCs/>
                <w:spacing w:val="-13"/>
                <w:sz w:val="20"/>
                <w:szCs w:val="20"/>
              </w:rPr>
              <w:t>本</w:t>
            </w:r>
            <w:r>
              <w:rPr>
                <w:spacing w:val="-33"/>
                <w:sz w:val="20"/>
                <w:szCs w:val="20"/>
              </w:rPr>
              <w:t xml:space="preserve"> </w:t>
            </w:r>
            <w:r>
              <w:rPr>
                <w:b/>
                <w:bCs/>
                <w:spacing w:val="-13"/>
                <w:sz w:val="20"/>
                <w:szCs w:val="20"/>
              </w:rPr>
              <w:t>项</w:t>
            </w:r>
            <w:r>
              <w:rPr>
                <w:spacing w:val="-13"/>
                <w:sz w:val="20"/>
                <w:szCs w:val="20"/>
              </w:rPr>
              <w:t xml:space="preserve"> </w:t>
            </w:r>
            <w:r>
              <w:rPr>
                <w:b/>
                <w:bCs/>
                <w:spacing w:val="-13"/>
                <w:sz w:val="20"/>
                <w:szCs w:val="20"/>
              </w:rPr>
              <w:t>目</w:t>
            </w:r>
            <w:r>
              <w:rPr>
                <w:spacing w:val="-35"/>
                <w:sz w:val="20"/>
                <w:szCs w:val="20"/>
              </w:rPr>
              <w:t xml:space="preserve"> </w:t>
            </w:r>
            <w:r>
              <w:rPr>
                <w:b/>
                <w:bCs/>
                <w:spacing w:val="-13"/>
                <w:sz w:val="20"/>
                <w:szCs w:val="20"/>
              </w:rPr>
              <w:t>服</w:t>
            </w:r>
            <w:r>
              <w:rPr>
                <w:spacing w:val="-35"/>
                <w:sz w:val="20"/>
                <w:szCs w:val="20"/>
              </w:rPr>
              <w:t xml:space="preserve"> </w:t>
            </w:r>
            <w:r>
              <w:rPr>
                <w:b/>
                <w:bCs/>
                <w:spacing w:val="-13"/>
                <w:sz w:val="20"/>
                <w:szCs w:val="20"/>
              </w:rPr>
              <w:t>务</w:t>
            </w:r>
            <w:r>
              <w:rPr>
                <w:spacing w:val="-33"/>
                <w:sz w:val="20"/>
                <w:szCs w:val="20"/>
              </w:rPr>
              <w:t xml:space="preserve"> </w:t>
            </w:r>
            <w:r>
              <w:rPr>
                <w:b/>
                <w:bCs/>
                <w:spacing w:val="-13"/>
                <w:sz w:val="20"/>
                <w:szCs w:val="20"/>
              </w:rPr>
              <w:t>期</w:t>
            </w:r>
            <w:r>
              <w:rPr>
                <w:spacing w:val="-36"/>
                <w:sz w:val="20"/>
                <w:szCs w:val="20"/>
              </w:rPr>
              <w:t xml:space="preserve"> </w:t>
            </w:r>
            <w:r>
              <w:rPr>
                <w:b/>
                <w:bCs/>
                <w:spacing w:val="-13"/>
                <w:sz w:val="20"/>
                <w:szCs w:val="20"/>
              </w:rPr>
              <w:t>满</w:t>
            </w:r>
            <w:r>
              <w:rPr>
                <w:spacing w:val="-34"/>
                <w:sz w:val="20"/>
                <w:szCs w:val="20"/>
              </w:rPr>
              <w:t xml:space="preserve"> </w:t>
            </w:r>
            <w:r>
              <w:rPr>
                <w:b/>
                <w:bCs/>
                <w:spacing w:val="-13"/>
                <w:sz w:val="20"/>
                <w:szCs w:val="20"/>
              </w:rPr>
              <w:t>后</w:t>
            </w:r>
            <w:r>
              <w:rPr>
                <w:spacing w:val="-35"/>
                <w:sz w:val="20"/>
                <w:szCs w:val="20"/>
              </w:rPr>
              <w:t xml:space="preserve"> </w:t>
            </w:r>
            <w:r>
              <w:rPr>
                <w:b/>
                <w:bCs/>
                <w:spacing w:val="-13"/>
                <w:sz w:val="20"/>
                <w:szCs w:val="20"/>
              </w:rPr>
              <w:t>退</w:t>
            </w:r>
            <w:r>
              <w:rPr>
                <w:spacing w:val="-35"/>
                <w:sz w:val="20"/>
                <w:szCs w:val="20"/>
              </w:rPr>
              <w:t xml:space="preserve"> </w:t>
            </w:r>
            <w:r>
              <w:rPr>
                <w:b/>
                <w:bCs/>
                <w:spacing w:val="-13"/>
                <w:sz w:val="20"/>
                <w:szCs w:val="20"/>
              </w:rPr>
              <w:t>役</w:t>
            </w:r>
            <w:r>
              <w:rPr>
                <w:spacing w:val="-33"/>
                <w:sz w:val="20"/>
                <w:szCs w:val="20"/>
              </w:rPr>
              <w:t xml:space="preserve"> </w:t>
            </w:r>
            <w:r>
              <w:rPr>
                <w:b/>
                <w:bCs/>
                <w:spacing w:val="-13"/>
                <w:sz w:val="20"/>
                <w:szCs w:val="20"/>
              </w:rPr>
              <w:t>工</w:t>
            </w:r>
            <w:r>
              <w:rPr>
                <w:spacing w:val="-31"/>
                <w:sz w:val="20"/>
                <w:szCs w:val="20"/>
              </w:rPr>
              <w:t xml:space="preserve"> </w:t>
            </w:r>
            <w:r>
              <w:rPr>
                <w:b/>
                <w:bCs/>
                <w:spacing w:val="-13"/>
                <w:sz w:val="20"/>
                <w:szCs w:val="20"/>
              </w:rPr>
              <w:t>艺</w:t>
            </w:r>
            <w:r>
              <w:rPr>
                <w:spacing w:val="-35"/>
                <w:sz w:val="20"/>
                <w:szCs w:val="20"/>
              </w:rPr>
              <w:t xml:space="preserve"> </w:t>
            </w:r>
            <w:r>
              <w:rPr>
                <w:b/>
                <w:bCs/>
                <w:spacing w:val="-13"/>
                <w:sz w:val="20"/>
                <w:szCs w:val="20"/>
              </w:rPr>
              <w:t>流</w:t>
            </w:r>
            <w:r>
              <w:rPr>
                <w:spacing w:val="-36"/>
                <w:sz w:val="20"/>
                <w:szCs w:val="20"/>
              </w:rPr>
              <w:t xml:space="preserve"> </w:t>
            </w:r>
            <w:r>
              <w:rPr>
                <w:b/>
                <w:bCs/>
                <w:spacing w:val="-13"/>
                <w:sz w:val="20"/>
                <w:szCs w:val="20"/>
              </w:rPr>
              <w:t>程</w:t>
            </w:r>
            <w:r>
              <w:rPr>
                <w:spacing w:val="-37"/>
                <w:sz w:val="20"/>
                <w:szCs w:val="20"/>
              </w:rPr>
              <w:t xml:space="preserve"> </w:t>
            </w:r>
            <w:r>
              <w:rPr>
                <w:b/>
                <w:bCs/>
                <w:spacing w:val="-13"/>
                <w:sz w:val="20"/>
                <w:szCs w:val="20"/>
              </w:rPr>
              <w:t>及</w:t>
            </w:r>
            <w:r>
              <w:rPr>
                <w:spacing w:val="-35"/>
                <w:sz w:val="20"/>
                <w:szCs w:val="20"/>
              </w:rPr>
              <w:t xml:space="preserve"> </w:t>
            </w:r>
            <w:r>
              <w:rPr>
                <w:b/>
                <w:bCs/>
                <w:spacing w:val="-13"/>
                <w:sz w:val="20"/>
                <w:szCs w:val="20"/>
              </w:rPr>
              <w:t>产</w:t>
            </w:r>
            <w:r>
              <w:rPr>
                <w:spacing w:val="-35"/>
                <w:sz w:val="20"/>
                <w:szCs w:val="20"/>
              </w:rPr>
              <w:t xml:space="preserve"> </w:t>
            </w:r>
            <w:r>
              <w:rPr>
                <w:b/>
                <w:bCs/>
                <w:spacing w:val="-13"/>
                <w:sz w:val="20"/>
                <w:szCs w:val="20"/>
              </w:rPr>
              <w:t>污</w:t>
            </w:r>
            <w:r>
              <w:rPr>
                <w:spacing w:val="-35"/>
                <w:sz w:val="20"/>
                <w:szCs w:val="20"/>
              </w:rPr>
              <w:t xml:space="preserve"> </w:t>
            </w:r>
            <w:r>
              <w:rPr>
                <w:b/>
                <w:bCs/>
                <w:spacing w:val="-13"/>
                <w:sz w:val="20"/>
                <w:szCs w:val="20"/>
              </w:rPr>
              <w:t>节</w:t>
            </w:r>
            <w:r>
              <w:rPr>
                <w:spacing w:val="-26"/>
                <w:sz w:val="20"/>
                <w:szCs w:val="20"/>
              </w:rPr>
              <w:t xml:space="preserve"> </w:t>
            </w:r>
            <w:r>
              <w:rPr>
                <w:b/>
                <w:bCs/>
                <w:spacing w:val="-13"/>
                <w:sz w:val="20"/>
                <w:szCs w:val="20"/>
              </w:rPr>
              <w:t>点</w:t>
            </w:r>
            <w:r>
              <w:rPr>
                <w:spacing w:val="-13"/>
                <w:sz w:val="20"/>
                <w:szCs w:val="20"/>
              </w:rPr>
              <w:t xml:space="preserve"> </w:t>
            </w:r>
            <w:r>
              <w:rPr>
                <w:b/>
                <w:bCs/>
                <w:spacing w:val="-13"/>
                <w:sz w:val="20"/>
                <w:szCs w:val="20"/>
              </w:rPr>
              <w:t>图</w:t>
            </w:r>
          </w:p>
        </w:tc>
      </w:tr>
      <w:tr w14:paraId="077D4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3" w:hRule="atLeast"/>
        </w:trPr>
        <w:tc>
          <w:tcPr>
            <w:tcW w:w="424" w:type="dxa"/>
            <w:textDirection w:val="tbRlV"/>
            <w:vAlign w:val="top"/>
          </w:tcPr>
          <w:p w14:paraId="7C64985D">
            <w:pPr>
              <w:pStyle w:val="6"/>
              <w:spacing w:before="89" w:line="201" w:lineRule="auto"/>
              <w:ind w:left="397"/>
            </w:pPr>
            <w:r>
              <w:rPr>
                <w:spacing w:val="13"/>
              </w:rPr>
              <w:t>其它</w:t>
            </w:r>
          </w:p>
        </w:tc>
        <w:tc>
          <w:tcPr>
            <w:tcW w:w="8595" w:type="dxa"/>
            <w:gridSpan w:val="7"/>
            <w:vAlign w:val="top"/>
          </w:tcPr>
          <w:p w14:paraId="070DBA73">
            <w:pPr>
              <w:spacing w:line="458" w:lineRule="auto"/>
              <w:rPr>
                <w:rFonts w:ascii="Arial"/>
                <w:sz w:val="21"/>
              </w:rPr>
            </w:pPr>
          </w:p>
          <w:p w14:paraId="16A4BA1D">
            <w:pPr>
              <w:pStyle w:val="6"/>
              <w:spacing w:before="78" w:line="220" w:lineRule="auto"/>
              <w:ind w:left="4171"/>
            </w:pPr>
            <w:r>
              <w:t>无</w:t>
            </w:r>
          </w:p>
        </w:tc>
      </w:tr>
    </w:tbl>
    <w:p w14:paraId="78900C24">
      <w:pPr>
        <w:pStyle w:val="2"/>
      </w:pPr>
    </w:p>
    <w:p w14:paraId="3210D2B9">
      <w:pPr>
        <w:sectPr>
          <w:footerReference r:id="rId59" w:type="default"/>
          <w:pgSz w:w="11910" w:h="16840"/>
          <w:pgMar w:top="1431" w:right="1475" w:bottom="1255" w:left="1405" w:header="0" w:footer="1093" w:gutter="0"/>
          <w:cols w:space="720" w:num="1"/>
        </w:sectPr>
      </w:pPr>
    </w:p>
    <w:p w14:paraId="40ECB61F">
      <w:pPr>
        <w:pStyle w:val="2"/>
        <w:spacing w:line="275" w:lineRule="auto"/>
      </w:pPr>
    </w:p>
    <w:p w14:paraId="51BC2ED6">
      <w:pPr>
        <w:spacing w:before="107" w:line="218" w:lineRule="auto"/>
        <w:ind w:left="1804"/>
        <w:outlineLvl w:val="0"/>
        <w:rPr>
          <w:rFonts w:ascii="宋体" w:hAnsi="宋体" w:eastAsia="宋体" w:cs="宋体"/>
          <w:sz w:val="33"/>
          <w:szCs w:val="33"/>
        </w:rPr>
      </w:pPr>
      <w:bookmarkStart w:id="4" w:name="bookmark3"/>
      <w:bookmarkEnd w:id="4"/>
      <w:r>
        <w:rPr>
          <w:rFonts w:ascii="宋体" w:hAnsi="宋体" w:eastAsia="宋体" w:cs="宋体"/>
          <w:spacing w:val="-30"/>
          <w:sz w:val="33"/>
          <w:szCs w:val="33"/>
        </w:rPr>
        <w:t>三、</w:t>
      </w:r>
      <w:r>
        <w:rPr>
          <w:rFonts w:ascii="宋体" w:hAnsi="宋体" w:eastAsia="宋体" w:cs="宋体"/>
          <w:b/>
          <w:bCs/>
          <w:spacing w:val="-30"/>
          <w:sz w:val="33"/>
          <w:szCs w:val="33"/>
        </w:rPr>
        <w:t>生态环境现状、保护目标及评价标准</w:t>
      </w:r>
    </w:p>
    <w:p w14:paraId="06374163">
      <w:pPr>
        <w:spacing w:before="27"/>
      </w:pPr>
    </w:p>
    <w:tbl>
      <w:tblPr>
        <w:tblStyle w:val="5"/>
        <w:tblW w:w="90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
        <w:gridCol w:w="8756"/>
      </w:tblGrid>
      <w:tr w14:paraId="4B94B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0" w:hRule="atLeast"/>
        </w:trPr>
        <w:tc>
          <w:tcPr>
            <w:tcW w:w="325" w:type="dxa"/>
            <w:textDirection w:val="tbRlV"/>
            <w:vAlign w:val="top"/>
          </w:tcPr>
          <w:p w14:paraId="2993E8B5">
            <w:pPr>
              <w:pStyle w:val="6"/>
              <w:spacing w:before="49" w:line="201" w:lineRule="auto"/>
              <w:ind w:left="5322"/>
              <w:rPr>
                <w:sz w:val="25"/>
                <w:szCs w:val="25"/>
              </w:rPr>
            </w:pPr>
            <w:r>
              <w:rPr>
                <w:spacing w:val="59"/>
                <w:sz w:val="25"/>
                <w:szCs w:val="25"/>
              </w:rPr>
              <w:t>生态环境现状</w:t>
            </w:r>
          </w:p>
        </w:tc>
        <w:tc>
          <w:tcPr>
            <w:tcW w:w="8756" w:type="dxa"/>
            <w:vAlign w:val="top"/>
          </w:tcPr>
          <w:p w14:paraId="7F0C44C9">
            <w:pPr>
              <w:pStyle w:val="6"/>
              <w:spacing w:before="41" w:line="219" w:lineRule="auto"/>
              <w:ind w:left="93"/>
              <w:rPr>
                <w:sz w:val="25"/>
                <w:szCs w:val="25"/>
              </w:rPr>
            </w:pPr>
            <w:r>
              <w:rPr>
                <w:b/>
                <w:bCs/>
                <w:spacing w:val="-4"/>
                <w:sz w:val="25"/>
                <w:szCs w:val="25"/>
              </w:rPr>
              <w:t>一、云南省主体功能区规划</w:t>
            </w:r>
          </w:p>
          <w:p w14:paraId="7897ED67">
            <w:pPr>
              <w:pStyle w:val="6"/>
              <w:spacing w:before="163" w:line="216" w:lineRule="auto"/>
              <w:ind w:left="619"/>
              <w:rPr>
                <w:sz w:val="25"/>
                <w:szCs w:val="25"/>
              </w:rPr>
            </w:pPr>
            <w:r>
              <w:rPr>
                <w:sz w:val="25"/>
                <w:szCs w:val="25"/>
              </w:rPr>
              <w:t>云南省人民政府于2014年1月6日印发《云南省主体功能区规划》,根</w:t>
            </w:r>
          </w:p>
          <w:p w14:paraId="4A06F907">
            <w:pPr>
              <w:pStyle w:val="6"/>
              <w:spacing w:before="170" w:line="342" w:lineRule="auto"/>
              <w:ind w:left="109" w:right="121"/>
              <w:rPr>
                <w:sz w:val="25"/>
                <w:szCs w:val="25"/>
              </w:rPr>
            </w:pPr>
            <w:r>
              <w:rPr>
                <w:sz w:val="25"/>
                <w:szCs w:val="25"/>
              </w:rPr>
              <w:t>据区划划分，本工程所在的马龙区为国家级集中连片重点开发区域，不涉及云</w:t>
            </w:r>
            <w:r>
              <w:rPr>
                <w:spacing w:val="14"/>
                <w:sz w:val="25"/>
                <w:szCs w:val="25"/>
              </w:rPr>
              <w:t xml:space="preserve"> </w:t>
            </w:r>
            <w:r>
              <w:rPr>
                <w:spacing w:val="-1"/>
                <w:sz w:val="25"/>
                <w:szCs w:val="25"/>
              </w:rPr>
              <w:t>南省限制开发区域和云南省禁止开发区域。</w:t>
            </w:r>
          </w:p>
          <w:p w14:paraId="3783FF0C">
            <w:pPr>
              <w:pStyle w:val="6"/>
              <w:spacing w:before="23" w:line="343" w:lineRule="auto"/>
              <w:ind w:left="109" w:firstLine="493"/>
              <w:rPr>
                <w:sz w:val="25"/>
                <w:szCs w:val="25"/>
              </w:rPr>
            </w:pPr>
            <w:r>
              <w:rPr>
                <w:spacing w:val="-3"/>
                <w:sz w:val="25"/>
                <w:szCs w:val="25"/>
              </w:rPr>
              <w:t>该区域的功能定位为：我国面向西南开放重要桥头堡建设的核心</w:t>
            </w:r>
            <w:r>
              <w:rPr>
                <w:spacing w:val="-4"/>
                <w:sz w:val="25"/>
                <w:szCs w:val="25"/>
              </w:rPr>
              <w:t>区，连接</w:t>
            </w:r>
            <w:r>
              <w:rPr>
                <w:sz w:val="25"/>
                <w:szCs w:val="25"/>
              </w:rPr>
              <w:t xml:space="preserve">   东南亚、南亚国家的陆路交通枢纽，面向东南亚、南亚对外开放的重要门户；</w:t>
            </w:r>
            <w:r>
              <w:rPr>
                <w:spacing w:val="4"/>
                <w:sz w:val="25"/>
                <w:szCs w:val="25"/>
              </w:rPr>
              <w:t xml:space="preserve">  </w:t>
            </w:r>
            <w:r>
              <w:rPr>
                <w:spacing w:val="-3"/>
                <w:sz w:val="25"/>
                <w:szCs w:val="25"/>
              </w:rPr>
              <w:t>全国重要的烟草、旅游、文化、能源和商贸物流基地，以</w:t>
            </w:r>
            <w:r>
              <w:rPr>
                <w:spacing w:val="-4"/>
                <w:sz w:val="25"/>
                <w:szCs w:val="25"/>
              </w:rPr>
              <w:t>化工、有色冶炼加工、</w:t>
            </w:r>
            <w:r>
              <w:rPr>
                <w:sz w:val="25"/>
                <w:szCs w:val="25"/>
              </w:rPr>
              <w:t xml:space="preserve"> </w:t>
            </w:r>
            <w:r>
              <w:rPr>
                <w:spacing w:val="-3"/>
                <w:sz w:val="25"/>
                <w:szCs w:val="25"/>
              </w:rPr>
              <w:t>生物为重点的区域性资源深加工基地，承接产业转移基地和外向型特色优势产</w:t>
            </w:r>
            <w:r>
              <w:rPr>
                <w:sz w:val="25"/>
                <w:szCs w:val="25"/>
              </w:rPr>
              <w:t xml:space="preserve">   </w:t>
            </w:r>
            <w:r>
              <w:rPr>
                <w:spacing w:val="-4"/>
                <w:sz w:val="25"/>
                <w:szCs w:val="25"/>
              </w:rPr>
              <w:t>业基地；我国城市化发展格局中特色鲜明的高原生态宜居城市群；全省跨越发</w:t>
            </w:r>
            <w:r>
              <w:rPr>
                <w:spacing w:val="3"/>
                <w:sz w:val="25"/>
                <w:szCs w:val="25"/>
              </w:rPr>
              <w:t xml:space="preserve">   </w:t>
            </w:r>
            <w:r>
              <w:rPr>
                <w:spacing w:val="-4"/>
                <w:sz w:val="25"/>
                <w:szCs w:val="25"/>
              </w:rPr>
              <w:t>展的引擎，我国西南地区重要的经济增长极。</w:t>
            </w:r>
          </w:p>
          <w:p w14:paraId="26614AC7">
            <w:pPr>
              <w:pStyle w:val="6"/>
              <w:spacing w:line="219" w:lineRule="auto"/>
              <w:ind w:left="93"/>
              <w:rPr>
                <w:sz w:val="25"/>
                <w:szCs w:val="25"/>
              </w:rPr>
            </w:pPr>
            <w:r>
              <w:rPr>
                <w:b/>
                <w:bCs/>
                <w:spacing w:val="-2"/>
                <w:sz w:val="25"/>
                <w:szCs w:val="25"/>
              </w:rPr>
              <w:t>二、云南省生态功能区划</w:t>
            </w:r>
          </w:p>
          <w:p w14:paraId="48319FE7">
            <w:pPr>
              <w:pStyle w:val="6"/>
              <w:spacing w:before="165" w:line="344" w:lineRule="auto"/>
              <w:ind w:left="99" w:firstLine="499"/>
              <w:jc w:val="both"/>
              <w:rPr>
                <w:sz w:val="25"/>
                <w:szCs w:val="25"/>
              </w:rPr>
            </w:pPr>
            <w:r>
              <w:rPr>
                <w:spacing w:val="-7"/>
                <w:sz w:val="25"/>
                <w:szCs w:val="25"/>
              </w:rPr>
              <w:t>本项目位于云南省曲靖市马龙区，对照《云南省生态功能区划》,马龙区属于</w:t>
            </w:r>
            <w:r>
              <w:rPr>
                <w:spacing w:val="6"/>
                <w:sz w:val="25"/>
                <w:szCs w:val="25"/>
              </w:rPr>
              <w:t xml:space="preserve"> </w:t>
            </w:r>
            <w:r>
              <w:rPr>
                <w:spacing w:val="-6"/>
                <w:sz w:val="25"/>
                <w:szCs w:val="25"/>
              </w:rPr>
              <w:t>Ⅲ4-4牛栏江、南盘江上游岩溶山原水源涵养生态功能区。本项</w:t>
            </w:r>
            <w:r>
              <w:rPr>
                <w:spacing w:val="-7"/>
                <w:sz w:val="25"/>
                <w:szCs w:val="25"/>
              </w:rPr>
              <w:t>目所在地的生态功</w:t>
            </w:r>
            <w:r>
              <w:rPr>
                <w:sz w:val="25"/>
                <w:szCs w:val="25"/>
              </w:rPr>
              <w:t xml:space="preserve"> </w:t>
            </w:r>
            <w:r>
              <w:rPr>
                <w:spacing w:val="1"/>
                <w:sz w:val="25"/>
                <w:szCs w:val="25"/>
              </w:rPr>
              <w:t>能区划见表3-1。</w:t>
            </w:r>
          </w:p>
          <w:p w14:paraId="48E30698">
            <w:pPr>
              <w:pStyle w:val="6"/>
              <w:spacing w:before="1" w:line="218" w:lineRule="auto"/>
              <w:ind w:left="2373"/>
              <w:rPr>
                <w:sz w:val="25"/>
                <w:szCs w:val="25"/>
              </w:rPr>
            </w:pPr>
            <w:r>
              <w:rPr>
                <w:b/>
                <w:bCs/>
                <w:spacing w:val="-4"/>
                <w:sz w:val="25"/>
                <w:szCs w:val="25"/>
              </w:rPr>
              <w:t>表3-1本项目所在地的生态功能区划</w:t>
            </w:r>
          </w:p>
          <w:p w14:paraId="64386117">
            <w:pPr>
              <w:spacing w:line="143" w:lineRule="exact"/>
            </w:pPr>
          </w:p>
          <w:tbl>
            <w:tblPr>
              <w:tblStyle w:val="5"/>
              <w:tblW w:w="8039" w:type="dxa"/>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999"/>
              <w:gridCol w:w="1008"/>
              <w:gridCol w:w="1008"/>
              <w:gridCol w:w="999"/>
              <w:gridCol w:w="1009"/>
              <w:gridCol w:w="999"/>
              <w:gridCol w:w="1013"/>
            </w:tblGrid>
            <w:tr w14:paraId="3D1A0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3011" w:type="dxa"/>
                  <w:gridSpan w:val="3"/>
                  <w:vAlign w:val="top"/>
                </w:tcPr>
                <w:p w14:paraId="11277D47">
                  <w:pPr>
                    <w:spacing w:line="373" w:lineRule="auto"/>
                    <w:rPr>
                      <w:rFonts w:ascii="Arial"/>
                      <w:sz w:val="21"/>
                    </w:rPr>
                  </w:pPr>
                </w:p>
                <w:p w14:paraId="5DE606D5">
                  <w:pPr>
                    <w:pStyle w:val="6"/>
                    <w:spacing w:before="69" w:line="220" w:lineRule="auto"/>
                    <w:ind w:left="655"/>
                    <w:rPr>
                      <w:sz w:val="21"/>
                      <w:szCs w:val="21"/>
                    </w:rPr>
                  </w:pPr>
                  <w:r>
                    <w:rPr>
                      <w:spacing w:val="-2"/>
                      <w:sz w:val="21"/>
                      <w:szCs w:val="21"/>
                    </w:rPr>
                    <w:t>生态功能分区单元</w:t>
                  </w:r>
                </w:p>
              </w:tc>
              <w:tc>
                <w:tcPr>
                  <w:tcW w:w="1008" w:type="dxa"/>
                  <w:vAlign w:val="top"/>
                </w:tcPr>
                <w:p w14:paraId="5FCB6DF6">
                  <w:pPr>
                    <w:spacing w:line="247" w:lineRule="auto"/>
                    <w:rPr>
                      <w:rFonts w:ascii="Arial"/>
                      <w:sz w:val="21"/>
                    </w:rPr>
                  </w:pPr>
                </w:p>
                <w:p w14:paraId="33B0B4EE">
                  <w:pPr>
                    <w:pStyle w:val="6"/>
                    <w:spacing w:before="68" w:line="222" w:lineRule="auto"/>
                    <w:ind w:left="183"/>
                    <w:rPr>
                      <w:sz w:val="21"/>
                      <w:szCs w:val="21"/>
                    </w:rPr>
                  </w:pPr>
                  <w:r>
                    <w:rPr>
                      <w:spacing w:val="-3"/>
                      <w:sz w:val="21"/>
                      <w:szCs w:val="21"/>
                    </w:rPr>
                    <w:t>主要生</w:t>
                  </w:r>
                </w:p>
                <w:p w14:paraId="75A5D3DB">
                  <w:pPr>
                    <w:pStyle w:val="6"/>
                    <w:spacing w:before="14" w:line="219" w:lineRule="auto"/>
                    <w:ind w:left="183"/>
                    <w:rPr>
                      <w:sz w:val="21"/>
                      <w:szCs w:val="21"/>
                    </w:rPr>
                  </w:pPr>
                  <w:r>
                    <w:rPr>
                      <w:spacing w:val="-2"/>
                      <w:sz w:val="21"/>
                      <w:szCs w:val="21"/>
                    </w:rPr>
                    <w:t>态特征</w:t>
                  </w:r>
                </w:p>
              </w:tc>
              <w:tc>
                <w:tcPr>
                  <w:tcW w:w="999" w:type="dxa"/>
                  <w:vAlign w:val="top"/>
                </w:tcPr>
                <w:p w14:paraId="5190414C">
                  <w:pPr>
                    <w:pStyle w:val="6"/>
                    <w:spacing w:before="166" w:line="222" w:lineRule="auto"/>
                    <w:ind w:left="176"/>
                    <w:rPr>
                      <w:sz w:val="21"/>
                      <w:szCs w:val="21"/>
                    </w:rPr>
                  </w:pPr>
                  <w:r>
                    <w:rPr>
                      <w:spacing w:val="-3"/>
                      <w:sz w:val="21"/>
                      <w:szCs w:val="21"/>
                    </w:rPr>
                    <w:t>主要生</w:t>
                  </w:r>
                </w:p>
                <w:p w14:paraId="60AE9D2C">
                  <w:pPr>
                    <w:pStyle w:val="6"/>
                    <w:spacing w:before="34" w:line="242" w:lineRule="auto"/>
                    <w:ind w:left="285" w:right="191" w:hanging="109"/>
                    <w:rPr>
                      <w:sz w:val="21"/>
                      <w:szCs w:val="21"/>
                    </w:rPr>
                  </w:pPr>
                  <w:r>
                    <w:rPr>
                      <w:spacing w:val="-3"/>
                      <w:sz w:val="21"/>
                      <w:szCs w:val="21"/>
                    </w:rPr>
                    <w:t>态环境</w:t>
                  </w:r>
                  <w:r>
                    <w:rPr>
                      <w:sz w:val="21"/>
                      <w:szCs w:val="21"/>
                    </w:rPr>
                    <w:t xml:space="preserve"> </w:t>
                  </w:r>
                  <w:r>
                    <w:rPr>
                      <w:spacing w:val="5"/>
                      <w:sz w:val="21"/>
                      <w:szCs w:val="21"/>
                    </w:rPr>
                    <w:t>问题</w:t>
                  </w:r>
                </w:p>
              </w:tc>
              <w:tc>
                <w:tcPr>
                  <w:tcW w:w="1009" w:type="dxa"/>
                  <w:vAlign w:val="top"/>
                </w:tcPr>
                <w:p w14:paraId="7CB87F97">
                  <w:pPr>
                    <w:pStyle w:val="6"/>
                    <w:spacing w:before="166" w:line="221" w:lineRule="auto"/>
                    <w:ind w:left="187"/>
                    <w:rPr>
                      <w:sz w:val="21"/>
                      <w:szCs w:val="21"/>
                    </w:rPr>
                  </w:pPr>
                  <w:r>
                    <w:rPr>
                      <w:spacing w:val="3"/>
                      <w:sz w:val="21"/>
                      <w:szCs w:val="21"/>
                    </w:rPr>
                    <w:t>生态环</w:t>
                  </w:r>
                </w:p>
                <w:p w14:paraId="1563DDD7">
                  <w:pPr>
                    <w:pStyle w:val="6"/>
                    <w:spacing w:before="34" w:line="242" w:lineRule="auto"/>
                    <w:ind w:left="396" w:right="191" w:hanging="209"/>
                    <w:rPr>
                      <w:sz w:val="21"/>
                      <w:szCs w:val="21"/>
                    </w:rPr>
                  </w:pPr>
                  <w:r>
                    <w:rPr>
                      <w:spacing w:val="-4"/>
                      <w:sz w:val="21"/>
                      <w:szCs w:val="21"/>
                    </w:rPr>
                    <w:t>境敏感</w:t>
                  </w:r>
                  <w:r>
                    <w:rPr>
                      <w:spacing w:val="1"/>
                      <w:sz w:val="21"/>
                      <w:szCs w:val="21"/>
                    </w:rPr>
                    <w:t xml:space="preserve"> </w:t>
                  </w:r>
                  <w:r>
                    <w:rPr>
                      <w:sz w:val="21"/>
                      <w:szCs w:val="21"/>
                    </w:rPr>
                    <w:t>性</w:t>
                  </w:r>
                </w:p>
              </w:tc>
              <w:tc>
                <w:tcPr>
                  <w:tcW w:w="999" w:type="dxa"/>
                  <w:vAlign w:val="top"/>
                </w:tcPr>
                <w:p w14:paraId="74F384D9">
                  <w:pPr>
                    <w:pStyle w:val="6"/>
                    <w:spacing w:before="36" w:line="222" w:lineRule="auto"/>
                    <w:ind w:left="177"/>
                    <w:rPr>
                      <w:sz w:val="21"/>
                      <w:szCs w:val="21"/>
                    </w:rPr>
                  </w:pPr>
                  <w:r>
                    <w:rPr>
                      <w:spacing w:val="-3"/>
                      <w:sz w:val="21"/>
                      <w:szCs w:val="21"/>
                    </w:rPr>
                    <w:t>主要生</w:t>
                  </w:r>
                </w:p>
                <w:p w14:paraId="499EE4EB">
                  <w:pPr>
                    <w:pStyle w:val="6"/>
                    <w:spacing w:before="25" w:line="221" w:lineRule="auto"/>
                    <w:ind w:left="177"/>
                    <w:rPr>
                      <w:sz w:val="21"/>
                      <w:szCs w:val="21"/>
                    </w:rPr>
                  </w:pPr>
                  <w:r>
                    <w:rPr>
                      <w:spacing w:val="-2"/>
                      <w:sz w:val="21"/>
                      <w:szCs w:val="21"/>
                    </w:rPr>
                    <w:t>态系统</w:t>
                  </w:r>
                </w:p>
                <w:p w14:paraId="78FA293E">
                  <w:pPr>
                    <w:pStyle w:val="6"/>
                    <w:spacing w:before="37" w:line="219" w:lineRule="auto"/>
                    <w:ind w:left="177"/>
                    <w:rPr>
                      <w:sz w:val="21"/>
                      <w:szCs w:val="21"/>
                    </w:rPr>
                  </w:pPr>
                  <w:r>
                    <w:rPr>
                      <w:spacing w:val="4"/>
                      <w:sz w:val="21"/>
                      <w:szCs w:val="21"/>
                    </w:rPr>
                    <w:t>服务功</w:t>
                  </w:r>
                </w:p>
                <w:p w14:paraId="2E4C39F1">
                  <w:pPr>
                    <w:pStyle w:val="6"/>
                    <w:spacing w:before="1" w:line="200" w:lineRule="auto"/>
                    <w:ind w:left="387"/>
                    <w:rPr>
                      <w:sz w:val="21"/>
                      <w:szCs w:val="21"/>
                    </w:rPr>
                  </w:pPr>
                  <w:r>
                    <w:rPr>
                      <w:sz w:val="21"/>
                      <w:szCs w:val="21"/>
                    </w:rPr>
                    <w:t>能</w:t>
                  </w:r>
                </w:p>
              </w:tc>
              <w:tc>
                <w:tcPr>
                  <w:tcW w:w="1013" w:type="dxa"/>
                  <w:vAlign w:val="top"/>
                </w:tcPr>
                <w:p w14:paraId="22FDEBD2">
                  <w:pPr>
                    <w:pStyle w:val="6"/>
                    <w:spacing w:before="165" w:line="248" w:lineRule="auto"/>
                    <w:ind w:left="189" w:right="161"/>
                    <w:jc w:val="both"/>
                    <w:rPr>
                      <w:sz w:val="21"/>
                      <w:szCs w:val="21"/>
                    </w:rPr>
                  </w:pPr>
                  <w:r>
                    <w:rPr>
                      <w:spacing w:val="3"/>
                      <w:sz w:val="21"/>
                      <w:szCs w:val="21"/>
                    </w:rPr>
                    <w:t>保护措</w:t>
                  </w:r>
                  <w:r>
                    <w:rPr>
                      <w:spacing w:val="1"/>
                      <w:sz w:val="21"/>
                      <w:szCs w:val="21"/>
                    </w:rPr>
                    <w:t xml:space="preserve"> </w:t>
                  </w:r>
                  <w:r>
                    <w:rPr>
                      <w:spacing w:val="-3"/>
                      <w:sz w:val="21"/>
                      <w:szCs w:val="21"/>
                    </w:rPr>
                    <w:t>施与发</w:t>
                  </w:r>
                  <w:r>
                    <w:rPr>
                      <w:sz w:val="21"/>
                      <w:szCs w:val="21"/>
                    </w:rPr>
                    <w:t xml:space="preserve"> </w:t>
                  </w:r>
                  <w:r>
                    <w:rPr>
                      <w:spacing w:val="7"/>
                      <w:sz w:val="21"/>
                      <w:szCs w:val="21"/>
                    </w:rPr>
                    <w:t>展方向</w:t>
                  </w:r>
                </w:p>
              </w:tc>
            </w:tr>
            <w:tr w14:paraId="19F5B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8" w:hRule="atLeast"/>
              </w:trPr>
              <w:tc>
                <w:tcPr>
                  <w:tcW w:w="1004" w:type="dxa"/>
                  <w:vAlign w:val="top"/>
                </w:tcPr>
                <w:p w14:paraId="497BFCDF">
                  <w:pPr>
                    <w:spacing w:line="319" w:lineRule="auto"/>
                    <w:rPr>
                      <w:rFonts w:ascii="Arial"/>
                      <w:sz w:val="21"/>
                    </w:rPr>
                  </w:pPr>
                </w:p>
                <w:p w14:paraId="22B9AC45">
                  <w:pPr>
                    <w:spacing w:line="320" w:lineRule="auto"/>
                    <w:rPr>
                      <w:rFonts w:ascii="Arial"/>
                      <w:sz w:val="21"/>
                    </w:rPr>
                  </w:pPr>
                </w:p>
                <w:p w14:paraId="25E2CDB9">
                  <w:pPr>
                    <w:pStyle w:val="6"/>
                    <w:spacing w:before="68" w:line="219" w:lineRule="auto"/>
                    <w:ind w:left="175"/>
                    <w:rPr>
                      <w:sz w:val="21"/>
                      <w:szCs w:val="21"/>
                    </w:rPr>
                  </w:pPr>
                  <w:r>
                    <w:rPr>
                      <w:spacing w:val="5"/>
                      <w:sz w:val="21"/>
                      <w:szCs w:val="21"/>
                    </w:rPr>
                    <w:t>Ⅲ高原</w:t>
                  </w:r>
                </w:p>
                <w:p w14:paraId="6F1E3BFD">
                  <w:pPr>
                    <w:pStyle w:val="6"/>
                    <w:spacing w:before="20" w:line="219" w:lineRule="auto"/>
                    <w:ind w:left="175"/>
                    <w:rPr>
                      <w:sz w:val="21"/>
                      <w:szCs w:val="21"/>
                    </w:rPr>
                  </w:pPr>
                  <w:r>
                    <w:rPr>
                      <w:spacing w:val="3"/>
                      <w:sz w:val="21"/>
                      <w:szCs w:val="21"/>
                    </w:rPr>
                    <w:t>亚热带</w:t>
                  </w:r>
                </w:p>
                <w:p w14:paraId="082F4492">
                  <w:pPr>
                    <w:pStyle w:val="6"/>
                    <w:spacing w:before="30" w:line="219" w:lineRule="auto"/>
                    <w:ind w:left="175"/>
                    <w:rPr>
                      <w:sz w:val="21"/>
                      <w:szCs w:val="21"/>
                    </w:rPr>
                  </w:pPr>
                  <w:r>
                    <w:rPr>
                      <w:spacing w:val="3"/>
                      <w:sz w:val="21"/>
                      <w:szCs w:val="21"/>
                    </w:rPr>
                    <w:t>北部常</w:t>
                  </w:r>
                </w:p>
                <w:p w14:paraId="4A79B590">
                  <w:pPr>
                    <w:pStyle w:val="6"/>
                    <w:spacing w:before="11" w:line="219" w:lineRule="auto"/>
                    <w:ind w:left="175"/>
                    <w:rPr>
                      <w:sz w:val="21"/>
                      <w:szCs w:val="21"/>
                    </w:rPr>
                  </w:pPr>
                  <w:r>
                    <w:rPr>
                      <w:spacing w:val="3"/>
                      <w:sz w:val="21"/>
                      <w:szCs w:val="21"/>
                    </w:rPr>
                    <w:t>绿阔叶</w:t>
                  </w:r>
                </w:p>
                <w:p w14:paraId="07875C32">
                  <w:pPr>
                    <w:pStyle w:val="6"/>
                    <w:spacing w:before="31" w:line="219" w:lineRule="auto"/>
                    <w:ind w:left="175"/>
                    <w:rPr>
                      <w:sz w:val="21"/>
                      <w:szCs w:val="21"/>
                    </w:rPr>
                  </w:pPr>
                  <w:r>
                    <w:rPr>
                      <w:spacing w:val="-3"/>
                      <w:sz w:val="21"/>
                      <w:szCs w:val="21"/>
                    </w:rPr>
                    <w:t>林生态</w:t>
                  </w:r>
                </w:p>
                <w:p w14:paraId="02685854">
                  <w:pPr>
                    <w:pStyle w:val="6"/>
                    <w:spacing w:before="27" w:line="224" w:lineRule="auto"/>
                    <w:ind w:left="385"/>
                    <w:rPr>
                      <w:sz w:val="21"/>
                      <w:szCs w:val="21"/>
                    </w:rPr>
                  </w:pPr>
                  <w:r>
                    <w:rPr>
                      <w:sz w:val="21"/>
                      <w:szCs w:val="21"/>
                    </w:rPr>
                    <w:t>区</w:t>
                  </w:r>
                </w:p>
              </w:tc>
              <w:tc>
                <w:tcPr>
                  <w:tcW w:w="999" w:type="dxa"/>
                  <w:vAlign w:val="top"/>
                </w:tcPr>
                <w:p w14:paraId="253661B1">
                  <w:pPr>
                    <w:spacing w:line="250" w:lineRule="auto"/>
                    <w:rPr>
                      <w:rFonts w:ascii="Arial"/>
                      <w:sz w:val="21"/>
                    </w:rPr>
                  </w:pPr>
                </w:p>
                <w:p w14:paraId="59235E33">
                  <w:pPr>
                    <w:spacing w:line="250" w:lineRule="auto"/>
                    <w:rPr>
                      <w:rFonts w:ascii="Arial"/>
                      <w:sz w:val="21"/>
                    </w:rPr>
                  </w:pPr>
                </w:p>
                <w:p w14:paraId="10A33584">
                  <w:pPr>
                    <w:pStyle w:val="6"/>
                    <w:spacing w:before="69" w:line="239" w:lineRule="auto"/>
                    <w:ind w:left="91" w:right="75" w:firstLine="30"/>
                    <w:rPr>
                      <w:sz w:val="21"/>
                      <w:szCs w:val="21"/>
                    </w:rPr>
                  </w:pPr>
                  <w:r>
                    <w:rPr>
                      <w:spacing w:val="3"/>
                      <w:sz w:val="21"/>
                      <w:szCs w:val="21"/>
                    </w:rPr>
                    <w:t>Ⅲ4滇东</w:t>
                  </w:r>
                  <w:r>
                    <w:rPr>
                      <w:sz w:val="21"/>
                      <w:szCs w:val="21"/>
                    </w:rPr>
                    <w:t xml:space="preserve"> </w:t>
                  </w:r>
                  <w:r>
                    <w:rPr>
                      <w:spacing w:val="-18"/>
                      <w:sz w:val="21"/>
                      <w:szCs w:val="21"/>
                    </w:rPr>
                    <w:t>北</w:t>
                  </w:r>
                  <w:r>
                    <w:rPr>
                      <w:spacing w:val="11"/>
                      <w:sz w:val="21"/>
                      <w:szCs w:val="21"/>
                    </w:rPr>
                    <w:t xml:space="preserve"> </w:t>
                  </w:r>
                  <w:r>
                    <w:rPr>
                      <w:spacing w:val="-18"/>
                      <w:sz w:val="21"/>
                      <w:szCs w:val="21"/>
                    </w:rPr>
                    <w:t>高</w:t>
                  </w:r>
                  <w:r>
                    <w:rPr>
                      <w:spacing w:val="25"/>
                      <w:sz w:val="21"/>
                      <w:szCs w:val="21"/>
                    </w:rPr>
                    <w:t xml:space="preserve"> </w:t>
                  </w:r>
                  <w:r>
                    <w:rPr>
                      <w:spacing w:val="-18"/>
                      <w:sz w:val="21"/>
                      <w:szCs w:val="21"/>
                    </w:rPr>
                    <w:t>中</w:t>
                  </w:r>
                </w:p>
                <w:p w14:paraId="4DD48036">
                  <w:pPr>
                    <w:pStyle w:val="6"/>
                    <w:spacing w:before="6" w:line="241" w:lineRule="auto"/>
                    <w:ind w:left="70" w:firstLine="19"/>
                    <w:jc w:val="both"/>
                    <w:rPr>
                      <w:sz w:val="21"/>
                      <w:szCs w:val="21"/>
                    </w:rPr>
                  </w:pPr>
                  <w:r>
                    <w:rPr>
                      <w:spacing w:val="-24"/>
                      <w:sz w:val="21"/>
                      <w:szCs w:val="21"/>
                    </w:rPr>
                    <w:t>山</w:t>
                  </w:r>
                  <w:r>
                    <w:rPr>
                      <w:spacing w:val="10"/>
                      <w:sz w:val="21"/>
                      <w:szCs w:val="21"/>
                    </w:rPr>
                    <w:t xml:space="preserve"> </w:t>
                  </w:r>
                  <w:r>
                    <w:rPr>
                      <w:spacing w:val="-24"/>
                      <w:sz w:val="21"/>
                      <w:szCs w:val="21"/>
                    </w:rPr>
                    <w:t>暖</w:t>
                  </w:r>
                  <w:r>
                    <w:rPr>
                      <w:spacing w:val="6"/>
                      <w:sz w:val="21"/>
                      <w:szCs w:val="21"/>
                    </w:rPr>
                    <w:t xml:space="preserve"> </w:t>
                  </w:r>
                  <w:r>
                    <w:rPr>
                      <w:spacing w:val="-24"/>
                      <w:sz w:val="21"/>
                      <w:szCs w:val="21"/>
                    </w:rPr>
                    <w:t>性</w:t>
                  </w:r>
                  <w:r>
                    <w:rPr>
                      <w:sz w:val="21"/>
                      <w:szCs w:val="21"/>
                    </w:rPr>
                    <w:t xml:space="preserve">  </w:t>
                  </w:r>
                  <w:r>
                    <w:rPr>
                      <w:spacing w:val="19"/>
                      <w:sz w:val="21"/>
                      <w:szCs w:val="21"/>
                    </w:rPr>
                    <w:t>针叶林、</w:t>
                  </w:r>
                  <w:r>
                    <w:rPr>
                      <w:spacing w:val="1"/>
                      <w:sz w:val="21"/>
                      <w:szCs w:val="21"/>
                    </w:rPr>
                    <w:t xml:space="preserve"> </w:t>
                  </w:r>
                  <w:r>
                    <w:rPr>
                      <w:spacing w:val="-16"/>
                      <w:sz w:val="21"/>
                      <w:szCs w:val="21"/>
                    </w:rPr>
                    <w:t>亚</w:t>
                  </w:r>
                  <w:r>
                    <w:rPr>
                      <w:spacing w:val="8"/>
                      <w:sz w:val="21"/>
                      <w:szCs w:val="21"/>
                    </w:rPr>
                    <w:t xml:space="preserve"> </w:t>
                  </w:r>
                  <w:r>
                    <w:rPr>
                      <w:spacing w:val="-16"/>
                      <w:sz w:val="21"/>
                      <w:szCs w:val="21"/>
                    </w:rPr>
                    <w:t>高</w:t>
                  </w:r>
                  <w:r>
                    <w:rPr>
                      <w:spacing w:val="21"/>
                      <w:sz w:val="21"/>
                      <w:szCs w:val="21"/>
                    </w:rPr>
                    <w:t xml:space="preserve"> </w:t>
                  </w:r>
                  <w:r>
                    <w:rPr>
                      <w:spacing w:val="-16"/>
                      <w:sz w:val="21"/>
                      <w:szCs w:val="21"/>
                    </w:rPr>
                    <w:t>山</w:t>
                  </w:r>
                  <w:r>
                    <w:rPr>
                      <w:sz w:val="21"/>
                      <w:szCs w:val="21"/>
                    </w:rPr>
                    <w:t xml:space="preserve">  </w:t>
                  </w:r>
                  <w:r>
                    <w:rPr>
                      <w:spacing w:val="-4"/>
                      <w:sz w:val="21"/>
                      <w:szCs w:val="21"/>
                    </w:rPr>
                    <w:t>草 甸 生</w:t>
                  </w:r>
                </w:p>
                <w:p w14:paraId="22081507">
                  <w:pPr>
                    <w:pStyle w:val="6"/>
                    <w:spacing w:before="8" w:line="224" w:lineRule="auto"/>
                    <w:ind w:left="171"/>
                    <w:rPr>
                      <w:sz w:val="21"/>
                      <w:szCs w:val="21"/>
                    </w:rPr>
                  </w:pPr>
                  <w:r>
                    <w:rPr>
                      <w:spacing w:val="6"/>
                      <w:sz w:val="21"/>
                      <w:szCs w:val="21"/>
                    </w:rPr>
                    <w:t>态亚区</w:t>
                  </w:r>
                </w:p>
              </w:tc>
              <w:tc>
                <w:tcPr>
                  <w:tcW w:w="1008" w:type="dxa"/>
                  <w:vAlign w:val="top"/>
                </w:tcPr>
                <w:p w14:paraId="2F488380">
                  <w:pPr>
                    <w:spacing w:line="372" w:lineRule="auto"/>
                    <w:rPr>
                      <w:rFonts w:ascii="Arial"/>
                      <w:sz w:val="21"/>
                    </w:rPr>
                  </w:pPr>
                </w:p>
                <w:p w14:paraId="4B3DD397">
                  <w:pPr>
                    <w:pStyle w:val="6"/>
                    <w:spacing w:before="68" w:line="221" w:lineRule="auto"/>
                    <w:ind w:left="72"/>
                    <w:rPr>
                      <w:sz w:val="21"/>
                      <w:szCs w:val="21"/>
                    </w:rPr>
                  </w:pPr>
                  <w:r>
                    <w:rPr>
                      <w:spacing w:val="-2"/>
                      <w:sz w:val="21"/>
                      <w:szCs w:val="21"/>
                    </w:rPr>
                    <w:t>ⅢI4-4牛</w:t>
                  </w:r>
                </w:p>
                <w:p w14:paraId="5C3DBF76">
                  <w:pPr>
                    <w:pStyle w:val="6"/>
                    <w:spacing w:before="18" w:line="220" w:lineRule="auto"/>
                    <w:ind w:left="72"/>
                    <w:rPr>
                      <w:sz w:val="21"/>
                      <w:szCs w:val="21"/>
                    </w:rPr>
                  </w:pPr>
                  <w:r>
                    <w:rPr>
                      <w:spacing w:val="-2"/>
                      <w:sz w:val="21"/>
                      <w:szCs w:val="21"/>
                    </w:rPr>
                    <w:t>栏江、南</w:t>
                  </w:r>
                </w:p>
                <w:p w14:paraId="18DE8BE6">
                  <w:pPr>
                    <w:pStyle w:val="6"/>
                    <w:spacing w:before="36" w:line="227" w:lineRule="auto"/>
                    <w:ind w:left="182"/>
                    <w:rPr>
                      <w:sz w:val="21"/>
                      <w:szCs w:val="21"/>
                    </w:rPr>
                  </w:pPr>
                  <w:r>
                    <w:rPr>
                      <w:spacing w:val="-2"/>
                      <w:sz w:val="21"/>
                      <w:szCs w:val="21"/>
                    </w:rPr>
                    <w:t>盘江上</w:t>
                  </w:r>
                </w:p>
                <w:p w14:paraId="7F0042F8">
                  <w:pPr>
                    <w:pStyle w:val="6"/>
                    <w:spacing w:before="5" w:line="243" w:lineRule="auto"/>
                    <w:ind w:left="182" w:right="172"/>
                    <w:jc w:val="both"/>
                    <w:rPr>
                      <w:sz w:val="21"/>
                      <w:szCs w:val="21"/>
                    </w:rPr>
                  </w:pPr>
                  <w:r>
                    <w:rPr>
                      <w:spacing w:val="-3"/>
                      <w:sz w:val="21"/>
                      <w:szCs w:val="21"/>
                    </w:rPr>
                    <w:t>游岩溶</w:t>
                  </w:r>
                  <w:r>
                    <w:rPr>
                      <w:sz w:val="21"/>
                      <w:szCs w:val="21"/>
                    </w:rPr>
                    <w:t xml:space="preserve"> </w:t>
                  </w:r>
                  <w:r>
                    <w:rPr>
                      <w:spacing w:val="3"/>
                      <w:sz w:val="21"/>
                      <w:szCs w:val="21"/>
                    </w:rPr>
                    <w:t>山原水</w:t>
                  </w:r>
                  <w:r>
                    <w:rPr>
                      <w:sz w:val="21"/>
                      <w:szCs w:val="21"/>
                    </w:rPr>
                    <w:t xml:space="preserve"> </w:t>
                  </w:r>
                  <w:r>
                    <w:rPr>
                      <w:spacing w:val="-3"/>
                      <w:sz w:val="21"/>
                      <w:szCs w:val="21"/>
                    </w:rPr>
                    <w:t>源涵养</w:t>
                  </w:r>
                  <w:r>
                    <w:rPr>
                      <w:sz w:val="21"/>
                      <w:szCs w:val="21"/>
                    </w:rPr>
                    <w:t xml:space="preserve"> </w:t>
                  </w:r>
                  <w:r>
                    <w:rPr>
                      <w:spacing w:val="4"/>
                      <w:sz w:val="21"/>
                      <w:szCs w:val="21"/>
                    </w:rPr>
                    <w:t>生态功</w:t>
                  </w:r>
                  <w:r>
                    <w:rPr>
                      <w:sz w:val="21"/>
                      <w:szCs w:val="21"/>
                    </w:rPr>
                    <w:t xml:space="preserve"> </w:t>
                  </w:r>
                  <w:r>
                    <w:rPr>
                      <w:spacing w:val="29"/>
                      <w:w w:val="114"/>
                      <w:sz w:val="21"/>
                      <w:szCs w:val="21"/>
                    </w:rPr>
                    <w:t>能区</w:t>
                  </w:r>
                </w:p>
              </w:tc>
              <w:tc>
                <w:tcPr>
                  <w:tcW w:w="1008" w:type="dxa"/>
                  <w:vAlign w:val="top"/>
                </w:tcPr>
                <w:p w14:paraId="3A6AF72C">
                  <w:pPr>
                    <w:spacing w:line="382" w:lineRule="auto"/>
                    <w:rPr>
                      <w:rFonts w:ascii="Arial"/>
                      <w:sz w:val="21"/>
                    </w:rPr>
                  </w:pPr>
                </w:p>
                <w:p w14:paraId="592715FB">
                  <w:pPr>
                    <w:pStyle w:val="6"/>
                    <w:spacing w:before="68" w:line="221" w:lineRule="auto"/>
                    <w:ind w:left="74"/>
                    <w:rPr>
                      <w:sz w:val="21"/>
                      <w:szCs w:val="21"/>
                    </w:rPr>
                  </w:pPr>
                  <w:r>
                    <w:rPr>
                      <w:spacing w:val="-2"/>
                      <w:sz w:val="21"/>
                      <w:szCs w:val="21"/>
                    </w:rPr>
                    <w:t>ⅢI4-4牛</w:t>
                  </w:r>
                </w:p>
                <w:p w14:paraId="5370CE43">
                  <w:pPr>
                    <w:pStyle w:val="6"/>
                    <w:spacing w:before="18" w:line="220" w:lineRule="auto"/>
                    <w:ind w:left="74"/>
                    <w:rPr>
                      <w:sz w:val="21"/>
                      <w:szCs w:val="21"/>
                    </w:rPr>
                  </w:pPr>
                  <w:r>
                    <w:rPr>
                      <w:spacing w:val="-2"/>
                      <w:sz w:val="21"/>
                      <w:szCs w:val="21"/>
                    </w:rPr>
                    <w:t>栏江、南</w:t>
                  </w:r>
                </w:p>
                <w:p w14:paraId="5BEA019B">
                  <w:pPr>
                    <w:pStyle w:val="6"/>
                    <w:spacing w:before="36" w:line="227" w:lineRule="auto"/>
                    <w:ind w:left="183"/>
                    <w:rPr>
                      <w:sz w:val="21"/>
                      <w:szCs w:val="21"/>
                    </w:rPr>
                  </w:pPr>
                  <w:r>
                    <w:rPr>
                      <w:spacing w:val="-2"/>
                      <w:sz w:val="21"/>
                      <w:szCs w:val="21"/>
                    </w:rPr>
                    <w:t>盘江上</w:t>
                  </w:r>
                </w:p>
                <w:p w14:paraId="2334D846">
                  <w:pPr>
                    <w:pStyle w:val="6"/>
                    <w:spacing w:before="4" w:line="241" w:lineRule="auto"/>
                    <w:ind w:left="183" w:right="170"/>
                    <w:jc w:val="both"/>
                    <w:rPr>
                      <w:sz w:val="21"/>
                      <w:szCs w:val="21"/>
                    </w:rPr>
                  </w:pPr>
                  <w:r>
                    <w:rPr>
                      <w:spacing w:val="-3"/>
                      <w:sz w:val="21"/>
                      <w:szCs w:val="21"/>
                    </w:rPr>
                    <w:t>游岩溶</w:t>
                  </w:r>
                  <w:r>
                    <w:rPr>
                      <w:sz w:val="21"/>
                      <w:szCs w:val="21"/>
                    </w:rPr>
                    <w:t xml:space="preserve"> </w:t>
                  </w:r>
                  <w:r>
                    <w:rPr>
                      <w:spacing w:val="3"/>
                      <w:sz w:val="21"/>
                      <w:szCs w:val="21"/>
                    </w:rPr>
                    <w:t>山原水</w:t>
                  </w:r>
                  <w:r>
                    <w:rPr>
                      <w:sz w:val="21"/>
                      <w:szCs w:val="21"/>
                    </w:rPr>
                    <w:t xml:space="preserve"> </w:t>
                  </w:r>
                  <w:r>
                    <w:rPr>
                      <w:spacing w:val="-3"/>
                      <w:sz w:val="21"/>
                      <w:szCs w:val="21"/>
                    </w:rPr>
                    <w:t>源涵养</w:t>
                  </w:r>
                  <w:r>
                    <w:rPr>
                      <w:sz w:val="21"/>
                      <w:szCs w:val="21"/>
                    </w:rPr>
                    <w:t xml:space="preserve"> </w:t>
                  </w:r>
                  <w:r>
                    <w:rPr>
                      <w:spacing w:val="4"/>
                      <w:sz w:val="21"/>
                      <w:szCs w:val="21"/>
                    </w:rPr>
                    <w:t>生态功</w:t>
                  </w:r>
                  <w:r>
                    <w:rPr>
                      <w:sz w:val="21"/>
                      <w:szCs w:val="21"/>
                    </w:rPr>
                    <w:t xml:space="preserve"> </w:t>
                  </w:r>
                  <w:r>
                    <w:rPr>
                      <w:spacing w:val="29"/>
                      <w:w w:val="114"/>
                      <w:sz w:val="21"/>
                      <w:szCs w:val="21"/>
                    </w:rPr>
                    <w:t>能区</w:t>
                  </w:r>
                </w:p>
              </w:tc>
              <w:tc>
                <w:tcPr>
                  <w:tcW w:w="999" w:type="dxa"/>
                  <w:vAlign w:val="top"/>
                </w:tcPr>
                <w:p w14:paraId="50F572BE">
                  <w:pPr>
                    <w:spacing w:line="311" w:lineRule="auto"/>
                    <w:rPr>
                      <w:rFonts w:ascii="Arial"/>
                      <w:sz w:val="21"/>
                    </w:rPr>
                  </w:pPr>
                </w:p>
                <w:p w14:paraId="41E5B5A3">
                  <w:pPr>
                    <w:spacing w:line="312" w:lineRule="auto"/>
                    <w:rPr>
                      <w:rFonts w:ascii="Arial"/>
                      <w:sz w:val="21"/>
                    </w:rPr>
                  </w:pPr>
                </w:p>
                <w:p w14:paraId="68B44D32">
                  <w:pPr>
                    <w:spacing w:line="312" w:lineRule="auto"/>
                    <w:rPr>
                      <w:rFonts w:ascii="Arial"/>
                      <w:sz w:val="21"/>
                    </w:rPr>
                  </w:pPr>
                </w:p>
                <w:p w14:paraId="7BBF870A">
                  <w:pPr>
                    <w:pStyle w:val="6"/>
                    <w:spacing w:before="68" w:line="235" w:lineRule="auto"/>
                    <w:ind w:left="76" w:firstLine="19"/>
                    <w:jc w:val="both"/>
                    <w:rPr>
                      <w:sz w:val="21"/>
                      <w:szCs w:val="21"/>
                    </w:rPr>
                  </w:pPr>
                  <w:r>
                    <w:rPr>
                      <w:spacing w:val="-12"/>
                      <w:sz w:val="21"/>
                      <w:szCs w:val="21"/>
                    </w:rPr>
                    <w:t>土 地 垦</w:t>
                  </w:r>
                  <w:r>
                    <w:rPr>
                      <w:sz w:val="21"/>
                      <w:szCs w:val="21"/>
                    </w:rPr>
                    <w:t xml:space="preserve">  </w:t>
                  </w:r>
                  <w:r>
                    <w:rPr>
                      <w:spacing w:val="18"/>
                      <w:sz w:val="21"/>
                      <w:szCs w:val="21"/>
                    </w:rPr>
                    <w:t>殖过度、</w:t>
                  </w:r>
                  <w:r>
                    <w:rPr>
                      <w:sz w:val="21"/>
                      <w:szCs w:val="21"/>
                    </w:rPr>
                    <w:t xml:space="preserve"> </w:t>
                  </w:r>
                  <w:r>
                    <w:rPr>
                      <w:spacing w:val="-1"/>
                      <w:sz w:val="21"/>
                      <w:szCs w:val="21"/>
                    </w:rPr>
                    <w:t>森</w:t>
                  </w:r>
                  <w:r>
                    <w:rPr>
                      <w:spacing w:val="-16"/>
                      <w:sz w:val="21"/>
                      <w:szCs w:val="21"/>
                    </w:rPr>
                    <w:t xml:space="preserve"> </w:t>
                  </w:r>
                  <w:r>
                    <w:rPr>
                      <w:spacing w:val="-1"/>
                      <w:sz w:val="21"/>
                      <w:szCs w:val="21"/>
                    </w:rPr>
                    <w:t>林</w:t>
                  </w:r>
                  <w:r>
                    <w:rPr>
                      <w:spacing w:val="-16"/>
                      <w:sz w:val="21"/>
                      <w:szCs w:val="21"/>
                    </w:rPr>
                    <w:t xml:space="preserve"> </w:t>
                  </w:r>
                  <w:r>
                    <w:rPr>
                      <w:spacing w:val="-1"/>
                      <w:sz w:val="21"/>
                      <w:szCs w:val="21"/>
                    </w:rPr>
                    <w:t>退</w:t>
                  </w:r>
                </w:p>
                <w:p w14:paraId="40611208">
                  <w:pPr>
                    <w:pStyle w:val="6"/>
                    <w:spacing w:line="220" w:lineRule="auto"/>
                    <w:ind w:left="176"/>
                    <w:rPr>
                      <w:sz w:val="21"/>
                      <w:szCs w:val="21"/>
                    </w:rPr>
                  </w:pPr>
                  <w:r>
                    <w:rPr>
                      <w:spacing w:val="-3"/>
                      <w:sz w:val="21"/>
                      <w:szCs w:val="21"/>
                    </w:rPr>
                    <w:t>化严重</w:t>
                  </w:r>
                </w:p>
              </w:tc>
              <w:tc>
                <w:tcPr>
                  <w:tcW w:w="1009" w:type="dxa"/>
                  <w:vAlign w:val="top"/>
                </w:tcPr>
                <w:p w14:paraId="3FBD0F19">
                  <w:pPr>
                    <w:spacing w:line="325" w:lineRule="auto"/>
                    <w:rPr>
                      <w:rFonts w:ascii="Arial"/>
                      <w:sz w:val="21"/>
                    </w:rPr>
                  </w:pPr>
                </w:p>
                <w:p w14:paraId="629EBD6B">
                  <w:pPr>
                    <w:spacing w:line="326" w:lineRule="auto"/>
                    <w:rPr>
                      <w:rFonts w:ascii="Arial"/>
                      <w:sz w:val="21"/>
                    </w:rPr>
                  </w:pPr>
                </w:p>
                <w:p w14:paraId="0E4A71FF">
                  <w:pPr>
                    <w:pStyle w:val="6"/>
                    <w:spacing w:before="68" w:line="239" w:lineRule="auto"/>
                    <w:ind w:left="76" w:right="89" w:firstLine="20"/>
                    <w:jc w:val="both"/>
                    <w:rPr>
                      <w:sz w:val="21"/>
                      <w:szCs w:val="21"/>
                    </w:rPr>
                  </w:pPr>
                  <w:r>
                    <w:rPr>
                      <w:spacing w:val="-7"/>
                      <w:sz w:val="21"/>
                      <w:szCs w:val="21"/>
                    </w:rPr>
                    <w:t>石 漠 化</w:t>
                  </w:r>
                  <w:r>
                    <w:rPr>
                      <w:spacing w:val="3"/>
                      <w:sz w:val="21"/>
                      <w:szCs w:val="21"/>
                    </w:rPr>
                    <w:t xml:space="preserve"> </w:t>
                  </w:r>
                  <w:r>
                    <w:rPr>
                      <w:spacing w:val="-8"/>
                      <w:sz w:val="21"/>
                      <w:szCs w:val="21"/>
                    </w:rPr>
                    <w:t>高</w:t>
                  </w:r>
                  <w:r>
                    <w:rPr>
                      <w:spacing w:val="23"/>
                      <w:sz w:val="21"/>
                      <w:szCs w:val="21"/>
                    </w:rPr>
                    <w:t xml:space="preserve"> </w:t>
                  </w:r>
                  <w:r>
                    <w:rPr>
                      <w:spacing w:val="-8"/>
                      <w:sz w:val="21"/>
                      <w:szCs w:val="21"/>
                    </w:rPr>
                    <w:t>中 度</w:t>
                  </w:r>
                  <w:r>
                    <w:rPr>
                      <w:sz w:val="21"/>
                      <w:szCs w:val="21"/>
                    </w:rPr>
                    <w:t xml:space="preserve"> </w:t>
                  </w:r>
                  <w:r>
                    <w:rPr>
                      <w:spacing w:val="-3"/>
                      <w:sz w:val="21"/>
                      <w:szCs w:val="21"/>
                    </w:rPr>
                    <w:t>敏感、土</w:t>
                  </w:r>
                  <w:r>
                    <w:rPr>
                      <w:spacing w:val="1"/>
                      <w:sz w:val="21"/>
                      <w:szCs w:val="21"/>
                    </w:rPr>
                    <w:t xml:space="preserve"> </w:t>
                  </w:r>
                  <w:r>
                    <w:rPr>
                      <w:spacing w:val="-3"/>
                      <w:sz w:val="21"/>
                      <w:szCs w:val="21"/>
                    </w:rPr>
                    <w:t>壤 侵 蚀</w:t>
                  </w:r>
                </w:p>
                <w:p w14:paraId="04460BF6">
                  <w:pPr>
                    <w:pStyle w:val="6"/>
                    <w:spacing w:line="246" w:lineRule="auto"/>
                    <w:ind w:left="106" w:right="93" w:hanging="10"/>
                    <w:rPr>
                      <w:sz w:val="21"/>
                      <w:szCs w:val="21"/>
                    </w:rPr>
                  </w:pPr>
                  <w:r>
                    <w:rPr>
                      <w:spacing w:val="-15"/>
                      <w:sz w:val="21"/>
                      <w:szCs w:val="21"/>
                    </w:rPr>
                    <w:t>中</w:t>
                  </w:r>
                  <w:r>
                    <w:rPr>
                      <w:spacing w:val="5"/>
                      <w:sz w:val="21"/>
                      <w:szCs w:val="21"/>
                    </w:rPr>
                    <w:t xml:space="preserve"> </w:t>
                  </w:r>
                  <w:r>
                    <w:rPr>
                      <w:spacing w:val="-15"/>
                      <w:sz w:val="21"/>
                      <w:szCs w:val="21"/>
                    </w:rPr>
                    <w:t>度</w:t>
                  </w:r>
                  <w:r>
                    <w:rPr>
                      <w:spacing w:val="7"/>
                      <w:sz w:val="21"/>
                      <w:szCs w:val="21"/>
                    </w:rPr>
                    <w:t xml:space="preserve"> </w:t>
                  </w:r>
                  <w:r>
                    <w:rPr>
                      <w:spacing w:val="-15"/>
                      <w:sz w:val="21"/>
                      <w:szCs w:val="21"/>
                    </w:rPr>
                    <w:t>敏</w:t>
                  </w:r>
                  <w:r>
                    <w:rPr>
                      <w:sz w:val="21"/>
                      <w:szCs w:val="21"/>
                    </w:rPr>
                    <w:t xml:space="preserve"> 感</w:t>
                  </w:r>
                </w:p>
              </w:tc>
              <w:tc>
                <w:tcPr>
                  <w:tcW w:w="999" w:type="dxa"/>
                  <w:vAlign w:val="top"/>
                </w:tcPr>
                <w:p w14:paraId="532EC551">
                  <w:pPr>
                    <w:spacing w:line="324" w:lineRule="auto"/>
                    <w:rPr>
                      <w:rFonts w:ascii="Arial"/>
                      <w:sz w:val="21"/>
                    </w:rPr>
                  </w:pPr>
                </w:p>
                <w:p w14:paraId="04143641">
                  <w:pPr>
                    <w:spacing w:line="325" w:lineRule="auto"/>
                    <w:rPr>
                      <w:rFonts w:ascii="Arial"/>
                      <w:sz w:val="21"/>
                    </w:rPr>
                  </w:pPr>
                </w:p>
                <w:p w14:paraId="32ADCB6B">
                  <w:pPr>
                    <w:pStyle w:val="6"/>
                    <w:spacing w:before="68" w:line="242" w:lineRule="auto"/>
                    <w:ind w:left="87" w:hanging="9"/>
                    <w:rPr>
                      <w:sz w:val="21"/>
                      <w:szCs w:val="21"/>
                    </w:rPr>
                  </w:pPr>
                  <w:r>
                    <w:rPr>
                      <w:spacing w:val="6"/>
                      <w:sz w:val="21"/>
                      <w:szCs w:val="21"/>
                    </w:rPr>
                    <w:t>牛栏江</w:t>
                  </w:r>
                  <w:r>
                    <w:rPr>
                      <w:spacing w:val="-59"/>
                      <w:sz w:val="21"/>
                      <w:szCs w:val="21"/>
                    </w:rPr>
                    <w:t xml:space="preserve"> </w:t>
                  </w:r>
                  <w:r>
                    <w:rPr>
                      <w:spacing w:val="6"/>
                      <w:sz w:val="21"/>
                      <w:szCs w:val="21"/>
                    </w:rPr>
                    <w:t>、</w:t>
                  </w:r>
                  <w:r>
                    <w:rPr>
                      <w:sz w:val="21"/>
                      <w:szCs w:val="21"/>
                    </w:rPr>
                    <w:t xml:space="preserve"> </w:t>
                  </w:r>
                  <w:r>
                    <w:rPr>
                      <w:spacing w:val="-12"/>
                      <w:sz w:val="21"/>
                      <w:szCs w:val="21"/>
                    </w:rPr>
                    <w:t>南</w:t>
                  </w:r>
                  <w:r>
                    <w:rPr>
                      <w:spacing w:val="5"/>
                      <w:sz w:val="21"/>
                      <w:szCs w:val="21"/>
                    </w:rPr>
                    <w:t xml:space="preserve"> </w:t>
                  </w:r>
                  <w:r>
                    <w:rPr>
                      <w:spacing w:val="-12"/>
                      <w:sz w:val="21"/>
                      <w:szCs w:val="21"/>
                    </w:rPr>
                    <w:t>盘</w:t>
                  </w:r>
                  <w:r>
                    <w:rPr>
                      <w:spacing w:val="4"/>
                      <w:sz w:val="21"/>
                      <w:szCs w:val="21"/>
                    </w:rPr>
                    <w:t xml:space="preserve"> </w:t>
                  </w:r>
                  <w:r>
                    <w:rPr>
                      <w:spacing w:val="-12"/>
                      <w:sz w:val="21"/>
                      <w:szCs w:val="21"/>
                    </w:rPr>
                    <w:t>江</w:t>
                  </w:r>
                </w:p>
                <w:p w14:paraId="43B04BA4">
                  <w:pPr>
                    <w:pStyle w:val="6"/>
                    <w:spacing w:line="220" w:lineRule="auto"/>
                    <w:ind w:left="98"/>
                    <w:rPr>
                      <w:sz w:val="21"/>
                      <w:szCs w:val="21"/>
                    </w:rPr>
                  </w:pPr>
                  <w:r>
                    <w:rPr>
                      <w:spacing w:val="-5"/>
                      <w:sz w:val="21"/>
                      <w:szCs w:val="21"/>
                    </w:rPr>
                    <w:t>上 游 岩</w:t>
                  </w:r>
                </w:p>
                <w:p w14:paraId="7B841EA7">
                  <w:pPr>
                    <w:pStyle w:val="6"/>
                    <w:spacing w:before="20" w:line="221" w:lineRule="auto"/>
                    <w:ind w:left="98"/>
                    <w:rPr>
                      <w:sz w:val="21"/>
                      <w:szCs w:val="21"/>
                    </w:rPr>
                  </w:pPr>
                  <w:r>
                    <w:rPr>
                      <w:spacing w:val="-5"/>
                      <w:sz w:val="21"/>
                      <w:szCs w:val="21"/>
                    </w:rPr>
                    <w:t>溶 地</w:t>
                  </w:r>
                  <w:r>
                    <w:rPr>
                      <w:spacing w:val="20"/>
                      <w:sz w:val="21"/>
                      <w:szCs w:val="21"/>
                    </w:rPr>
                    <w:t xml:space="preserve"> </w:t>
                  </w:r>
                  <w:r>
                    <w:rPr>
                      <w:spacing w:val="-5"/>
                      <w:sz w:val="21"/>
                      <w:szCs w:val="21"/>
                    </w:rPr>
                    <w:t>区</w:t>
                  </w:r>
                </w:p>
                <w:p w14:paraId="46899980">
                  <w:pPr>
                    <w:pStyle w:val="6"/>
                    <w:spacing w:before="17" w:line="248" w:lineRule="auto"/>
                    <w:ind w:left="108" w:right="81" w:hanging="10"/>
                    <w:rPr>
                      <w:sz w:val="21"/>
                      <w:szCs w:val="21"/>
                    </w:rPr>
                  </w:pPr>
                  <w:r>
                    <w:rPr>
                      <w:spacing w:val="-15"/>
                      <w:sz w:val="21"/>
                      <w:szCs w:val="21"/>
                    </w:rPr>
                    <w:t>的</w:t>
                  </w:r>
                  <w:r>
                    <w:rPr>
                      <w:spacing w:val="8"/>
                      <w:sz w:val="21"/>
                      <w:szCs w:val="21"/>
                    </w:rPr>
                    <w:t xml:space="preserve"> </w:t>
                  </w:r>
                  <w:r>
                    <w:rPr>
                      <w:spacing w:val="-15"/>
                      <w:sz w:val="21"/>
                      <w:szCs w:val="21"/>
                    </w:rPr>
                    <w:t>水</w:t>
                  </w:r>
                  <w:r>
                    <w:rPr>
                      <w:spacing w:val="5"/>
                      <w:sz w:val="21"/>
                      <w:szCs w:val="21"/>
                    </w:rPr>
                    <w:t xml:space="preserve"> </w:t>
                  </w:r>
                  <w:r>
                    <w:rPr>
                      <w:spacing w:val="-15"/>
                      <w:sz w:val="21"/>
                      <w:szCs w:val="21"/>
                    </w:rPr>
                    <w:t>源</w:t>
                  </w:r>
                  <w:r>
                    <w:rPr>
                      <w:sz w:val="21"/>
                      <w:szCs w:val="21"/>
                    </w:rPr>
                    <w:t xml:space="preserve"> </w:t>
                  </w:r>
                  <w:r>
                    <w:rPr>
                      <w:spacing w:val="-3"/>
                      <w:sz w:val="21"/>
                      <w:szCs w:val="21"/>
                    </w:rPr>
                    <w:t>涵养</w:t>
                  </w:r>
                </w:p>
              </w:tc>
              <w:tc>
                <w:tcPr>
                  <w:tcW w:w="1013" w:type="dxa"/>
                  <w:vAlign w:val="top"/>
                </w:tcPr>
                <w:p w14:paraId="78A3EC6A">
                  <w:pPr>
                    <w:pStyle w:val="6"/>
                    <w:spacing w:before="42" w:line="237" w:lineRule="auto"/>
                    <w:ind w:left="99" w:right="28"/>
                    <w:jc w:val="both"/>
                    <w:rPr>
                      <w:sz w:val="21"/>
                      <w:szCs w:val="21"/>
                    </w:rPr>
                  </w:pPr>
                  <w:r>
                    <w:rPr>
                      <w:spacing w:val="-7"/>
                      <w:sz w:val="21"/>
                      <w:szCs w:val="21"/>
                    </w:rPr>
                    <w:t>严 格 退</w:t>
                  </w:r>
                  <w:r>
                    <w:rPr>
                      <w:spacing w:val="2"/>
                      <w:sz w:val="21"/>
                      <w:szCs w:val="21"/>
                    </w:rPr>
                    <w:t xml:space="preserve"> </w:t>
                  </w:r>
                  <w:r>
                    <w:rPr>
                      <w:spacing w:val="8"/>
                      <w:sz w:val="21"/>
                      <w:szCs w:val="21"/>
                    </w:rPr>
                    <w:t>耕还林，</w:t>
                  </w:r>
                  <w:r>
                    <w:rPr>
                      <w:spacing w:val="1"/>
                      <w:sz w:val="21"/>
                      <w:szCs w:val="21"/>
                    </w:rPr>
                    <w:t xml:space="preserve"> </w:t>
                  </w:r>
                  <w:r>
                    <w:rPr>
                      <w:spacing w:val="-5"/>
                      <w:sz w:val="21"/>
                      <w:szCs w:val="21"/>
                    </w:rPr>
                    <w:t>加 大 封</w:t>
                  </w:r>
                </w:p>
                <w:p w14:paraId="0777F3DD">
                  <w:pPr>
                    <w:pStyle w:val="6"/>
                    <w:spacing w:line="239" w:lineRule="auto"/>
                    <w:ind w:left="99" w:right="28"/>
                    <w:jc w:val="both"/>
                    <w:rPr>
                      <w:sz w:val="21"/>
                      <w:szCs w:val="21"/>
                    </w:rPr>
                  </w:pPr>
                  <w:r>
                    <w:rPr>
                      <w:spacing w:val="-18"/>
                      <w:sz w:val="21"/>
                      <w:szCs w:val="21"/>
                    </w:rPr>
                    <w:t>山</w:t>
                  </w:r>
                  <w:r>
                    <w:rPr>
                      <w:spacing w:val="14"/>
                      <w:sz w:val="21"/>
                      <w:szCs w:val="21"/>
                    </w:rPr>
                    <w:t xml:space="preserve"> </w:t>
                  </w:r>
                  <w:r>
                    <w:rPr>
                      <w:spacing w:val="-18"/>
                      <w:sz w:val="21"/>
                      <w:szCs w:val="21"/>
                    </w:rPr>
                    <w:t>育</w:t>
                  </w:r>
                  <w:r>
                    <w:rPr>
                      <w:spacing w:val="7"/>
                      <w:sz w:val="21"/>
                      <w:szCs w:val="21"/>
                    </w:rPr>
                    <w:t xml:space="preserve"> </w:t>
                  </w:r>
                  <w:r>
                    <w:rPr>
                      <w:spacing w:val="-18"/>
                      <w:sz w:val="21"/>
                      <w:szCs w:val="21"/>
                    </w:rPr>
                    <w:t>林</w:t>
                  </w:r>
                  <w:r>
                    <w:rPr>
                      <w:sz w:val="21"/>
                      <w:szCs w:val="21"/>
                    </w:rPr>
                    <w:t xml:space="preserve"> </w:t>
                  </w:r>
                  <w:r>
                    <w:rPr>
                      <w:spacing w:val="8"/>
                      <w:sz w:val="21"/>
                      <w:szCs w:val="21"/>
                    </w:rPr>
                    <w:t>的力度，</w:t>
                  </w:r>
                  <w:r>
                    <w:rPr>
                      <w:spacing w:val="1"/>
                      <w:sz w:val="21"/>
                      <w:szCs w:val="21"/>
                    </w:rPr>
                    <w:t xml:space="preserve"> </w:t>
                  </w:r>
                  <w:r>
                    <w:rPr>
                      <w:spacing w:val="-7"/>
                      <w:sz w:val="21"/>
                      <w:szCs w:val="21"/>
                    </w:rPr>
                    <w:t>调 整</w:t>
                  </w:r>
                  <w:r>
                    <w:rPr>
                      <w:sz w:val="21"/>
                      <w:szCs w:val="21"/>
                    </w:rPr>
                    <w:t xml:space="preserve"> </w:t>
                  </w:r>
                  <w:r>
                    <w:rPr>
                      <w:spacing w:val="-7"/>
                      <w:sz w:val="21"/>
                      <w:szCs w:val="21"/>
                    </w:rPr>
                    <w:t>产</w:t>
                  </w:r>
                  <w:r>
                    <w:rPr>
                      <w:sz w:val="21"/>
                      <w:szCs w:val="21"/>
                    </w:rPr>
                    <w:t xml:space="preserve"> </w:t>
                  </w:r>
                  <w:r>
                    <w:rPr>
                      <w:spacing w:val="8"/>
                      <w:sz w:val="21"/>
                      <w:szCs w:val="21"/>
                    </w:rPr>
                    <w:t>业结构，</w:t>
                  </w:r>
                  <w:r>
                    <w:rPr>
                      <w:spacing w:val="1"/>
                      <w:sz w:val="21"/>
                      <w:szCs w:val="21"/>
                    </w:rPr>
                    <w:t xml:space="preserve"> </w:t>
                  </w:r>
                  <w:r>
                    <w:rPr>
                      <w:spacing w:val="-7"/>
                      <w:sz w:val="21"/>
                      <w:szCs w:val="21"/>
                    </w:rPr>
                    <w:t>提</w:t>
                  </w:r>
                  <w:r>
                    <w:rPr>
                      <w:spacing w:val="5"/>
                      <w:sz w:val="21"/>
                      <w:szCs w:val="21"/>
                    </w:rPr>
                    <w:t xml:space="preserve"> </w:t>
                  </w:r>
                  <w:r>
                    <w:rPr>
                      <w:spacing w:val="-7"/>
                      <w:sz w:val="21"/>
                      <w:szCs w:val="21"/>
                    </w:rPr>
                    <w:t>高 森</w:t>
                  </w:r>
                </w:p>
                <w:p w14:paraId="45A3B35C">
                  <w:pPr>
                    <w:pStyle w:val="6"/>
                    <w:spacing w:line="219" w:lineRule="auto"/>
                    <w:ind w:left="99"/>
                    <w:rPr>
                      <w:sz w:val="21"/>
                      <w:szCs w:val="21"/>
                    </w:rPr>
                  </w:pPr>
                  <w:r>
                    <w:rPr>
                      <w:spacing w:val="-9"/>
                      <w:sz w:val="21"/>
                      <w:szCs w:val="21"/>
                    </w:rPr>
                    <w:t>林</w:t>
                  </w:r>
                  <w:r>
                    <w:rPr>
                      <w:spacing w:val="14"/>
                      <w:sz w:val="21"/>
                      <w:szCs w:val="21"/>
                    </w:rPr>
                    <w:t xml:space="preserve"> </w:t>
                  </w:r>
                  <w:r>
                    <w:rPr>
                      <w:spacing w:val="-9"/>
                      <w:sz w:val="21"/>
                      <w:szCs w:val="21"/>
                    </w:rPr>
                    <w:t>的 数</w:t>
                  </w:r>
                </w:p>
                <w:p w14:paraId="0EF84582">
                  <w:pPr>
                    <w:pStyle w:val="6"/>
                    <w:spacing w:before="30" w:line="214" w:lineRule="auto"/>
                    <w:ind w:left="109" w:right="80" w:hanging="10"/>
                    <w:rPr>
                      <w:sz w:val="21"/>
                      <w:szCs w:val="21"/>
                    </w:rPr>
                  </w:pPr>
                  <w:r>
                    <w:rPr>
                      <w:spacing w:val="-9"/>
                      <w:sz w:val="21"/>
                      <w:szCs w:val="21"/>
                    </w:rPr>
                    <w:t>量</w:t>
                  </w:r>
                  <w:r>
                    <w:rPr>
                      <w:spacing w:val="4"/>
                      <w:sz w:val="21"/>
                      <w:szCs w:val="21"/>
                    </w:rPr>
                    <w:t xml:space="preserve"> </w:t>
                  </w:r>
                  <w:r>
                    <w:rPr>
                      <w:spacing w:val="-9"/>
                      <w:sz w:val="21"/>
                      <w:szCs w:val="21"/>
                    </w:rPr>
                    <w:t>和</w:t>
                  </w:r>
                  <w:r>
                    <w:rPr>
                      <w:spacing w:val="5"/>
                      <w:sz w:val="21"/>
                      <w:szCs w:val="21"/>
                    </w:rPr>
                    <w:t xml:space="preserve"> </w:t>
                  </w:r>
                  <w:r>
                    <w:rPr>
                      <w:spacing w:val="-9"/>
                      <w:sz w:val="21"/>
                      <w:szCs w:val="21"/>
                    </w:rPr>
                    <w:t>质</w:t>
                  </w:r>
                  <w:r>
                    <w:rPr>
                      <w:sz w:val="21"/>
                      <w:szCs w:val="21"/>
                    </w:rPr>
                    <w:t xml:space="preserve"> 量</w:t>
                  </w:r>
                </w:p>
              </w:tc>
            </w:tr>
          </w:tbl>
          <w:p w14:paraId="1C0F2B70">
            <w:pPr>
              <w:pStyle w:val="6"/>
              <w:spacing w:before="42" w:line="219" w:lineRule="auto"/>
              <w:ind w:left="83"/>
              <w:rPr>
                <w:sz w:val="25"/>
                <w:szCs w:val="25"/>
              </w:rPr>
            </w:pPr>
            <w:r>
              <w:rPr>
                <w:b/>
                <w:bCs/>
                <w:spacing w:val="-4"/>
                <w:sz w:val="25"/>
                <w:szCs w:val="25"/>
              </w:rPr>
              <w:t>三、生态环境质量现状</w:t>
            </w:r>
          </w:p>
          <w:p w14:paraId="5F452D72">
            <w:pPr>
              <w:pStyle w:val="6"/>
              <w:spacing w:before="173" w:line="219" w:lineRule="auto"/>
              <w:ind w:left="603"/>
              <w:rPr>
                <w:sz w:val="25"/>
                <w:szCs w:val="25"/>
              </w:rPr>
            </w:pPr>
            <w:r>
              <w:rPr>
                <w:b/>
                <w:bCs/>
                <w:spacing w:val="-3"/>
                <w:sz w:val="25"/>
                <w:szCs w:val="25"/>
              </w:rPr>
              <w:t>1、调查方法、范围和内容</w:t>
            </w:r>
          </w:p>
          <w:p w14:paraId="3E44A8AA">
            <w:pPr>
              <w:pStyle w:val="6"/>
              <w:spacing w:before="165" w:line="221" w:lineRule="auto"/>
              <w:ind w:left="723"/>
              <w:rPr>
                <w:sz w:val="25"/>
                <w:szCs w:val="25"/>
              </w:rPr>
            </w:pPr>
            <w:r>
              <w:rPr>
                <w:b/>
                <w:bCs/>
                <w:spacing w:val="-4"/>
                <w:sz w:val="25"/>
                <w:szCs w:val="25"/>
              </w:rPr>
              <w:t>(1)调查方法</w:t>
            </w:r>
          </w:p>
        </w:tc>
      </w:tr>
    </w:tbl>
    <w:p w14:paraId="25E8AEFF">
      <w:pPr>
        <w:pStyle w:val="2"/>
      </w:pPr>
    </w:p>
    <w:p w14:paraId="00144325">
      <w:pPr>
        <w:sectPr>
          <w:footerReference r:id="rId60" w:type="default"/>
          <w:pgSz w:w="11910" w:h="16840"/>
          <w:pgMar w:top="1431" w:right="1413" w:bottom="1253" w:left="1405" w:header="0" w:footer="1093" w:gutter="0"/>
          <w:cols w:space="720" w:num="1"/>
        </w:sectPr>
      </w:pPr>
    </w:p>
    <w:p w14:paraId="10F54791">
      <w:pPr>
        <w:spacing w:line="93" w:lineRule="exact"/>
      </w:pPr>
    </w:p>
    <w:tbl>
      <w:tblPr>
        <w:tblStyle w:val="5"/>
        <w:tblW w:w="90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4"/>
        <w:gridCol w:w="8741"/>
      </w:tblGrid>
      <w:tr w14:paraId="03D92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9" w:hRule="atLeast"/>
        </w:trPr>
        <w:tc>
          <w:tcPr>
            <w:tcW w:w="304" w:type="dxa"/>
            <w:vAlign w:val="top"/>
          </w:tcPr>
          <w:p w14:paraId="04873D2B">
            <w:pPr>
              <w:rPr>
                <w:rFonts w:ascii="Arial"/>
                <w:sz w:val="21"/>
              </w:rPr>
            </w:pPr>
          </w:p>
        </w:tc>
        <w:tc>
          <w:tcPr>
            <w:tcW w:w="8741" w:type="dxa"/>
            <w:vAlign w:val="top"/>
          </w:tcPr>
          <w:p w14:paraId="66B306A0">
            <w:pPr>
              <w:pStyle w:val="6"/>
              <w:spacing w:before="12" w:line="218" w:lineRule="auto"/>
              <w:ind w:left="610"/>
              <w:rPr>
                <w:sz w:val="25"/>
                <w:szCs w:val="25"/>
              </w:rPr>
            </w:pPr>
            <w:r>
              <w:rPr>
                <w:spacing w:val="-1"/>
                <w:sz w:val="25"/>
                <w:szCs w:val="25"/>
              </w:rPr>
              <w:t>根据《建设项目环境影响报告表编制技术指南(生态影响类)(试行)》</w:t>
            </w:r>
          </w:p>
          <w:p w14:paraId="53A3399B">
            <w:pPr>
              <w:pStyle w:val="6"/>
              <w:spacing w:before="172" w:line="348" w:lineRule="auto"/>
              <w:ind w:left="110" w:right="254" w:firstLine="120"/>
              <w:rPr>
                <w:sz w:val="25"/>
                <w:szCs w:val="25"/>
              </w:rPr>
            </w:pPr>
            <w:r>
              <w:rPr>
                <w:sz w:val="25"/>
                <w:szCs w:val="25"/>
              </w:rPr>
              <w:t>(HJ19-2022),确定本项目不设置生态专章，现状调查以收集有</w:t>
            </w:r>
            <w:r>
              <w:rPr>
                <w:spacing w:val="-1"/>
                <w:sz w:val="25"/>
                <w:szCs w:val="25"/>
              </w:rPr>
              <w:t>效资料为主。</w:t>
            </w:r>
            <w:r>
              <w:rPr>
                <w:sz w:val="25"/>
                <w:szCs w:val="25"/>
              </w:rPr>
              <w:t xml:space="preserve"> 根据《环境影响评价技术导则生态影响》(HJ19-202</w:t>
            </w:r>
            <w:r>
              <w:rPr>
                <w:spacing w:val="-1"/>
                <w:sz w:val="25"/>
                <w:szCs w:val="25"/>
              </w:rPr>
              <w:t>2)和《环境影响评价技</w:t>
            </w:r>
          </w:p>
          <w:p w14:paraId="6B2D9706">
            <w:pPr>
              <w:pStyle w:val="6"/>
              <w:spacing w:before="1" w:line="217" w:lineRule="auto"/>
              <w:ind w:left="110"/>
              <w:rPr>
                <w:sz w:val="25"/>
                <w:szCs w:val="25"/>
              </w:rPr>
            </w:pPr>
            <w:r>
              <w:rPr>
                <w:sz w:val="25"/>
                <w:szCs w:val="25"/>
              </w:rPr>
              <w:t>术导则输变电》(HJ24-2020)的有关要求，课题组于2024年6月26日、2024</w:t>
            </w:r>
          </w:p>
          <w:p w14:paraId="754B2553">
            <w:pPr>
              <w:pStyle w:val="6"/>
              <w:spacing w:before="184" w:line="218" w:lineRule="auto"/>
              <w:ind w:left="110"/>
              <w:rPr>
                <w:sz w:val="25"/>
                <w:szCs w:val="25"/>
              </w:rPr>
            </w:pPr>
            <w:r>
              <w:rPr>
                <w:sz w:val="25"/>
                <w:szCs w:val="25"/>
              </w:rPr>
              <w:t>年6月27日实地考察了工程评价区周围的植被和</w:t>
            </w:r>
            <w:r>
              <w:rPr>
                <w:spacing w:val="-1"/>
                <w:sz w:val="25"/>
                <w:szCs w:val="25"/>
              </w:rPr>
              <w:t>植物。野外调查中，主要采</w:t>
            </w:r>
          </w:p>
          <w:p w14:paraId="3584EFA4">
            <w:pPr>
              <w:pStyle w:val="6"/>
              <w:spacing w:before="164" w:line="348" w:lineRule="auto"/>
              <w:ind w:left="110" w:right="227"/>
              <w:rPr>
                <w:sz w:val="25"/>
                <w:szCs w:val="25"/>
              </w:rPr>
            </w:pPr>
            <w:r>
              <w:rPr>
                <w:sz w:val="25"/>
                <w:szCs w:val="25"/>
              </w:rPr>
              <w:t>用专家路线踏查法，用GPS采点并观察记录评价区的植被和植物区系状况；同</w:t>
            </w:r>
            <w:r>
              <w:rPr>
                <w:spacing w:val="16"/>
                <w:sz w:val="25"/>
                <w:szCs w:val="25"/>
              </w:rPr>
              <w:t xml:space="preserve"> </w:t>
            </w:r>
            <w:r>
              <w:rPr>
                <w:sz w:val="25"/>
                <w:szCs w:val="25"/>
              </w:rPr>
              <w:t>时注意收集相关植物和植被调查的资料并咨询当地林业部门等，结合3S系统</w:t>
            </w:r>
            <w:r>
              <w:rPr>
                <w:spacing w:val="5"/>
                <w:sz w:val="25"/>
                <w:szCs w:val="25"/>
              </w:rPr>
              <w:t xml:space="preserve">  </w:t>
            </w:r>
            <w:r>
              <w:rPr>
                <w:spacing w:val="-1"/>
                <w:sz w:val="25"/>
                <w:szCs w:val="25"/>
              </w:rPr>
              <w:t>制图分析获得陆生植物、植被的现状数据。</w:t>
            </w:r>
          </w:p>
          <w:p w14:paraId="24CB11F6">
            <w:pPr>
              <w:pStyle w:val="6"/>
              <w:spacing w:line="220" w:lineRule="auto"/>
              <w:ind w:left="740"/>
              <w:rPr>
                <w:sz w:val="25"/>
                <w:szCs w:val="25"/>
              </w:rPr>
            </w:pPr>
            <w:r>
              <w:rPr>
                <w:spacing w:val="2"/>
                <w:sz w:val="25"/>
                <w:szCs w:val="25"/>
              </w:rPr>
              <w:t>(2)调查范围</w:t>
            </w:r>
          </w:p>
          <w:p w14:paraId="25B7BA1B">
            <w:pPr>
              <w:pStyle w:val="6"/>
              <w:spacing w:before="159" w:line="344" w:lineRule="auto"/>
              <w:ind w:left="110" w:firstLine="479"/>
              <w:rPr>
                <w:sz w:val="25"/>
                <w:szCs w:val="25"/>
              </w:rPr>
            </w:pPr>
            <w:r>
              <w:rPr>
                <w:spacing w:val="-11"/>
                <w:sz w:val="25"/>
                <w:szCs w:val="25"/>
              </w:rPr>
              <w:t>生态环境调查范围为：光伏组件、场内道路、集电线路、升压站等工程占地区</w:t>
            </w:r>
            <w:r>
              <w:rPr>
                <w:spacing w:val="13"/>
                <w:sz w:val="25"/>
                <w:szCs w:val="25"/>
              </w:rPr>
              <w:t xml:space="preserve"> </w:t>
            </w:r>
            <w:r>
              <w:rPr>
                <w:spacing w:val="-1"/>
                <w:sz w:val="25"/>
                <w:szCs w:val="25"/>
              </w:rPr>
              <w:t>及上述工程区外延500m范围的区域。</w:t>
            </w:r>
          </w:p>
          <w:p w14:paraId="2CC8A8A0">
            <w:pPr>
              <w:pStyle w:val="6"/>
              <w:spacing w:before="1" w:line="219" w:lineRule="auto"/>
              <w:ind w:left="720"/>
              <w:rPr>
                <w:sz w:val="25"/>
                <w:szCs w:val="25"/>
              </w:rPr>
            </w:pPr>
            <w:r>
              <w:rPr>
                <w:spacing w:val="1"/>
                <w:sz w:val="25"/>
                <w:szCs w:val="25"/>
              </w:rPr>
              <w:t>(3)调查内容</w:t>
            </w:r>
          </w:p>
          <w:p w14:paraId="4C738333">
            <w:pPr>
              <w:pStyle w:val="6"/>
              <w:spacing w:before="172" w:line="344" w:lineRule="auto"/>
              <w:ind w:left="90" w:firstLine="499"/>
              <w:rPr>
                <w:sz w:val="25"/>
                <w:szCs w:val="25"/>
              </w:rPr>
            </w:pPr>
            <w:r>
              <w:rPr>
                <w:spacing w:val="-3"/>
                <w:sz w:val="25"/>
                <w:szCs w:val="25"/>
              </w:rPr>
              <w:t>本项目评价区陆生植被和植物调查的主要内容是</w:t>
            </w:r>
            <w:r>
              <w:rPr>
                <w:spacing w:val="-4"/>
                <w:sz w:val="25"/>
                <w:szCs w:val="25"/>
              </w:rPr>
              <w:t>评价区植被分类系统及分布</w:t>
            </w:r>
            <w:r>
              <w:rPr>
                <w:sz w:val="25"/>
                <w:szCs w:val="25"/>
              </w:rPr>
              <w:t xml:space="preserve"> </w:t>
            </w:r>
            <w:r>
              <w:rPr>
                <w:spacing w:val="-10"/>
                <w:sz w:val="25"/>
                <w:szCs w:val="25"/>
              </w:rPr>
              <w:t>特征、评价区主要植被类型、评价区国家重点保护野生植物数量及分布情况，</w:t>
            </w:r>
            <w:r>
              <w:rPr>
                <w:spacing w:val="-11"/>
                <w:sz w:val="25"/>
                <w:szCs w:val="25"/>
              </w:rPr>
              <w:t>云南</w:t>
            </w:r>
            <w:r>
              <w:rPr>
                <w:sz w:val="25"/>
                <w:szCs w:val="25"/>
              </w:rPr>
              <w:t xml:space="preserve"> 省重点保护野生植物数量及分布情况，名木古树数量及分布情况等。</w:t>
            </w:r>
          </w:p>
          <w:p w14:paraId="5D2014D9">
            <w:pPr>
              <w:pStyle w:val="6"/>
              <w:spacing w:line="219" w:lineRule="auto"/>
              <w:ind w:left="604"/>
              <w:rPr>
                <w:sz w:val="25"/>
                <w:szCs w:val="25"/>
              </w:rPr>
            </w:pPr>
            <w:r>
              <w:rPr>
                <w:b/>
                <w:bCs/>
                <w:spacing w:val="-5"/>
                <w:sz w:val="25"/>
                <w:szCs w:val="25"/>
              </w:rPr>
              <w:t>2、土地利用现状</w:t>
            </w:r>
          </w:p>
          <w:p w14:paraId="44B4005C">
            <w:pPr>
              <w:pStyle w:val="6"/>
              <w:spacing w:before="195" w:line="218" w:lineRule="auto"/>
              <w:ind w:left="600"/>
              <w:rPr>
                <w:sz w:val="25"/>
                <w:szCs w:val="25"/>
              </w:rPr>
            </w:pPr>
            <w:r>
              <w:rPr>
                <w:spacing w:val="-1"/>
                <w:sz w:val="25"/>
                <w:szCs w:val="25"/>
              </w:rPr>
              <w:t>项目区及评价区土地利用类型统计表详见下表。</w:t>
            </w:r>
          </w:p>
          <w:p w14:paraId="1465764A">
            <w:pPr>
              <w:pStyle w:val="6"/>
              <w:spacing w:before="141" w:line="218" w:lineRule="auto"/>
              <w:ind w:left="1994"/>
              <w:rPr>
                <w:sz w:val="25"/>
                <w:szCs w:val="25"/>
              </w:rPr>
            </w:pPr>
            <w:r>
              <w:rPr>
                <w:b/>
                <w:bCs/>
                <w:spacing w:val="-4"/>
                <w:sz w:val="25"/>
                <w:szCs w:val="25"/>
              </w:rPr>
              <w:t>表3-2项目区及评价区土地利用类型统计表</w:t>
            </w:r>
          </w:p>
          <w:p w14:paraId="7FD4EB8A">
            <w:pPr>
              <w:spacing w:line="60" w:lineRule="auto"/>
              <w:rPr>
                <w:rFonts w:ascii="Arial"/>
                <w:sz w:val="2"/>
              </w:rPr>
            </w:pPr>
          </w:p>
          <w:tbl>
            <w:tblPr>
              <w:tblStyle w:val="5"/>
              <w:tblW w:w="850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3"/>
              <w:gridCol w:w="2377"/>
              <w:gridCol w:w="2108"/>
              <w:gridCol w:w="2132"/>
            </w:tblGrid>
            <w:tr w14:paraId="7F1C8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883" w:type="dxa"/>
                  <w:vAlign w:val="top"/>
                </w:tcPr>
                <w:p w14:paraId="75871A89">
                  <w:pPr>
                    <w:pStyle w:val="6"/>
                    <w:spacing w:before="63" w:line="219" w:lineRule="auto"/>
                    <w:ind w:left="514"/>
                    <w:rPr>
                      <w:sz w:val="21"/>
                      <w:szCs w:val="21"/>
                    </w:rPr>
                  </w:pPr>
                  <w:r>
                    <w:rPr>
                      <w:spacing w:val="3"/>
                      <w:sz w:val="21"/>
                      <w:szCs w:val="21"/>
                    </w:rPr>
                    <w:t>一级类型</w:t>
                  </w:r>
                </w:p>
              </w:tc>
              <w:tc>
                <w:tcPr>
                  <w:tcW w:w="2377" w:type="dxa"/>
                  <w:vAlign w:val="top"/>
                </w:tcPr>
                <w:p w14:paraId="3ED1B3B9">
                  <w:pPr>
                    <w:pStyle w:val="6"/>
                    <w:spacing w:before="63" w:line="219" w:lineRule="auto"/>
                    <w:ind w:left="761"/>
                    <w:rPr>
                      <w:sz w:val="21"/>
                      <w:szCs w:val="21"/>
                    </w:rPr>
                  </w:pPr>
                  <w:r>
                    <w:rPr>
                      <w:spacing w:val="3"/>
                      <w:sz w:val="21"/>
                      <w:szCs w:val="21"/>
                    </w:rPr>
                    <w:t>二级类型</w:t>
                  </w:r>
                </w:p>
              </w:tc>
              <w:tc>
                <w:tcPr>
                  <w:tcW w:w="2108" w:type="dxa"/>
                  <w:vAlign w:val="top"/>
                </w:tcPr>
                <w:p w14:paraId="2DD0C935">
                  <w:pPr>
                    <w:pStyle w:val="6"/>
                    <w:spacing w:before="64" w:line="220" w:lineRule="auto"/>
                    <w:ind w:left="205"/>
                    <w:rPr>
                      <w:sz w:val="21"/>
                      <w:szCs w:val="21"/>
                    </w:rPr>
                  </w:pPr>
                  <w:r>
                    <w:rPr>
                      <w:spacing w:val="18"/>
                      <w:sz w:val="21"/>
                      <w:szCs w:val="21"/>
                    </w:rPr>
                    <w:t>项目区面积(</w:t>
                  </w:r>
                  <w:r>
                    <w:rPr>
                      <w:sz w:val="21"/>
                      <w:szCs w:val="21"/>
                    </w:rPr>
                    <w:t>hm</w:t>
                  </w:r>
                  <w:r>
                    <w:rPr>
                      <w:spacing w:val="18"/>
                      <w:sz w:val="21"/>
                      <w:szCs w:val="21"/>
                    </w:rPr>
                    <w:t>²)</w:t>
                  </w:r>
                </w:p>
              </w:tc>
              <w:tc>
                <w:tcPr>
                  <w:tcW w:w="2132" w:type="dxa"/>
                  <w:vAlign w:val="top"/>
                </w:tcPr>
                <w:p w14:paraId="4158CB28">
                  <w:pPr>
                    <w:pStyle w:val="6"/>
                    <w:spacing w:before="61" w:line="218" w:lineRule="auto"/>
                    <w:ind w:left="217"/>
                    <w:rPr>
                      <w:sz w:val="21"/>
                      <w:szCs w:val="21"/>
                    </w:rPr>
                  </w:pPr>
                  <w:r>
                    <w:rPr>
                      <w:spacing w:val="18"/>
                      <w:sz w:val="21"/>
                      <w:szCs w:val="21"/>
                    </w:rPr>
                    <w:t>评价区面积(</w:t>
                  </w:r>
                  <w:r>
                    <w:rPr>
                      <w:sz w:val="21"/>
                      <w:szCs w:val="21"/>
                    </w:rPr>
                    <w:t>hm</w:t>
                  </w:r>
                  <w:r>
                    <w:rPr>
                      <w:spacing w:val="18"/>
                      <w:sz w:val="21"/>
                      <w:szCs w:val="21"/>
                    </w:rPr>
                    <w:t>²)</w:t>
                  </w:r>
                </w:p>
              </w:tc>
            </w:tr>
            <w:tr w14:paraId="190A8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883" w:type="dxa"/>
                  <w:vAlign w:val="top"/>
                </w:tcPr>
                <w:p w14:paraId="25325B63">
                  <w:pPr>
                    <w:pStyle w:val="6"/>
                    <w:spacing w:before="69" w:line="219" w:lineRule="auto"/>
                    <w:ind w:left="615"/>
                    <w:rPr>
                      <w:sz w:val="21"/>
                      <w:szCs w:val="21"/>
                    </w:rPr>
                  </w:pPr>
                  <w:r>
                    <w:rPr>
                      <w:spacing w:val="-2"/>
                      <w:sz w:val="21"/>
                      <w:szCs w:val="21"/>
                    </w:rPr>
                    <w:t>04草地</w:t>
                  </w:r>
                </w:p>
              </w:tc>
              <w:tc>
                <w:tcPr>
                  <w:tcW w:w="2377" w:type="dxa"/>
                  <w:vAlign w:val="top"/>
                </w:tcPr>
                <w:p w14:paraId="744B6CBB">
                  <w:pPr>
                    <w:pStyle w:val="6"/>
                    <w:spacing w:before="69" w:line="219" w:lineRule="auto"/>
                    <w:ind w:left="602"/>
                    <w:rPr>
                      <w:sz w:val="21"/>
                      <w:szCs w:val="21"/>
                    </w:rPr>
                  </w:pPr>
                  <w:r>
                    <w:rPr>
                      <w:spacing w:val="-2"/>
                      <w:sz w:val="21"/>
                      <w:szCs w:val="21"/>
                    </w:rPr>
                    <w:t>043其它草地</w:t>
                  </w:r>
                </w:p>
              </w:tc>
              <w:tc>
                <w:tcPr>
                  <w:tcW w:w="2108" w:type="dxa"/>
                  <w:vAlign w:val="top"/>
                </w:tcPr>
                <w:p w14:paraId="001B51CF">
                  <w:pPr>
                    <w:pStyle w:val="6"/>
                    <w:spacing w:before="90" w:line="210" w:lineRule="auto"/>
                    <w:ind w:left="675"/>
                    <w:rPr>
                      <w:sz w:val="21"/>
                      <w:szCs w:val="21"/>
                    </w:rPr>
                  </w:pPr>
                  <w:r>
                    <w:rPr>
                      <w:spacing w:val="-3"/>
                      <w:sz w:val="21"/>
                      <w:szCs w:val="21"/>
                    </w:rPr>
                    <w:t>128.897</w:t>
                  </w:r>
                </w:p>
              </w:tc>
              <w:tc>
                <w:tcPr>
                  <w:tcW w:w="2132" w:type="dxa"/>
                  <w:vAlign w:val="top"/>
                </w:tcPr>
                <w:p w14:paraId="68117B57">
                  <w:pPr>
                    <w:pStyle w:val="6"/>
                    <w:spacing w:before="90" w:line="210" w:lineRule="auto"/>
                    <w:ind w:left="797"/>
                    <w:rPr>
                      <w:sz w:val="21"/>
                      <w:szCs w:val="21"/>
                    </w:rPr>
                  </w:pPr>
                  <w:r>
                    <w:rPr>
                      <w:spacing w:val="-2"/>
                      <w:sz w:val="21"/>
                      <w:szCs w:val="21"/>
                    </w:rPr>
                    <w:t>589.8</w:t>
                  </w:r>
                </w:p>
              </w:tc>
            </w:tr>
            <w:tr w14:paraId="3D624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883" w:type="dxa"/>
                  <w:vAlign w:val="top"/>
                </w:tcPr>
                <w:p w14:paraId="136CB558">
                  <w:pPr>
                    <w:pStyle w:val="6"/>
                    <w:spacing w:before="70" w:line="219" w:lineRule="auto"/>
                    <w:ind w:left="194"/>
                    <w:rPr>
                      <w:sz w:val="21"/>
                      <w:szCs w:val="21"/>
                    </w:rPr>
                  </w:pPr>
                  <w:r>
                    <w:rPr>
                      <w:spacing w:val="1"/>
                      <w:sz w:val="21"/>
                      <w:szCs w:val="21"/>
                    </w:rPr>
                    <w:t>10交通运输用地</w:t>
                  </w:r>
                </w:p>
              </w:tc>
              <w:tc>
                <w:tcPr>
                  <w:tcW w:w="2377" w:type="dxa"/>
                  <w:vAlign w:val="top"/>
                </w:tcPr>
                <w:p w14:paraId="6B89545F">
                  <w:pPr>
                    <w:pStyle w:val="6"/>
                    <w:spacing w:before="69" w:line="219" w:lineRule="auto"/>
                    <w:ind w:left="552"/>
                    <w:rPr>
                      <w:sz w:val="21"/>
                      <w:szCs w:val="21"/>
                    </w:rPr>
                  </w:pPr>
                  <w:r>
                    <w:rPr>
                      <w:spacing w:val="1"/>
                      <w:sz w:val="21"/>
                      <w:szCs w:val="21"/>
                    </w:rPr>
                    <w:t>1006农村道路</w:t>
                  </w:r>
                </w:p>
              </w:tc>
              <w:tc>
                <w:tcPr>
                  <w:tcW w:w="2108" w:type="dxa"/>
                  <w:vAlign w:val="top"/>
                </w:tcPr>
                <w:p w14:paraId="20179103">
                  <w:pPr>
                    <w:pStyle w:val="6"/>
                    <w:spacing w:before="91" w:line="209" w:lineRule="auto"/>
                    <w:ind w:left="834"/>
                    <w:rPr>
                      <w:sz w:val="21"/>
                      <w:szCs w:val="21"/>
                    </w:rPr>
                  </w:pPr>
                  <w:r>
                    <w:rPr>
                      <w:spacing w:val="-3"/>
                      <w:sz w:val="21"/>
                      <w:szCs w:val="21"/>
                    </w:rPr>
                    <w:t>7.01</w:t>
                  </w:r>
                </w:p>
              </w:tc>
              <w:tc>
                <w:tcPr>
                  <w:tcW w:w="2132" w:type="dxa"/>
                  <w:vAlign w:val="top"/>
                </w:tcPr>
                <w:p w14:paraId="6D777F19">
                  <w:pPr>
                    <w:pStyle w:val="6"/>
                    <w:spacing w:before="91" w:line="209" w:lineRule="auto"/>
                    <w:ind w:left="797"/>
                    <w:rPr>
                      <w:sz w:val="21"/>
                      <w:szCs w:val="21"/>
                    </w:rPr>
                  </w:pPr>
                  <w:r>
                    <w:rPr>
                      <w:spacing w:val="-2"/>
                      <w:sz w:val="21"/>
                      <w:szCs w:val="21"/>
                    </w:rPr>
                    <w:t>67.21</w:t>
                  </w:r>
                </w:p>
              </w:tc>
            </w:tr>
            <w:tr w14:paraId="48F9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883" w:type="dxa"/>
                  <w:vAlign w:val="top"/>
                </w:tcPr>
                <w:p w14:paraId="2A79DE9B">
                  <w:pPr>
                    <w:pStyle w:val="6"/>
                    <w:spacing w:before="62" w:line="221" w:lineRule="auto"/>
                    <w:ind w:left="405"/>
                    <w:rPr>
                      <w:sz w:val="21"/>
                      <w:szCs w:val="21"/>
                    </w:rPr>
                  </w:pPr>
                  <w:r>
                    <w:rPr>
                      <w:spacing w:val="1"/>
                      <w:sz w:val="21"/>
                      <w:szCs w:val="21"/>
                    </w:rPr>
                    <w:t>12其它土地</w:t>
                  </w:r>
                </w:p>
              </w:tc>
              <w:tc>
                <w:tcPr>
                  <w:tcW w:w="2377" w:type="dxa"/>
                  <w:vAlign w:val="top"/>
                </w:tcPr>
                <w:p w14:paraId="6B3DD6BF">
                  <w:pPr>
                    <w:pStyle w:val="6"/>
                    <w:spacing w:before="62" w:line="220" w:lineRule="auto"/>
                    <w:ind w:left="652"/>
                    <w:rPr>
                      <w:sz w:val="21"/>
                      <w:szCs w:val="21"/>
                    </w:rPr>
                  </w:pPr>
                  <w:r>
                    <w:rPr>
                      <w:spacing w:val="1"/>
                      <w:sz w:val="21"/>
                      <w:szCs w:val="21"/>
                    </w:rPr>
                    <w:t>1206裸土地</w:t>
                  </w:r>
                </w:p>
              </w:tc>
              <w:tc>
                <w:tcPr>
                  <w:tcW w:w="2108" w:type="dxa"/>
                  <w:vAlign w:val="top"/>
                </w:tcPr>
                <w:p w14:paraId="64F64EE6">
                  <w:pPr>
                    <w:pStyle w:val="6"/>
                    <w:spacing w:before="82" w:line="208" w:lineRule="auto"/>
                    <w:ind w:left="995"/>
                    <w:rPr>
                      <w:sz w:val="21"/>
                      <w:szCs w:val="21"/>
                    </w:rPr>
                  </w:pPr>
                  <w:r>
                    <w:rPr>
                      <w:sz w:val="21"/>
                      <w:szCs w:val="21"/>
                    </w:rPr>
                    <w:t>0</w:t>
                  </w:r>
                </w:p>
              </w:tc>
              <w:tc>
                <w:tcPr>
                  <w:tcW w:w="2132" w:type="dxa"/>
                  <w:vAlign w:val="top"/>
                </w:tcPr>
                <w:p w14:paraId="37F516A3">
                  <w:pPr>
                    <w:pStyle w:val="6"/>
                    <w:spacing w:before="82" w:line="208" w:lineRule="auto"/>
                    <w:ind w:left="797"/>
                    <w:rPr>
                      <w:sz w:val="21"/>
                      <w:szCs w:val="21"/>
                    </w:rPr>
                  </w:pPr>
                  <w:r>
                    <w:rPr>
                      <w:spacing w:val="-4"/>
                      <w:sz w:val="21"/>
                      <w:szCs w:val="21"/>
                    </w:rPr>
                    <w:t>171.4</w:t>
                  </w:r>
                </w:p>
              </w:tc>
            </w:tr>
            <w:tr w14:paraId="7A99B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1883" w:type="dxa"/>
                  <w:vMerge w:val="restart"/>
                  <w:tcBorders>
                    <w:bottom w:val="nil"/>
                  </w:tcBorders>
                  <w:vAlign w:val="top"/>
                </w:tcPr>
                <w:p w14:paraId="2E13B437">
                  <w:pPr>
                    <w:pStyle w:val="6"/>
                    <w:spacing w:before="252" w:line="219" w:lineRule="auto"/>
                    <w:ind w:left="615"/>
                    <w:rPr>
                      <w:sz w:val="21"/>
                      <w:szCs w:val="21"/>
                    </w:rPr>
                  </w:pPr>
                  <w:r>
                    <w:rPr>
                      <w:spacing w:val="-2"/>
                      <w:sz w:val="21"/>
                      <w:szCs w:val="21"/>
                    </w:rPr>
                    <w:t>03林地</w:t>
                  </w:r>
                </w:p>
              </w:tc>
              <w:tc>
                <w:tcPr>
                  <w:tcW w:w="2377" w:type="dxa"/>
                  <w:vAlign w:val="top"/>
                </w:tcPr>
                <w:p w14:paraId="2E2C7C02">
                  <w:pPr>
                    <w:pStyle w:val="6"/>
                    <w:spacing w:before="82" w:line="219" w:lineRule="auto"/>
                    <w:ind w:left="552"/>
                    <w:rPr>
                      <w:sz w:val="21"/>
                      <w:szCs w:val="21"/>
                    </w:rPr>
                  </w:pPr>
                  <w:r>
                    <w:rPr>
                      <w:spacing w:val="-2"/>
                      <w:sz w:val="21"/>
                      <w:szCs w:val="21"/>
                    </w:rPr>
                    <w:t>0301乔木林地</w:t>
                  </w:r>
                </w:p>
              </w:tc>
              <w:tc>
                <w:tcPr>
                  <w:tcW w:w="2108" w:type="dxa"/>
                  <w:vAlign w:val="top"/>
                </w:tcPr>
                <w:p w14:paraId="48150664">
                  <w:pPr>
                    <w:pStyle w:val="6"/>
                    <w:spacing w:before="103" w:line="224" w:lineRule="auto"/>
                    <w:ind w:left="995"/>
                    <w:rPr>
                      <w:sz w:val="21"/>
                      <w:szCs w:val="21"/>
                    </w:rPr>
                  </w:pPr>
                  <w:r>
                    <w:rPr>
                      <w:sz w:val="21"/>
                      <w:szCs w:val="21"/>
                    </w:rPr>
                    <w:t>0</w:t>
                  </w:r>
                </w:p>
              </w:tc>
              <w:tc>
                <w:tcPr>
                  <w:tcW w:w="2132" w:type="dxa"/>
                  <w:vAlign w:val="top"/>
                </w:tcPr>
                <w:p w14:paraId="54A87606">
                  <w:pPr>
                    <w:pStyle w:val="6"/>
                    <w:spacing w:before="103" w:line="224" w:lineRule="auto"/>
                    <w:ind w:left="747"/>
                    <w:rPr>
                      <w:sz w:val="21"/>
                      <w:szCs w:val="21"/>
                    </w:rPr>
                  </w:pPr>
                  <w:r>
                    <w:rPr>
                      <w:spacing w:val="-2"/>
                      <w:sz w:val="21"/>
                      <w:szCs w:val="21"/>
                    </w:rPr>
                    <w:t>718.29</w:t>
                  </w:r>
                </w:p>
              </w:tc>
            </w:tr>
            <w:tr w14:paraId="4A39B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883" w:type="dxa"/>
                  <w:vMerge w:val="continue"/>
                  <w:tcBorders>
                    <w:top w:val="nil"/>
                  </w:tcBorders>
                  <w:vAlign w:val="top"/>
                </w:tcPr>
                <w:p w14:paraId="16B4EF5E">
                  <w:pPr>
                    <w:rPr>
                      <w:rFonts w:ascii="Arial"/>
                      <w:sz w:val="21"/>
                    </w:rPr>
                  </w:pPr>
                </w:p>
              </w:tc>
              <w:tc>
                <w:tcPr>
                  <w:tcW w:w="2377" w:type="dxa"/>
                  <w:vAlign w:val="top"/>
                </w:tcPr>
                <w:p w14:paraId="4B63186F">
                  <w:pPr>
                    <w:pStyle w:val="6"/>
                    <w:spacing w:before="64" w:line="219" w:lineRule="auto"/>
                    <w:ind w:left="552"/>
                    <w:rPr>
                      <w:sz w:val="21"/>
                      <w:szCs w:val="21"/>
                    </w:rPr>
                  </w:pPr>
                  <w:r>
                    <w:rPr>
                      <w:spacing w:val="-2"/>
                      <w:sz w:val="21"/>
                      <w:szCs w:val="21"/>
                    </w:rPr>
                    <w:t>0307灌木林地</w:t>
                  </w:r>
                </w:p>
              </w:tc>
              <w:tc>
                <w:tcPr>
                  <w:tcW w:w="2108" w:type="dxa"/>
                  <w:vAlign w:val="top"/>
                </w:tcPr>
                <w:p w14:paraId="02F1B150">
                  <w:pPr>
                    <w:pStyle w:val="6"/>
                    <w:spacing w:before="85" w:line="205" w:lineRule="auto"/>
                    <w:ind w:left="785"/>
                    <w:rPr>
                      <w:sz w:val="21"/>
                      <w:szCs w:val="21"/>
                    </w:rPr>
                  </w:pPr>
                  <w:r>
                    <w:rPr>
                      <w:spacing w:val="-2"/>
                      <w:sz w:val="21"/>
                      <w:szCs w:val="21"/>
                    </w:rPr>
                    <w:t>37.64</w:t>
                  </w:r>
                </w:p>
              </w:tc>
              <w:tc>
                <w:tcPr>
                  <w:tcW w:w="2132" w:type="dxa"/>
                  <w:vAlign w:val="top"/>
                </w:tcPr>
                <w:p w14:paraId="64C70D6E">
                  <w:pPr>
                    <w:pStyle w:val="6"/>
                    <w:spacing w:before="85" w:line="205" w:lineRule="auto"/>
                    <w:ind w:left="747"/>
                    <w:rPr>
                      <w:sz w:val="21"/>
                      <w:szCs w:val="21"/>
                    </w:rPr>
                  </w:pPr>
                  <w:r>
                    <w:rPr>
                      <w:spacing w:val="-4"/>
                      <w:sz w:val="21"/>
                      <w:szCs w:val="21"/>
                    </w:rPr>
                    <w:t>178.58</w:t>
                  </w:r>
                </w:p>
              </w:tc>
            </w:tr>
            <w:tr w14:paraId="02DD1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883" w:type="dxa"/>
                  <w:vAlign w:val="top"/>
                </w:tcPr>
                <w:p w14:paraId="79C4D4E4">
                  <w:pPr>
                    <w:pStyle w:val="6"/>
                    <w:spacing w:before="74" w:line="219" w:lineRule="auto"/>
                    <w:ind w:left="615"/>
                    <w:rPr>
                      <w:sz w:val="21"/>
                      <w:szCs w:val="21"/>
                    </w:rPr>
                  </w:pPr>
                  <w:r>
                    <w:rPr>
                      <w:spacing w:val="-2"/>
                      <w:sz w:val="21"/>
                      <w:szCs w:val="21"/>
                    </w:rPr>
                    <w:t>01耕地</w:t>
                  </w:r>
                </w:p>
              </w:tc>
              <w:tc>
                <w:tcPr>
                  <w:tcW w:w="2377" w:type="dxa"/>
                  <w:vAlign w:val="top"/>
                </w:tcPr>
                <w:p w14:paraId="62322DDB">
                  <w:pPr>
                    <w:pStyle w:val="6"/>
                    <w:spacing w:before="76" w:line="221" w:lineRule="auto"/>
                    <w:ind w:left="761"/>
                    <w:rPr>
                      <w:sz w:val="21"/>
                      <w:szCs w:val="21"/>
                    </w:rPr>
                  </w:pPr>
                  <w:r>
                    <w:rPr>
                      <w:spacing w:val="-2"/>
                      <w:sz w:val="21"/>
                      <w:szCs w:val="21"/>
                    </w:rPr>
                    <w:t>0103旱地</w:t>
                  </w:r>
                </w:p>
              </w:tc>
              <w:tc>
                <w:tcPr>
                  <w:tcW w:w="2108" w:type="dxa"/>
                  <w:vAlign w:val="top"/>
                </w:tcPr>
                <w:p w14:paraId="2F6032D5">
                  <w:pPr>
                    <w:pStyle w:val="6"/>
                    <w:spacing w:before="96" w:line="204" w:lineRule="auto"/>
                    <w:ind w:left="675"/>
                    <w:rPr>
                      <w:sz w:val="21"/>
                      <w:szCs w:val="21"/>
                    </w:rPr>
                  </w:pPr>
                  <w:r>
                    <w:rPr>
                      <w:spacing w:val="-2"/>
                      <w:sz w:val="21"/>
                      <w:szCs w:val="21"/>
                    </w:rPr>
                    <w:t>35.3245</w:t>
                  </w:r>
                </w:p>
              </w:tc>
              <w:tc>
                <w:tcPr>
                  <w:tcW w:w="2132" w:type="dxa"/>
                  <w:vAlign w:val="top"/>
                </w:tcPr>
                <w:p w14:paraId="06769209">
                  <w:pPr>
                    <w:pStyle w:val="6"/>
                    <w:spacing w:before="96" w:line="204" w:lineRule="auto"/>
                    <w:ind w:left="797"/>
                    <w:rPr>
                      <w:sz w:val="21"/>
                      <w:szCs w:val="21"/>
                    </w:rPr>
                  </w:pPr>
                  <w:r>
                    <w:rPr>
                      <w:spacing w:val="-2"/>
                      <w:sz w:val="21"/>
                      <w:szCs w:val="21"/>
                    </w:rPr>
                    <w:t>214.8</w:t>
                  </w:r>
                </w:p>
              </w:tc>
            </w:tr>
            <w:tr w14:paraId="329EC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883" w:type="dxa"/>
                  <w:vAlign w:val="top"/>
                </w:tcPr>
                <w:p w14:paraId="746688D9">
                  <w:pPr>
                    <w:pStyle w:val="6"/>
                    <w:spacing w:before="77" w:line="221" w:lineRule="auto"/>
                    <w:ind w:left="405"/>
                    <w:rPr>
                      <w:sz w:val="21"/>
                      <w:szCs w:val="21"/>
                    </w:rPr>
                  </w:pPr>
                  <w:r>
                    <w:rPr>
                      <w:spacing w:val="-2"/>
                      <w:sz w:val="21"/>
                      <w:szCs w:val="21"/>
                    </w:rPr>
                    <w:t>07住宅用地</w:t>
                  </w:r>
                </w:p>
              </w:tc>
              <w:tc>
                <w:tcPr>
                  <w:tcW w:w="2377" w:type="dxa"/>
                  <w:vAlign w:val="top"/>
                </w:tcPr>
                <w:p w14:paraId="0D08C033">
                  <w:pPr>
                    <w:pStyle w:val="6"/>
                    <w:spacing w:before="75" w:line="219" w:lineRule="auto"/>
                    <w:ind w:left="442"/>
                    <w:rPr>
                      <w:sz w:val="21"/>
                      <w:szCs w:val="21"/>
                    </w:rPr>
                  </w:pPr>
                  <w:r>
                    <w:rPr>
                      <w:spacing w:val="-1"/>
                      <w:sz w:val="21"/>
                      <w:szCs w:val="21"/>
                    </w:rPr>
                    <w:t>0702农村宅基地</w:t>
                  </w:r>
                </w:p>
              </w:tc>
              <w:tc>
                <w:tcPr>
                  <w:tcW w:w="2108" w:type="dxa"/>
                  <w:vAlign w:val="top"/>
                </w:tcPr>
                <w:p w14:paraId="28381D47">
                  <w:pPr>
                    <w:pStyle w:val="6"/>
                    <w:spacing w:before="98" w:line="203" w:lineRule="auto"/>
                    <w:ind w:left="995"/>
                    <w:rPr>
                      <w:sz w:val="21"/>
                      <w:szCs w:val="21"/>
                    </w:rPr>
                  </w:pPr>
                  <w:r>
                    <w:rPr>
                      <w:sz w:val="21"/>
                      <w:szCs w:val="21"/>
                    </w:rPr>
                    <w:t>0</w:t>
                  </w:r>
                </w:p>
              </w:tc>
              <w:tc>
                <w:tcPr>
                  <w:tcW w:w="2132" w:type="dxa"/>
                  <w:vAlign w:val="top"/>
                </w:tcPr>
                <w:p w14:paraId="71BB8DA4">
                  <w:pPr>
                    <w:pStyle w:val="6"/>
                    <w:spacing w:before="98" w:line="203" w:lineRule="auto"/>
                    <w:ind w:left="747"/>
                    <w:rPr>
                      <w:sz w:val="21"/>
                      <w:szCs w:val="21"/>
                    </w:rPr>
                  </w:pPr>
                  <w:r>
                    <w:rPr>
                      <w:spacing w:val="-4"/>
                      <w:sz w:val="21"/>
                      <w:szCs w:val="21"/>
                    </w:rPr>
                    <w:t>131.28</w:t>
                  </w:r>
                </w:p>
              </w:tc>
            </w:tr>
            <w:tr w14:paraId="1C682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4260" w:type="dxa"/>
                  <w:gridSpan w:val="2"/>
                  <w:vAlign w:val="top"/>
                </w:tcPr>
                <w:p w14:paraId="504AC677">
                  <w:pPr>
                    <w:pStyle w:val="6"/>
                    <w:spacing w:before="88" w:line="221" w:lineRule="auto"/>
                    <w:ind w:left="1895"/>
                    <w:rPr>
                      <w:sz w:val="21"/>
                      <w:szCs w:val="21"/>
                    </w:rPr>
                  </w:pPr>
                  <w:r>
                    <w:rPr>
                      <w:spacing w:val="-3"/>
                      <w:sz w:val="21"/>
                      <w:szCs w:val="21"/>
                    </w:rPr>
                    <w:t>合计</w:t>
                  </w:r>
                </w:p>
              </w:tc>
              <w:tc>
                <w:tcPr>
                  <w:tcW w:w="2108" w:type="dxa"/>
                  <w:vAlign w:val="top"/>
                </w:tcPr>
                <w:p w14:paraId="64051ADA">
                  <w:pPr>
                    <w:pStyle w:val="6"/>
                    <w:spacing w:before="108" w:line="215" w:lineRule="auto"/>
                    <w:ind w:left="625"/>
                    <w:rPr>
                      <w:sz w:val="21"/>
                      <w:szCs w:val="21"/>
                    </w:rPr>
                  </w:pPr>
                  <w:r>
                    <w:rPr>
                      <w:spacing w:val="-2"/>
                      <w:sz w:val="21"/>
                      <w:szCs w:val="21"/>
                    </w:rPr>
                    <w:t>208.8715</w:t>
                  </w:r>
                </w:p>
              </w:tc>
              <w:tc>
                <w:tcPr>
                  <w:tcW w:w="2132" w:type="dxa"/>
                  <w:vAlign w:val="top"/>
                </w:tcPr>
                <w:p w14:paraId="4590D92D">
                  <w:pPr>
                    <w:pStyle w:val="6"/>
                    <w:spacing w:before="108" w:line="215" w:lineRule="auto"/>
                    <w:ind w:left="687"/>
                    <w:rPr>
                      <w:sz w:val="21"/>
                      <w:szCs w:val="21"/>
                    </w:rPr>
                  </w:pPr>
                  <w:r>
                    <w:rPr>
                      <w:spacing w:val="-3"/>
                      <w:sz w:val="21"/>
                      <w:szCs w:val="21"/>
                    </w:rPr>
                    <w:t>1971.36</w:t>
                  </w:r>
                </w:p>
              </w:tc>
            </w:tr>
          </w:tbl>
          <w:p w14:paraId="4D6230B0">
            <w:pPr>
              <w:pStyle w:val="6"/>
              <w:spacing w:before="31" w:line="219" w:lineRule="auto"/>
              <w:ind w:left="604"/>
              <w:rPr>
                <w:sz w:val="25"/>
                <w:szCs w:val="25"/>
              </w:rPr>
            </w:pPr>
            <w:r>
              <w:rPr>
                <w:b/>
                <w:bCs/>
                <w:spacing w:val="-5"/>
                <w:sz w:val="25"/>
                <w:szCs w:val="25"/>
              </w:rPr>
              <w:t>3、植被现状调查</w:t>
            </w:r>
          </w:p>
          <w:p w14:paraId="494AF515">
            <w:pPr>
              <w:pStyle w:val="6"/>
              <w:spacing w:before="175" w:line="329" w:lineRule="auto"/>
              <w:ind w:left="110" w:right="98" w:firstLine="509"/>
              <w:rPr>
                <w:sz w:val="25"/>
                <w:szCs w:val="25"/>
              </w:rPr>
            </w:pPr>
            <w:r>
              <w:rPr>
                <w:sz w:val="25"/>
                <w:szCs w:val="25"/>
              </w:rPr>
              <w:t>本项目地处是马龙区境内，依据云南植被区划，项目所在区域属于高原亚</w:t>
            </w:r>
            <w:r>
              <w:rPr>
                <w:spacing w:val="10"/>
                <w:sz w:val="25"/>
                <w:szCs w:val="25"/>
              </w:rPr>
              <w:t xml:space="preserve"> </w:t>
            </w:r>
            <w:r>
              <w:rPr>
                <w:sz w:val="25"/>
                <w:szCs w:val="25"/>
              </w:rPr>
              <w:t>热带北部常绿阔叶林地带(IAii)-滇中、</w:t>
            </w:r>
            <w:r>
              <w:rPr>
                <w:spacing w:val="-1"/>
                <w:sz w:val="25"/>
                <w:szCs w:val="25"/>
              </w:rPr>
              <w:t>东高原半湿润常绿阔叶林、云南松林</w:t>
            </w:r>
            <w:r>
              <w:rPr>
                <w:sz w:val="25"/>
                <w:szCs w:val="25"/>
              </w:rPr>
              <w:t xml:space="preserve">  区(IIAii-1)-滇东北高原高、中山云南松羊草草甸亚区”。通过收集资料和现</w:t>
            </w:r>
          </w:p>
        </w:tc>
      </w:tr>
    </w:tbl>
    <w:p w14:paraId="1161C87D">
      <w:pPr>
        <w:pStyle w:val="2"/>
      </w:pPr>
    </w:p>
    <w:p w14:paraId="4050594C">
      <w:pPr>
        <w:sectPr>
          <w:footerReference r:id="rId61" w:type="default"/>
          <w:pgSz w:w="11910" w:h="16840"/>
          <w:pgMar w:top="1431" w:right="1429" w:bottom="1255" w:left="1425" w:header="0" w:footer="1093" w:gutter="0"/>
          <w:cols w:space="720" w:num="1"/>
        </w:sectPr>
      </w:pPr>
    </w:p>
    <w:p w14:paraId="24041F6B">
      <w:pPr>
        <w:spacing w:line="93" w:lineRule="exact"/>
      </w:pPr>
    </w:p>
    <w:tbl>
      <w:tblPr>
        <w:tblStyle w:val="5"/>
        <w:tblW w:w="90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
        <w:gridCol w:w="8726"/>
      </w:tblGrid>
      <w:tr w14:paraId="266CC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9" w:hRule="atLeast"/>
        </w:trPr>
        <w:tc>
          <w:tcPr>
            <w:tcW w:w="325" w:type="dxa"/>
            <w:vAlign w:val="top"/>
          </w:tcPr>
          <w:p w14:paraId="4CE4E759">
            <w:pPr>
              <w:rPr>
                <w:rFonts w:ascii="Arial"/>
                <w:sz w:val="21"/>
              </w:rPr>
            </w:pPr>
          </w:p>
        </w:tc>
        <w:tc>
          <w:tcPr>
            <w:tcW w:w="8726" w:type="dxa"/>
            <w:vAlign w:val="top"/>
          </w:tcPr>
          <w:p w14:paraId="6277CBFC">
            <w:pPr>
              <w:pStyle w:val="6"/>
              <w:spacing w:before="14" w:line="346" w:lineRule="auto"/>
              <w:ind w:left="109" w:right="96" w:hanging="10"/>
              <w:rPr>
                <w:sz w:val="25"/>
                <w:szCs w:val="25"/>
              </w:rPr>
            </w:pPr>
            <w:r>
              <w:rPr>
                <w:sz w:val="25"/>
                <w:szCs w:val="25"/>
              </w:rPr>
              <w:t>场勘查对项目区生态环境现状进行了调查。评价区受人为活动干扰，区域内的</w:t>
            </w:r>
            <w:r>
              <w:rPr>
                <w:spacing w:val="18"/>
                <w:sz w:val="25"/>
                <w:szCs w:val="25"/>
              </w:rPr>
              <w:t xml:space="preserve"> </w:t>
            </w:r>
            <w:r>
              <w:rPr>
                <w:sz w:val="25"/>
                <w:szCs w:val="25"/>
              </w:rPr>
              <w:t>以次生植被为主。评价区主要植被类型为：针叶林、暖温性</w:t>
            </w:r>
            <w:r>
              <w:rPr>
                <w:spacing w:val="-1"/>
                <w:sz w:val="25"/>
                <w:szCs w:val="25"/>
              </w:rPr>
              <w:t>灌丛和草地。</w:t>
            </w:r>
          </w:p>
          <w:p w14:paraId="32463AAB">
            <w:pPr>
              <w:pStyle w:val="6"/>
              <w:spacing w:line="219" w:lineRule="auto"/>
              <w:ind w:left="713"/>
              <w:rPr>
                <w:sz w:val="25"/>
                <w:szCs w:val="25"/>
              </w:rPr>
            </w:pPr>
            <w:r>
              <w:rPr>
                <w:b/>
                <w:bCs/>
                <w:spacing w:val="-3"/>
                <w:sz w:val="25"/>
                <w:szCs w:val="25"/>
              </w:rPr>
              <w:t>(1)植被类型</w:t>
            </w:r>
          </w:p>
          <w:p w14:paraId="1083890E">
            <w:pPr>
              <w:pStyle w:val="6"/>
              <w:spacing w:before="175" w:line="341" w:lineRule="auto"/>
              <w:ind w:left="109" w:right="85" w:firstLine="499"/>
              <w:rPr>
                <w:sz w:val="25"/>
                <w:szCs w:val="25"/>
              </w:rPr>
            </w:pPr>
            <w:r>
              <w:rPr>
                <w:spacing w:val="1"/>
                <w:sz w:val="25"/>
                <w:szCs w:val="25"/>
              </w:rPr>
              <w:t>根据实地调查及遥感影像判图，项目评价区</w:t>
            </w:r>
            <w:r>
              <w:rPr>
                <w:sz w:val="25"/>
                <w:szCs w:val="25"/>
              </w:rPr>
              <w:t>范围内植被可分为自然植被和 人工植被两类，自然植被可划分为1个植被型2</w:t>
            </w:r>
            <w:r>
              <w:rPr>
                <w:spacing w:val="-1"/>
                <w:sz w:val="25"/>
                <w:szCs w:val="25"/>
              </w:rPr>
              <w:t>个植被亚型，2个群系。评价</w:t>
            </w:r>
          </w:p>
          <w:p w14:paraId="2EB4788B">
            <w:pPr>
              <w:pStyle w:val="6"/>
              <w:spacing w:before="18" w:line="219" w:lineRule="auto"/>
              <w:ind w:left="99"/>
              <w:rPr>
                <w:sz w:val="25"/>
                <w:szCs w:val="25"/>
              </w:rPr>
            </w:pPr>
            <w:r>
              <w:rPr>
                <w:spacing w:val="1"/>
                <w:sz w:val="25"/>
                <w:szCs w:val="25"/>
              </w:rPr>
              <w:t>范围植被分类系统见表3-3。</w:t>
            </w:r>
          </w:p>
          <w:p w14:paraId="76DFB2C9">
            <w:pPr>
              <w:pStyle w:val="6"/>
              <w:spacing w:before="167" w:line="218" w:lineRule="auto"/>
              <w:ind w:left="2623"/>
              <w:rPr>
                <w:sz w:val="25"/>
                <w:szCs w:val="25"/>
              </w:rPr>
            </w:pPr>
            <w:r>
              <w:rPr>
                <w:b/>
                <w:bCs/>
                <w:spacing w:val="-4"/>
                <w:sz w:val="25"/>
                <w:szCs w:val="25"/>
              </w:rPr>
              <w:t>表3-3评价范围植被分类系统</w:t>
            </w:r>
          </w:p>
          <w:p w14:paraId="063EEDC0">
            <w:pPr>
              <w:spacing w:line="155" w:lineRule="exact"/>
            </w:pPr>
          </w:p>
          <w:tbl>
            <w:tblPr>
              <w:tblStyle w:val="5"/>
              <w:tblW w:w="8500"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7286"/>
            </w:tblGrid>
            <w:tr w14:paraId="7E71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0" w:hRule="atLeast"/>
              </w:trPr>
              <w:tc>
                <w:tcPr>
                  <w:tcW w:w="1214" w:type="dxa"/>
                  <w:vAlign w:val="top"/>
                </w:tcPr>
                <w:p w14:paraId="0573684C">
                  <w:pPr>
                    <w:spacing w:line="251" w:lineRule="auto"/>
                    <w:rPr>
                      <w:rFonts w:ascii="Arial"/>
                      <w:sz w:val="21"/>
                    </w:rPr>
                  </w:pPr>
                </w:p>
                <w:p w14:paraId="609DE4B1">
                  <w:pPr>
                    <w:spacing w:line="251" w:lineRule="auto"/>
                    <w:rPr>
                      <w:rFonts w:ascii="Arial"/>
                      <w:sz w:val="21"/>
                    </w:rPr>
                  </w:pPr>
                </w:p>
                <w:p w14:paraId="49344482">
                  <w:pPr>
                    <w:pStyle w:val="6"/>
                    <w:spacing w:before="68" w:line="219" w:lineRule="auto"/>
                    <w:ind w:left="174"/>
                    <w:rPr>
                      <w:sz w:val="21"/>
                      <w:szCs w:val="21"/>
                    </w:rPr>
                  </w:pPr>
                  <w:r>
                    <w:rPr>
                      <w:spacing w:val="2"/>
                      <w:sz w:val="21"/>
                      <w:szCs w:val="21"/>
                    </w:rPr>
                    <w:t>自然植被</w:t>
                  </w:r>
                </w:p>
              </w:tc>
              <w:tc>
                <w:tcPr>
                  <w:tcW w:w="7286" w:type="dxa"/>
                  <w:vAlign w:val="top"/>
                </w:tcPr>
                <w:p w14:paraId="5CCE500E">
                  <w:pPr>
                    <w:pStyle w:val="6"/>
                    <w:spacing w:before="23" w:line="219" w:lineRule="auto"/>
                    <w:ind w:left="421"/>
                    <w:rPr>
                      <w:sz w:val="21"/>
                      <w:szCs w:val="21"/>
                    </w:rPr>
                  </w:pPr>
                  <w:r>
                    <w:rPr>
                      <w:spacing w:val="1"/>
                      <w:sz w:val="21"/>
                      <w:szCs w:val="21"/>
                    </w:rPr>
                    <w:t>I稀树灌木草丛</w:t>
                  </w:r>
                </w:p>
                <w:p w14:paraId="536BFEAE">
                  <w:pPr>
                    <w:pStyle w:val="6"/>
                    <w:spacing w:before="30" w:line="219" w:lineRule="auto"/>
                    <w:ind w:left="421"/>
                    <w:rPr>
                      <w:sz w:val="21"/>
                      <w:szCs w:val="21"/>
                    </w:rPr>
                  </w:pPr>
                  <w:r>
                    <w:rPr>
                      <w:spacing w:val="1"/>
                      <w:sz w:val="21"/>
                      <w:szCs w:val="21"/>
                    </w:rPr>
                    <w:t>(I)暖温性灌丛</w:t>
                  </w:r>
                </w:p>
                <w:p w14:paraId="51E59F6F">
                  <w:pPr>
                    <w:pStyle w:val="6"/>
                    <w:spacing w:before="10" w:line="219" w:lineRule="auto"/>
                    <w:ind w:left="421"/>
                    <w:rPr>
                      <w:sz w:val="21"/>
                      <w:szCs w:val="21"/>
                    </w:rPr>
                  </w:pPr>
                  <w:r>
                    <w:rPr>
                      <w:sz w:val="21"/>
                      <w:szCs w:val="21"/>
                    </w:rPr>
                    <w:t>(一)杨梅、火棘灌丛</w:t>
                  </w:r>
                </w:p>
                <w:p w14:paraId="57F91377">
                  <w:pPr>
                    <w:pStyle w:val="6"/>
                    <w:spacing w:before="21" w:line="219" w:lineRule="auto"/>
                    <w:ind w:left="421"/>
                    <w:rPr>
                      <w:sz w:val="21"/>
                      <w:szCs w:val="21"/>
                    </w:rPr>
                  </w:pPr>
                  <w:r>
                    <w:rPr>
                      <w:spacing w:val="1"/>
                      <w:sz w:val="21"/>
                      <w:szCs w:val="21"/>
                    </w:rPr>
                    <w:t>(Ⅱ)草地</w:t>
                  </w:r>
                </w:p>
                <w:p w14:paraId="0E180D07">
                  <w:pPr>
                    <w:pStyle w:val="6"/>
                    <w:spacing w:before="41" w:line="190" w:lineRule="auto"/>
                    <w:ind w:left="870"/>
                    <w:rPr>
                      <w:sz w:val="21"/>
                      <w:szCs w:val="21"/>
                    </w:rPr>
                  </w:pPr>
                  <w:r>
                    <w:rPr>
                      <w:sz w:val="21"/>
                      <w:szCs w:val="21"/>
                    </w:rPr>
                    <w:t>(一)刺芒野古草群落</w:t>
                  </w:r>
                </w:p>
              </w:tc>
            </w:tr>
            <w:tr w14:paraId="1CD98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0" w:hRule="atLeast"/>
              </w:trPr>
              <w:tc>
                <w:tcPr>
                  <w:tcW w:w="1214" w:type="dxa"/>
                  <w:vAlign w:val="top"/>
                </w:tcPr>
                <w:p w14:paraId="06923B2E">
                  <w:pPr>
                    <w:spacing w:line="320" w:lineRule="auto"/>
                    <w:rPr>
                      <w:rFonts w:ascii="Arial"/>
                      <w:sz w:val="21"/>
                    </w:rPr>
                  </w:pPr>
                </w:p>
                <w:p w14:paraId="00A578F6">
                  <w:pPr>
                    <w:spacing w:line="321" w:lineRule="auto"/>
                    <w:rPr>
                      <w:rFonts w:ascii="Arial"/>
                      <w:sz w:val="21"/>
                    </w:rPr>
                  </w:pPr>
                </w:p>
                <w:p w14:paraId="58272421">
                  <w:pPr>
                    <w:pStyle w:val="6"/>
                    <w:spacing w:before="68" w:line="219" w:lineRule="auto"/>
                    <w:ind w:left="174"/>
                    <w:rPr>
                      <w:sz w:val="21"/>
                      <w:szCs w:val="21"/>
                    </w:rPr>
                  </w:pPr>
                  <w:r>
                    <w:rPr>
                      <w:spacing w:val="-2"/>
                      <w:sz w:val="21"/>
                      <w:szCs w:val="21"/>
                    </w:rPr>
                    <w:t>人工植被</w:t>
                  </w:r>
                </w:p>
              </w:tc>
              <w:tc>
                <w:tcPr>
                  <w:tcW w:w="7286" w:type="dxa"/>
                  <w:vAlign w:val="top"/>
                </w:tcPr>
                <w:p w14:paraId="534E0322">
                  <w:pPr>
                    <w:pStyle w:val="6"/>
                    <w:spacing w:before="33" w:line="219" w:lineRule="auto"/>
                    <w:ind w:left="80"/>
                    <w:rPr>
                      <w:sz w:val="21"/>
                      <w:szCs w:val="21"/>
                    </w:rPr>
                  </w:pPr>
                  <w:r>
                    <w:rPr>
                      <w:spacing w:val="1"/>
                      <w:sz w:val="21"/>
                      <w:szCs w:val="21"/>
                    </w:rPr>
                    <w:t>I.人工林</w:t>
                  </w:r>
                </w:p>
                <w:p w14:paraId="061E82A4">
                  <w:pPr>
                    <w:pStyle w:val="6"/>
                    <w:spacing w:before="40" w:line="219" w:lineRule="auto"/>
                    <w:ind w:left="421"/>
                    <w:rPr>
                      <w:sz w:val="21"/>
                      <w:szCs w:val="21"/>
                    </w:rPr>
                  </w:pPr>
                  <w:r>
                    <w:rPr>
                      <w:spacing w:val="1"/>
                      <w:sz w:val="21"/>
                      <w:szCs w:val="21"/>
                    </w:rPr>
                    <w:t>(一)云南松林</w:t>
                  </w:r>
                </w:p>
                <w:p w14:paraId="49EF1289">
                  <w:pPr>
                    <w:pStyle w:val="6"/>
                    <w:spacing w:before="10" w:line="219" w:lineRule="auto"/>
                    <w:ind w:left="421"/>
                    <w:rPr>
                      <w:sz w:val="21"/>
                      <w:szCs w:val="21"/>
                    </w:rPr>
                  </w:pPr>
                  <w:r>
                    <w:rPr>
                      <w:spacing w:val="1"/>
                      <w:sz w:val="21"/>
                      <w:szCs w:val="21"/>
                    </w:rPr>
                    <w:t>(二)华山松林</w:t>
                  </w:r>
                </w:p>
                <w:p w14:paraId="57740646">
                  <w:pPr>
                    <w:pStyle w:val="6"/>
                    <w:spacing w:before="31" w:line="219" w:lineRule="auto"/>
                    <w:ind w:left="421"/>
                    <w:rPr>
                      <w:sz w:val="21"/>
                      <w:szCs w:val="21"/>
                    </w:rPr>
                  </w:pPr>
                  <w:r>
                    <w:rPr>
                      <w:spacing w:val="1"/>
                      <w:sz w:val="21"/>
                      <w:szCs w:val="21"/>
                    </w:rPr>
                    <w:t>(三)桉树林</w:t>
                  </w:r>
                </w:p>
                <w:p w14:paraId="431D8F34">
                  <w:pPr>
                    <w:pStyle w:val="6"/>
                    <w:spacing w:before="24" w:line="221" w:lineRule="auto"/>
                    <w:ind w:left="100"/>
                    <w:rPr>
                      <w:sz w:val="21"/>
                      <w:szCs w:val="21"/>
                    </w:rPr>
                  </w:pPr>
                  <w:r>
                    <w:rPr>
                      <w:sz w:val="21"/>
                      <w:szCs w:val="21"/>
                    </w:rPr>
                    <w:t>IⅡ</w:t>
                  </w:r>
                  <w:r>
                    <w:rPr>
                      <w:spacing w:val="-79"/>
                      <w:sz w:val="21"/>
                      <w:szCs w:val="21"/>
                    </w:rPr>
                    <w:t xml:space="preserve"> </w:t>
                  </w:r>
                  <w:r>
                    <w:rPr>
                      <w:sz w:val="21"/>
                      <w:szCs w:val="21"/>
                    </w:rPr>
                    <w:t>.农田</w:t>
                  </w:r>
                </w:p>
                <w:p w14:paraId="1188D0BF">
                  <w:pPr>
                    <w:pStyle w:val="6"/>
                    <w:spacing w:before="6" w:line="198" w:lineRule="auto"/>
                    <w:ind w:left="421"/>
                    <w:rPr>
                      <w:sz w:val="21"/>
                      <w:szCs w:val="21"/>
                    </w:rPr>
                  </w:pPr>
                  <w:r>
                    <w:rPr>
                      <w:spacing w:val="1"/>
                      <w:sz w:val="21"/>
                      <w:szCs w:val="21"/>
                    </w:rPr>
                    <w:t>(一)旱地</w:t>
                  </w:r>
                </w:p>
              </w:tc>
            </w:tr>
          </w:tbl>
          <w:p w14:paraId="175F1786">
            <w:pPr>
              <w:pStyle w:val="6"/>
              <w:spacing w:before="11" w:line="219" w:lineRule="auto"/>
              <w:ind w:left="83"/>
              <w:rPr>
                <w:sz w:val="25"/>
                <w:szCs w:val="25"/>
              </w:rPr>
            </w:pPr>
            <w:r>
              <w:rPr>
                <w:b/>
                <w:bCs/>
                <w:spacing w:val="-2"/>
                <w:sz w:val="25"/>
                <w:szCs w:val="25"/>
              </w:rPr>
              <w:t>注：I、Ⅱ植被型，(I)、(Ⅱ)植被亚型，(一)、(</w:t>
            </w:r>
            <w:r>
              <w:rPr>
                <w:b/>
                <w:bCs/>
                <w:spacing w:val="-3"/>
                <w:sz w:val="25"/>
                <w:szCs w:val="25"/>
              </w:rPr>
              <w:t>二)群系</w:t>
            </w:r>
          </w:p>
          <w:p w14:paraId="0EB2F334">
            <w:pPr>
              <w:pStyle w:val="6"/>
              <w:spacing w:before="144" w:line="344" w:lineRule="auto"/>
              <w:ind w:left="89" w:firstLine="489"/>
              <w:jc w:val="both"/>
              <w:rPr>
                <w:sz w:val="25"/>
                <w:szCs w:val="25"/>
              </w:rPr>
            </w:pPr>
            <w:r>
              <w:rPr>
                <w:spacing w:val="3"/>
                <w:sz w:val="25"/>
                <w:szCs w:val="25"/>
              </w:rPr>
              <w:t>项目评价区总面积1971.36</w:t>
            </w:r>
            <w:r>
              <w:rPr>
                <w:sz w:val="25"/>
                <w:szCs w:val="25"/>
              </w:rPr>
              <w:t>hm</w:t>
            </w:r>
            <w:r>
              <w:rPr>
                <w:spacing w:val="3"/>
                <w:sz w:val="25"/>
                <w:szCs w:val="25"/>
              </w:rPr>
              <w:t>²,其中有植被覆盖面积为1601.47</w:t>
            </w:r>
            <w:r>
              <w:rPr>
                <w:sz w:val="25"/>
                <w:szCs w:val="25"/>
              </w:rPr>
              <w:t>hm</w:t>
            </w:r>
            <w:r>
              <w:rPr>
                <w:spacing w:val="3"/>
                <w:sz w:val="25"/>
                <w:szCs w:val="25"/>
              </w:rPr>
              <w:t>²,天然植</w:t>
            </w:r>
            <w:r>
              <w:rPr>
                <w:spacing w:val="13"/>
                <w:sz w:val="25"/>
                <w:szCs w:val="25"/>
              </w:rPr>
              <w:t xml:space="preserve"> </w:t>
            </w:r>
            <w:r>
              <w:rPr>
                <w:spacing w:val="-3"/>
                <w:sz w:val="25"/>
                <w:szCs w:val="25"/>
              </w:rPr>
              <w:t>被面积为768.38hm²;人工植被面积为333.09m²。项目区及评价区各植被类型面积</w:t>
            </w:r>
            <w:r>
              <w:rPr>
                <w:spacing w:val="7"/>
                <w:sz w:val="25"/>
                <w:szCs w:val="25"/>
              </w:rPr>
              <w:t xml:space="preserve"> </w:t>
            </w:r>
            <w:r>
              <w:rPr>
                <w:spacing w:val="-1"/>
                <w:sz w:val="25"/>
                <w:szCs w:val="25"/>
              </w:rPr>
              <w:t>统计表详见下表。</w:t>
            </w:r>
          </w:p>
          <w:p w14:paraId="346C8F7F">
            <w:pPr>
              <w:pStyle w:val="6"/>
              <w:spacing w:before="1" w:line="217" w:lineRule="auto"/>
              <w:ind w:left="1883"/>
              <w:rPr>
                <w:sz w:val="25"/>
                <w:szCs w:val="25"/>
              </w:rPr>
            </w:pPr>
            <w:r>
              <w:rPr>
                <w:b/>
                <w:bCs/>
                <w:spacing w:val="-3"/>
                <w:sz w:val="25"/>
                <w:szCs w:val="25"/>
              </w:rPr>
              <w:t>表3-4项目区及评价区各植被类型面积统</w:t>
            </w:r>
            <w:r>
              <w:rPr>
                <w:b/>
                <w:bCs/>
                <w:spacing w:val="-4"/>
                <w:sz w:val="25"/>
                <w:szCs w:val="25"/>
              </w:rPr>
              <w:t>计表</w:t>
            </w:r>
          </w:p>
          <w:p w14:paraId="5DA9A7AF">
            <w:pPr>
              <w:spacing w:line="116" w:lineRule="exact"/>
            </w:pPr>
          </w:p>
          <w:tbl>
            <w:tblPr>
              <w:tblStyle w:val="5"/>
              <w:tblW w:w="8500"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3"/>
              <w:gridCol w:w="1698"/>
              <w:gridCol w:w="1778"/>
              <w:gridCol w:w="1618"/>
              <w:gridCol w:w="1713"/>
            </w:tblGrid>
            <w:tr w14:paraId="28910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693" w:type="dxa"/>
                  <w:vAlign w:val="top"/>
                </w:tcPr>
                <w:p w14:paraId="2A77BD7F">
                  <w:pPr>
                    <w:pStyle w:val="6"/>
                    <w:spacing w:before="183" w:line="219" w:lineRule="auto"/>
                    <w:ind w:left="415"/>
                    <w:rPr>
                      <w:sz w:val="21"/>
                      <w:szCs w:val="21"/>
                    </w:rPr>
                  </w:pPr>
                  <w:r>
                    <w:rPr>
                      <w:spacing w:val="3"/>
                      <w:sz w:val="21"/>
                      <w:szCs w:val="21"/>
                    </w:rPr>
                    <w:t>植被类型</w:t>
                  </w:r>
                </w:p>
              </w:tc>
              <w:tc>
                <w:tcPr>
                  <w:tcW w:w="1698" w:type="dxa"/>
                  <w:vAlign w:val="top"/>
                </w:tcPr>
                <w:p w14:paraId="789B2FCF">
                  <w:pPr>
                    <w:pStyle w:val="6"/>
                    <w:spacing w:before="183" w:line="219" w:lineRule="auto"/>
                    <w:ind w:left="522"/>
                    <w:rPr>
                      <w:sz w:val="21"/>
                      <w:szCs w:val="21"/>
                    </w:rPr>
                  </w:pPr>
                  <w:r>
                    <w:rPr>
                      <w:spacing w:val="4"/>
                      <w:sz w:val="21"/>
                      <w:szCs w:val="21"/>
                    </w:rPr>
                    <w:t>植被型</w:t>
                  </w:r>
                </w:p>
              </w:tc>
              <w:tc>
                <w:tcPr>
                  <w:tcW w:w="1778" w:type="dxa"/>
                  <w:vAlign w:val="top"/>
                </w:tcPr>
                <w:p w14:paraId="105E5D8B">
                  <w:pPr>
                    <w:pStyle w:val="6"/>
                    <w:spacing w:before="183" w:line="219" w:lineRule="auto"/>
                    <w:ind w:left="464"/>
                    <w:rPr>
                      <w:sz w:val="21"/>
                      <w:szCs w:val="21"/>
                    </w:rPr>
                  </w:pPr>
                  <w:r>
                    <w:rPr>
                      <w:spacing w:val="3"/>
                      <w:sz w:val="21"/>
                      <w:szCs w:val="21"/>
                    </w:rPr>
                    <w:t>植被亚型</w:t>
                  </w:r>
                </w:p>
              </w:tc>
              <w:tc>
                <w:tcPr>
                  <w:tcW w:w="1618" w:type="dxa"/>
                  <w:vAlign w:val="top"/>
                </w:tcPr>
                <w:p w14:paraId="5416E524">
                  <w:pPr>
                    <w:pStyle w:val="6"/>
                    <w:spacing w:before="44" w:line="220" w:lineRule="auto"/>
                    <w:ind w:left="276"/>
                    <w:rPr>
                      <w:sz w:val="21"/>
                      <w:szCs w:val="21"/>
                    </w:rPr>
                  </w:pPr>
                  <w:r>
                    <w:rPr>
                      <w:spacing w:val="2"/>
                      <w:sz w:val="21"/>
                      <w:szCs w:val="21"/>
                    </w:rPr>
                    <w:t>项目区面积</w:t>
                  </w:r>
                </w:p>
                <w:p w14:paraId="39AA53DA">
                  <w:pPr>
                    <w:pStyle w:val="6"/>
                    <w:spacing w:before="32" w:line="200" w:lineRule="auto"/>
                    <w:ind w:left="485"/>
                    <w:rPr>
                      <w:sz w:val="21"/>
                      <w:szCs w:val="21"/>
                    </w:rPr>
                  </w:pPr>
                  <w:r>
                    <w:rPr>
                      <w:spacing w:val="-8"/>
                      <w:sz w:val="21"/>
                      <w:szCs w:val="21"/>
                    </w:rPr>
                    <w:t>(hm²)</w:t>
                  </w:r>
                </w:p>
              </w:tc>
              <w:tc>
                <w:tcPr>
                  <w:tcW w:w="1713" w:type="dxa"/>
                  <w:vAlign w:val="top"/>
                </w:tcPr>
                <w:p w14:paraId="794A8267">
                  <w:pPr>
                    <w:pStyle w:val="6"/>
                    <w:spacing w:before="41" w:line="218" w:lineRule="auto"/>
                    <w:ind w:left="328"/>
                    <w:rPr>
                      <w:sz w:val="21"/>
                      <w:szCs w:val="21"/>
                    </w:rPr>
                  </w:pPr>
                  <w:r>
                    <w:rPr>
                      <w:spacing w:val="2"/>
                      <w:sz w:val="21"/>
                      <w:szCs w:val="21"/>
                    </w:rPr>
                    <w:t>评价区面积</w:t>
                  </w:r>
                </w:p>
                <w:p w14:paraId="31AFA815">
                  <w:pPr>
                    <w:pStyle w:val="6"/>
                    <w:spacing w:before="36" w:line="200" w:lineRule="auto"/>
                    <w:ind w:left="538"/>
                    <w:rPr>
                      <w:sz w:val="21"/>
                      <w:szCs w:val="21"/>
                    </w:rPr>
                  </w:pPr>
                  <w:r>
                    <w:rPr>
                      <w:spacing w:val="-8"/>
                      <w:sz w:val="21"/>
                      <w:szCs w:val="21"/>
                    </w:rPr>
                    <w:t>(hm²)</w:t>
                  </w:r>
                </w:p>
              </w:tc>
            </w:tr>
            <w:tr w14:paraId="5C0E0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693" w:type="dxa"/>
                  <w:vMerge w:val="restart"/>
                  <w:tcBorders>
                    <w:bottom w:val="nil"/>
                  </w:tcBorders>
                  <w:vAlign w:val="top"/>
                </w:tcPr>
                <w:p w14:paraId="5652F456">
                  <w:pPr>
                    <w:spacing w:line="249" w:lineRule="auto"/>
                    <w:rPr>
                      <w:rFonts w:ascii="Arial"/>
                      <w:sz w:val="21"/>
                    </w:rPr>
                  </w:pPr>
                </w:p>
                <w:p w14:paraId="1899A3EA">
                  <w:pPr>
                    <w:pStyle w:val="6"/>
                    <w:spacing w:before="69" w:line="219" w:lineRule="auto"/>
                    <w:ind w:left="415"/>
                    <w:rPr>
                      <w:sz w:val="21"/>
                      <w:szCs w:val="21"/>
                    </w:rPr>
                  </w:pPr>
                  <w:r>
                    <w:rPr>
                      <w:spacing w:val="2"/>
                      <w:sz w:val="21"/>
                      <w:szCs w:val="21"/>
                    </w:rPr>
                    <w:t>天然植被</w:t>
                  </w:r>
                </w:p>
              </w:tc>
              <w:tc>
                <w:tcPr>
                  <w:tcW w:w="1698" w:type="dxa"/>
                  <w:vAlign w:val="top"/>
                </w:tcPr>
                <w:p w14:paraId="344402F5">
                  <w:pPr>
                    <w:pStyle w:val="6"/>
                    <w:spacing w:before="29" w:line="202" w:lineRule="auto"/>
                    <w:ind w:left="312"/>
                    <w:rPr>
                      <w:sz w:val="21"/>
                      <w:szCs w:val="21"/>
                    </w:rPr>
                  </w:pPr>
                  <w:r>
                    <w:rPr>
                      <w:spacing w:val="1"/>
                      <w:sz w:val="21"/>
                      <w:szCs w:val="21"/>
                    </w:rPr>
                    <w:t>暖温性灌丛</w:t>
                  </w:r>
                </w:p>
              </w:tc>
              <w:tc>
                <w:tcPr>
                  <w:tcW w:w="1778" w:type="dxa"/>
                  <w:vAlign w:val="top"/>
                </w:tcPr>
                <w:p w14:paraId="7F6429A4">
                  <w:pPr>
                    <w:pStyle w:val="6"/>
                    <w:spacing w:before="29" w:line="202" w:lineRule="auto"/>
                    <w:ind w:left="144"/>
                    <w:rPr>
                      <w:sz w:val="21"/>
                      <w:szCs w:val="21"/>
                    </w:rPr>
                  </w:pPr>
                  <w:r>
                    <w:rPr>
                      <w:spacing w:val="-2"/>
                      <w:sz w:val="21"/>
                      <w:szCs w:val="21"/>
                    </w:rPr>
                    <w:t>杨梅、火棘灌丛</w:t>
                  </w:r>
                </w:p>
              </w:tc>
              <w:tc>
                <w:tcPr>
                  <w:tcW w:w="1618" w:type="dxa"/>
                  <w:vAlign w:val="top"/>
                </w:tcPr>
                <w:p w14:paraId="42CC3EF2">
                  <w:pPr>
                    <w:pStyle w:val="6"/>
                    <w:spacing w:before="50" w:line="183" w:lineRule="auto"/>
                    <w:ind w:left="536"/>
                    <w:rPr>
                      <w:sz w:val="21"/>
                      <w:szCs w:val="21"/>
                    </w:rPr>
                  </w:pPr>
                  <w:r>
                    <w:rPr>
                      <w:spacing w:val="-2"/>
                      <w:sz w:val="21"/>
                      <w:szCs w:val="21"/>
                    </w:rPr>
                    <w:t>37.64</w:t>
                  </w:r>
                </w:p>
              </w:tc>
              <w:tc>
                <w:tcPr>
                  <w:tcW w:w="1713" w:type="dxa"/>
                  <w:vAlign w:val="top"/>
                </w:tcPr>
                <w:p w14:paraId="1670FD28">
                  <w:pPr>
                    <w:pStyle w:val="6"/>
                    <w:spacing w:before="50" w:line="183" w:lineRule="auto"/>
                    <w:ind w:left="538"/>
                    <w:rPr>
                      <w:sz w:val="21"/>
                      <w:szCs w:val="21"/>
                    </w:rPr>
                  </w:pPr>
                  <w:r>
                    <w:rPr>
                      <w:spacing w:val="-4"/>
                      <w:sz w:val="21"/>
                      <w:szCs w:val="21"/>
                    </w:rPr>
                    <w:t>178.58</w:t>
                  </w:r>
                </w:p>
              </w:tc>
            </w:tr>
            <w:tr w14:paraId="0AE55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693" w:type="dxa"/>
                  <w:vMerge w:val="continue"/>
                  <w:tcBorders>
                    <w:top w:val="nil"/>
                    <w:bottom w:val="nil"/>
                  </w:tcBorders>
                  <w:vAlign w:val="top"/>
                </w:tcPr>
                <w:p w14:paraId="5D599742">
                  <w:pPr>
                    <w:rPr>
                      <w:rFonts w:ascii="Arial"/>
                      <w:sz w:val="21"/>
                    </w:rPr>
                  </w:pPr>
                </w:p>
              </w:tc>
              <w:tc>
                <w:tcPr>
                  <w:tcW w:w="1698" w:type="dxa"/>
                  <w:vAlign w:val="top"/>
                </w:tcPr>
                <w:p w14:paraId="4C5227D9">
                  <w:pPr>
                    <w:pStyle w:val="6"/>
                    <w:spacing w:before="30" w:line="193" w:lineRule="auto"/>
                    <w:ind w:left="631"/>
                    <w:rPr>
                      <w:sz w:val="21"/>
                      <w:szCs w:val="21"/>
                    </w:rPr>
                  </w:pPr>
                  <w:r>
                    <w:rPr>
                      <w:spacing w:val="-3"/>
                      <w:sz w:val="21"/>
                      <w:szCs w:val="21"/>
                    </w:rPr>
                    <w:t>草地</w:t>
                  </w:r>
                </w:p>
              </w:tc>
              <w:tc>
                <w:tcPr>
                  <w:tcW w:w="1778" w:type="dxa"/>
                  <w:vAlign w:val="top"/>
                </w:tcPr>
                <w:p w14:paraId="63FBD086">
                  <w:pPr>
                    <w:pStyle w:val="6"/>
                    <w:spacing w:before="30" w:line="193" w:lineRule="auto"/>
                    <w:ind w:left="353"/>
                    <w:rPr>
                      <w:sz w:val="21"/>
                      <w:szCs w:val="21"/>
                    </w:rPr>
                  </w:pPr>
                  <w:r>
                    <w:rPr>
                      <w:spacing w:val="-2"/>
                      <w:sz w:val="21"/>
                      <w:szCs w:val="21"/>
                    </w:rPr>
                    <w:t>野古草群落</w:t>
                  </w:r>
                </w:p>
              </w:tc>
              <w:tc>
                <w:tcPr>
                  <w:tcW w:w="1618" w:type="dxa"/>
                  <w:vAlign w:val="top"/>
                </w:tcPr>
                <w:p w14:paraId="29A44185">
                  <w:pPr>
                    <w:pStyle w:val="6"/>
                    <w:spacing w:before="52" w:line="174" w:lineRule="auto"/>
                    <w:ind w:left="435"/>
                    <w:rPr>
                      <w:sz w:val="21"/>
                      <w:szCs w:val="21"/>
                    </w:rPr>
                  </w:pPr>
                  <w:r>
                    <w:rPr>
                      <w:spacing w:val="-3"/>
                      <w:sz w:val="21"/>
                      <w:szCs w:val="21"/>
                    </w:rPr>
                    <w:t>128.897</w:t>
                  </w:r>
                </w:p>
              </w:tc>
              <w:tc>
                <w:tcPr>
                  <w:tcW w:w="1713" w:type="dxa"/>
                  <w:vAlign w:val="top"/>
                </w:tcPr>
                <w:p w14:paraId="40AC68EE">
                  <w:pPr>
                    <w:pStyle w:val="6"/>
                    <w:spacing w:before="52" w:line="174" w:lineRule="auto"/>
                    <w:ind w:left="588"/>
                    <w:rPr>
                      <w:sz w:val="21"/>
                      <w:szCs w:val="21"/>
                    </w:rPr>
                  </w:pPr>
                  <w:r>
                    <w:rPr>
                      <w:spacing w:val="-2"/>
                      <w:sz w:val="21"/>
                      <w:szCs w:val="21"/>
                    </w:rPr>
                    <w:t>589.8</w:t>
                  </w:r>
                </w:p>
              </w:tc>
            </w:tr>
            <w:tr w14:paraId="72B8F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693" w:type="dxa"/>
                  <w:vMerge w:val="continue"/>
                  <w:tcBorders>
                    <w:top w:val="nil"/>
                  </w:tcBorders>
                  <w:vAlign w:val="top"/>
                </w:tcPr>
                <w:p w14:paraId="45495277">
                  <w:pPr>
                    <w:rPr>
                      <w:rFonts w:ascii="Arial"/>
                      <w:sz w:val="21"/>
                    </w:rPr>
                  </w:pPr>
                </w:p>
              </w:tc>
              <w:tc>
                <w:tcPr>
                  <w:tcW w:w="3476" w:type="dxa"/>
                  <w:gridSpan w:val="2"/>
                  <w:vAlign w:val="top"/>
                </w:tcPr>
                <w:p w14:paraId="6344FAC6">
                  <w:pPr>
                    <w:pStyle w:val="6"/>
                    <w:spacing w:before="42" w:line="208" w:lineRule="auto"/>
                    <w:ind w:left="1521"/>
                    <w:rPr>
                      <w:sz w:val="21"/>
                      <w:szCs w:val="21"/>
                    </w:rPr>
                  </w:pPr>
                  <w:r>
                    <w:rPr>
                      <w:spacing w:val="4"/>
                      <w:sz w:val="21"/>
                      <w:szCs w:val="21"/>
                    </w:rPr>
                    <w:t>小计</w:t>
                  </w:r>
                </w:p>
              </w:tc>
              <w:tc>
                <w:tcPr>
                  <w:tcW w:w="1618" w:type="dxa"/>
                  <w:vAlign w:val="top"/>
                </w:tcPr>
                <w:p w14:paraId="16422F1F">
                  <w:pPr>
                    <w:pStyle w:val="6"/>
                    <w:spacing w:before="61" w:line="191" w:lineRule="auto"/>
                    <w:ind w:left="435"/>
                    <w:rPr>
                      <w:sz w:val="21"/>
                      <w:szCs w:val="21"/>
                    </w:rPr>
                  </w:pPr>
                  <w:r>
                    <w:rPr>
                      <w:spacing w:val="-3"/>
                      <w:sz w:val="21"/>
                      <w:szCs w:val="21"/>
                    </w:rPr>
                    <w:t>167.391</w:t>
                  </w:r>
                </w:p>
              </w:tc>
              <w:tc>
                <w:tcPr>
                  <w:tcW w:w="1713" w:type="dxa"/>
                  <w:vAlign w:val="top"/>
                </w:tcPr>
                <w:p w14:paraId="09486E3F">
                  <w:pPr>
                    <w:pStyle w:val="6"/>
                    <w:spacing w:before="61" w:line="191" w:lineRule="auto"/>
                    <w:ind w:left="538"/>
                    <w:rPr>
                      <w:sz w:val="21"/>
                      <w:szCs w:val="21"/>
                    </w:rPr>
                  </w:pPr>
                  <w:r>
                    <w:rPr>
                      <w:spacing w:val="-2"/>
                      <w:sz w:val="21"/>
                      <w:szCs w:val="21"/>
                    </w:rPr>
                    <w:t>768.38</w:t>
                  </w:r>
                </w:p>
              </w:tc>
            </w:tr>
            <w:tr w14:paraId="2F22E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693" w:type="dxa"/>
                  <w:vMerge w:val="restart"/>
                  <w:tcBorders>
                    <w:bottom w:val="nil"/>
                  </w:tcBorders>
                  <w:vAlign w:val="top"/>
                </w:tcPr>
                <w:p w14:paraId="66EAF256">
                  <w:pPr>
                    <w:spacing w:line="251" w:lineRule="auto"/>
                    <w:rPr>
                      <w:rFonts w:ascii="Arial"/>
                      <w:sz w:val="21"/>
                    </w:rPr>
                  </w:pPr>
                </w:p>
                <w:p w14:paraId="1F95E97B">
                  <w:pPr>
                    <w:pStyle w:val="6"/>
                    <w:spacing w:before="69" w:line="219" w:lineRule="auto"/>
                    <w:ind w:left="415"/>
                    <w:rPr>
                      <w:sz w:val="21"/>
                      <w:szCs w:val="21"/>
                    </w:rPr>
                  </w:pPr>
                  <w:r>
                    <w:rPr>
                      <w:spacing w:val="-2"/>
                      <w:sz w:val="21"/>
                      <w:szCs w:val="21"/>
                    </w:rPr>
                    <w:t>人工植被</w:t>
                  </w:r>
                </w:p>
              </w:tc>
              <w:tc>
                <w:tcPr>
                  <w:tcW w:w="3476" w:type="dxa"/>
                  <w:gridSpan w:val="2"/>
                  <w:vAlign w:val="top"/>
                </w:tcPr>
                <w:p w14:paraId="4D03C9D8">
                  <w:pPr>
                    <w:pStyle w:val="6"/>
                    <w:spacing w:before="31" w:line="191" w:lineRule="auto"/>
                    <w:ind w:left="1412"/>
                    <w:rPr>
                      <w:sz w:val="21"/>
                      <w:szCs w:val="21"/>
                    </w:rPr>
                  </w:pPr>
                  <w:r>
                    <w:rPr>
                      <w:spacing w:val="-3"/>
                      <w:sz w:val="21"/>
                      <w:szCs w:val="21"/>
                    </w:rPr>
                    <w:t>人工林</w:t>
                  </w:r>
                </w:p>
              </w:tc>
              <w:tc>
                <w:tcPr>
                  <w:tcW w:w="1618" w:type="dxa"/>
                  <w:vAlign w:val="top"/>
                </w:tcPr>
                <w:p w14:paraId="5A1FD029">
                  <w:pPr>
                    <w:pStyle w:val="6"/>
                    <w:spacing w:before="52" w:line="173" w:lineRule="auto"/>
                    <w:ind w:left="745"/>
                    <w:rPr>
                      <w:sz w:val="21"/>
                      <w:szCs w:val="21"/>
                    </w:rPr>
                  </w:pPr>
                  <w:r>
                    <w:rPr>
                      <w:sz w:val="21"/>
                      <w:szCs w:val="21"/>
                    </w:rPr>
                    <w:t>0</w:t>
                  </w:r>
                </w:p>
              </w:tc>
              <w:tc>
                <w:tcPr>
                  <w:tcW w:w="1713" w:type="dxa"/>
                  <w:vAlign w:val="top"/>
                </w:tcPr>
                <w:p w14:paraId="1D3CB6DE">
                  <w:pPr>
                    <w:pStyle w:val="6"/>
                    <w:spacing w:before="52" w:line="173" w:lineRule="auto"/>
                    <w:ind w:left="588"/>
                    <w:rPr>
                      <w:sz w:val="21"/>
                      <w:szCs w:val="21"/>
                    </w:rPr>
                  </w:pPr>
                  <w:r>
                    <w:rPr>
                      <w:spacing w:val="-3"/>
                      <w:sz w:val="21"/>
                      <w:szCs w:val="21"/>
                    </w:rPr>
                    <w:t>785.5</w:t>
                  </w:r>
                </w:p>
              </w:tc>
            </w:tr>
            <w:tr w14:paraId="44954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693" w:type="dxa"/>
                  <w:vMerge w:val="continue"/>
                  <w:tcBorders>
                    <w:top w:val="nil"/>
                    <w:bottom w:val="nil"/>
                  </w:tcBorders>
                  <w:vAlign w:val="top"/>
                </w:tcPr>
                <w:p w14:paraId="652955B5">
                  <w:pPr>
                    <w:rPr>
                      <w:rFonts w:ascii="Arial"/>
                      <w:sz w:val="21"/>
                    </w:rPr>
                  </w:pPr>
                </w:p>
              </w:tc>
              <w:tc>
                <w:tcPr>
                  <w:tcW w:w="3476" w:type="dxa"/>
                  <w:gridSpan w:val="2"/>
                  <w:vAlign w:val="top"/>
                </w:tcPr>
                <w:p w14:paraId="78EEFF37">
                  <w:pPr>
                    <w:pStyle w:val="6"/>
                    <w:spacing w:before="31" w:line="200" w:lineRule="auto"/>
                    <w:ind w:left="1312"/>
                    <w:rPr>
                      <w:sz w:val="21"/>
                      <w:szCs w:val="21"/>
                    </w:rPr>
                  </w:pPr>
                  <w:r>
                    <w:rPr>
                      <w:spacing w:val="-2"/>
                      <w:sz w:val="21"/>
                      <w:szCs w:val="21"/>
                    </w:rPr>
                    <w:t>耕地植被</w:t>
                  </w:r>
                </w:p>
              </w:tc>
              <w:tc>
                <w:tcPr>
                  <w:tcW w:w="1618" w:type="dxa"/>
                  <w:vAlign w:val="top"/>
                </w:tcPr>
                <w:p w14:paraId="256D4AF4">
                  <w:pPr>
                    <w:pStyle w:val="6"/>
                    <w:spacing w:before="53" w:line="181" w:lineRule="auto"/>
                    <w:ind w:left="435"/>
                    <w:rPr>
                      <w:sz w:val="21"/>
                      <w:szCs w:val="21"/>
                    </w:rPr>
                  </w:pPr>
                  <w:r>
                    <w:rPr>
                      <w:spacing w:val="-2"/>
                      <w:sz w:val="21"/>
                      <w:szCs w:val="21"/>
                    </w:rPr>
                    <w:t>35.3245</w:t>
                  </w:r>
                </w:p>
              </w:tc>
              <w:tc>
                <w:tcPr>
                  <w:tcW w:w="1713" w:type="dxa"/>
                  <w:vAlign w:val="top"/>
                </w:tcPr>
                <w:p w14:paraId="4D183B1B">
                  <w:pPr>
                    <w:pStyle w:val="6"/>
                    <w:spacing w:before="53" w:line="181" w:lineRule="auto"/>
                    <w:ind w:left="588"/>
                    <w:rPr>
                      <w:sz w:val="21"/>
                      <w:szCs w:val="21"/>
                    </w:rPr>
                  </w:pPr>
                  <w:r>
                    <w:rPr>
                      <w:spacing w:val="-2"/>
                      <w:sz w:val="21"/>
                      <w:szCs w:val="21"/>
                    </w:rPr>
                    <w:t>214.8</w:t>
                  </w:r>
                </w:p>
              </w:tc>
            </w:tr>
            <w:tr w14:paraId="58BCB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693" w:type="dxa"/>
                  <w:vMerge w:val="continue"/>
                  <w:tcBorders>
                    <w:top w:val="nil"/>
                  </w:tcBorders>
                  <w:vAlign w:val="top"/>
                </w:tcPr>
                <w:p w14:paraId="03C3ED4D">
                  <w:pPr>
                    <w:rPr>
                      <w:rFonts w:ascii="Arial"/>
                      <w:sz w:val="21"/>
                    </w:rPr>
                  </w:pPr>
                </w:p>
              </w:tc>
              <w:tc>
                <w:tcPr>
                  <w:tcW w:w="3476" w:type="dxa"/>
                  <w:gridSpan w:val="2"/>
                  <w:vAlign w:val="top"/>
                </w:tcPr>
                <w:p w14:paraId="7BA06614">
                  <w:pPr>
                    <w:pStyle w:val="6"/>
                    <w:spacing w:before="44" w:line="206" w:lineRule="auto"/>
                    <w:ind w:left="1521"/>
                    <w:rPr>
                      <w:sz w:val="21"/>
                      <w:szCs w:val="21"/>
                    </w:rPr>
                  </w:pPr>
                  <w:r>
                    <w:rPr>
                      <w:spacing w:val="4"/>
                      <w:sz w:val="21"/>
                      <w:szCs w:val="21"/>
                    </w:rPr>
                    <w:t>小计</w:t>
                  </w:r>
                </w:p>
              </w:tc>
              <w:tc>
                <w:tcPr>
                  <w:tcW w:w="1618" w:type="dxa"/>
                  <w:vAlign w:val="top"/>
                </w:tcPr>
                <w:p w14:paraId="7D4814BE">
                  <w:pPr>
                    <w:pStyle w:val="6"/>
                    <w:spacing w:before="65" w:line="188" w:lineRule="auto"/>
                    <w:ind w:left="536"/>
                    <w:rPr>
                      <w:sz w:val="21"/>
                      <w:szCs w:val="21"/>
                    </w:rPr>
                  </w:pPr>
                  <w:r>
                    <w:rPr>
                      <w:spacing w:val="-2"/>
                      <w:sz w:val="21"/>
                      <w:szCs w:val="21"/>
                    </w:rPr>
                    <w:t>35.82</w:t>
                  </w:r>
                </w:p>
              </w:tc>
              <w:tc>
                <w:tcPr>
                  <w:tcW w:w="1713" w:type="dxa"/>
                  <w:vAlign w:val="top"/>
                </w:tcPr>
                <w:p w14:paraId="3C88312E">
                  <w:pPr>
                    <w:pStyle w:val="6"/>
                    <w:spacing w:before="65" w:line="188" w:lineRule="auto"/>
                    <w:ind w:left="538"/>
                    <w:rPr>
                      <w:sz w:val="21"/>
                      <w:szCs w:val="21"/>
                    </w:rPr>
                  </w:pPr>
                  <w:r>
                    <w:rPr>
                      <w:spacing w:val="-2"/>
                      <w:sz w:val="21"/>
                      <w:szCs w:val="21"/>
                    </w:rPr>
                    <w:t>333.09</w:t>
                  </w:r>
                </w:p>
              </w:tc>
            </w:tr>
            <w:tr w14:paraId="38A0F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693" w:type="dxa"/>
                  <w:vMerge w:val="restart"/>
                  <w:tcBorders>
                    <w:bottom w:val="nil"/>
                  </w:tcBorders>
                  <w:vAlign w:val="top"/>
                </w:tcPr>
                <w:p w14:paraId="0E13763F">
                  <w:pPr>
                    <w:spacing w:line="384" w:lineRule="auto"/>
                    <w:rPr>
                      <w:rFonts w:ascii="Arial"/>
                      <w:sz w:val="21"/>
                    </w:rPr>
                  </w:pPr>
                </w:p>
                <w:p w14:paraId="36AB72AF">
                  <w:pPr>
                    <w:pStyle w:val="6"/>
                    <w:spacing w:before="68" w:line="219" w:lineRule="auto"/>
                    <w:ind w:left="315"/>
                    <w:rPr>
                      <w:sz w:val="21"/>
                      <w:szCs w:val="21"/>
                    </w:rPr>
                  </w:pPr>
                  <w:r>
                    <w:rPr>
                      <w:spacing w:val="1"/>
                      <w:sz w:val="21"/>
                      <w:szCs w:val="21"/>
                    </w:rPr>
                    <w:t>非植被覆盖</w:t>
                  </w:r>
                </w:p>
              </w:tc>
              <w:tc>
                <w:tcPr>
                  <w:tcW w:w="3476" w:type="dxa"/>
                  <w:gridSpan w:val="2"/>
                  <w:vAlign w:val="top"/>
                </w:tcPr>
                <w:p w14:paraId="52807BEB">
                  <w:pPr>
                    <w:pStyle w:val="6"/>
                    <w:spacing w:before="34" w:line="189" w:lineRule="auto"/>
                    <w:ind w:left="1312"/>
                    <w:rPr>
                      <w:sz w:val="21"/>
                      <w:szCs w:val="21"/>
                    </w:rPr>
                  </w:pPr>
                  <w:r>
                    <w:rPr>
                      <w:spacing w:val="-2"/>
                      <w:sz w:val="21"/>
                      <w:szCs w:val="21"/>
                    </w:rPr>
                    <w:t>农村道路</w:t>
                  </w:r>
                </w:p>
              </w:tc>
              <w:tc>
                <w:tcPr>
                  <w:tcW w:w="1618" w:type="dxa"/>
                  <w:vAlign w:val="top"/>
                </w:tcPr>
                <w:p w14:paraId="3B3A0C36">
                  <w:pPr>
                    <w:pStyle w:val="6"/>
                    <w:spacing w:before="55" w:line="170" w:lineRule="auto"/>
                    <w:ind w:left="596"/>
                    <w:rPr>
                      <w:sz w:val="21"/>
                      <w:szCs w:val="21"/>
                    </w:rPr>
                  </w:pPr>
                  <w:r>
                    <w:rPr>
                      <w:spacing w:val="-3"/>
                      <w:sz w:val="21"/>
                      <w:szCs w:val="21"/>
                    </w:rPr>
                    <w:t>7.01</w:t>
                  </w:r>
                </w:p>
              </w:tc>
              <w:tc>
                <w:tcPr>
                  <w:tcW w:w="1713" w:type="dxa"/>
                  <w:vAlign w:val="top"/>
                </w:tcPr>
                <w:p w14:paraId="65097E0D">
                  <w:pPr>
                    <w:pStyle w:val="6"/>
                    <w:spacing w:before="55" w:line="170" w:lineRule="auto"/>
                    <w:ind w:left="588"/>
                    <w:rPr>
                      <w:sz w:val="21"/>
                      <w:szCs w:val="21"/>
                    </w:rPr>
                  </w:pPr>
                  <w:r>
                    <w:rPr>
                      <w:spacing w:val="-2"/>
                      <w:sz w:val="21"/>
                      <w:szCs w:val="21"/>
                    </w:rPr>
                    <w:t>67.21</w:t>
                  </w:r>
                </w:p>
              </w:tc>
            </w:tr>
            <w:tr w14:paraId="37A52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693" w:type="dxa"/>
                  <w:vMerge w:val="continue"/>
                  <w:tcBorders>
                    <w:top w:val="nil"/>
                    <w:bottom w:val="nil"/>
                  </w:tcBorders>
                  <w:vAlign w:val="top"/>
                </w:tcPr>
                <w:p w14:paraId="2B6B4069">
                  <w:pPr>
                    <w:rPr>
                      <w:rFonts w:ascii="Arial"/>
                      <w:sz w:val="21"/>
                    </w:rPr>
                  </w:pPr>
                </w:p>
              </w:tc>
              <w:tc>
                <w:tcPr>
                  <w:tcW w:w="3476" w:type="dxa"/>
                  <w:gridSpan w:val="2"/>
                  <w:vAlign w:val="top"/>
                </w:tcPr>
                <w:p w14:paraId="056B741F">
                  <w:pPr>
                    <w:pStyle w:val="6"/>
                    <w:spacing w:before="36" w:line="196" w:lineRule="auto"/>
                    <w:ind w:left="1412"/>
                    <w:rPr>
                      <w:sz w:val="21"/>
                      <w:szCs w:val="21"/>
                    </w:rPr>
                  </w:pPr>
                  <w:r>
                    <w:rPr>
                      <w:spacing w:val="-2"/>
                      <w:sz w:val="21"/>
                      <w:szCs w:val="21"/>
                    </w:rPr>
                    <w:t>裸土地</w:t>
                  </w:r>
                </w:p>
              </w:tc>
              <w:tc>
                <w:tcPr>
                  <w:tcW w:w="1618" w:type="dxa"/>
                  <w:vAlign w:val="top"/>
                </w:tcPr>
                <w:p w14:paraId="34A0082B">
                  <w:pPr>
                    <w:pStyle w:val="6"/>
                    <w:spacing w:before="56" w:line="178" w:lineRule="auto"/>
                    <w:ind w:left="745"/>
                    <w:rPr>
                      <w:sz w:val="21"/>
                      <w:szCs w:val="21"/>
                    </w:rPr>
                  </w:pPr>
                  <w:r>
                    <w:rPr>
                      <w:sz w:val="21"/>
                      <w:szCs w:val="21"/>
                    </w:rPr>
                    <w:t>0</w:t>
                  </w:r>
                </w:p>
              </w:tc>
              <w:tc>
                <w:tcPr>
                  <w:tcW w:w="1713" w:type="dxa"/>
                  <w:vAlign w:val="top"/>
                </w:tcPr>
                <w:p w14:paraId="6DF20A96">
                  <w:pPr>
                    <w:pStyle w:val="6"/>
                    <w:spacing w:before="56" w:line="178" w:lineRule="auto"/>
                    <w:ind w:left="588"/>
                    <w:rPr>
                      <w:sz w:val="21"/>
                      <w:szCs w:val="21"/>
                    </w:rPr>
                  </w:pPr>
                  <w:r>
                    <w:rPr>
                      <w:spacing w:val="-4"/>
                      <w:sz w:val="21"/>
                      <w:szCs w:val="21"/>
                    </w:rPr>
                    <w:t>171.4</w:t>
                  </w:r>
                </w:p>
              </w:tc>
            </w:tr>
            <w:tr w14:paraId="7D2A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693" w:type="dxa"/>
                  <w:vMerge w:val="continue"/>
                  <w:tcBorders>
                    <w:top w:val="nil"/>
                    <w:bottom w:val="nil"/>
                  </w:tcBorders>
                  <w:vAlign w:val="top"/>
                </w:tcPr>
                <w:p w14:paraId="7F83A81F">
                  <w:pPr>
                    <w:rPr>
                      <w:rFonts w:ascii="Arial"/>
                      <w:sz w:val="21"/>
                    </w:rPr>
                  </w:pPr>
                </w:p>
              </w:tc>
              <w:tc>
                <w:tcPr>
                  <w:tcW w:w="3476" w:type="dxa"/>
                  <w:gridSpan w:val="2"/>
                  <w:vAlign w:val="top"/>
                </w:tcPr>
                <w:p w14:paraId="23CB0270">
                  <w:pPr>
                    <w:pStyle w:val="6"/>
                    <w:spacing w:before="45" w:line="205" w:lineRule="auto"/>
                    <w:ind w:left="1201"/>
                    <w:rPr>
                      <w:sz w:val="21"/>
                      <w:szCs w:val="21"/>
                    </w:rPr>
                  </w:pPr>
                  <w:r>
                    <w:rPr>
                      <w:spacing w:val="-2"/>
                      <w:sz w:val="21"/>
                      <w:szCs w:val="21"/>
                    </w:rPr>
                    <w:t>农村宅基地</w:t>
                  </w:r>
                </w:p>
              </w:tc>
              <w:tc>
                <w:tcPr>
                  <w:tcW w:w="1618" w:type="dxa"/>
                  <w:vAlign w:val="top"/>
                </w:tcPr>
                <w:p w14:paraId="416935A6">
                  <w:pPr>
                    <w:pStyle w:val="6"/>
                    <w:spacing w:before="67" w:line="186" w:lineRule="auto"/>
                    <w:ind w:left="745"/>
                    <w:rPr>
                      <w:sz w:val="21"/>
                      <w:szCs w:val="21"/>
                    </w:rPr>
                  </w:pPr>
                  <w:r>
                    <w:rPr>
                      <w:sz w:val="21"/>
                      <w:szCs w:val="21"/>
                    </w:rPr>
                    <w:t>0</w:t>
                  </w:r>
                </w:p>
              </w:tc>
              <w:tc>
                <w:tcPr>
                  <w:tcW w:w="1713" w:type="dxa"/>
                  <w:vAlign w:val="top"/>
                </w:tcPr>
                <w:p w14:paraId="422B7F30">
                  <w:pPr>
                    <w:pStyle w:val="6"/>
                    <w:spacing w:before="67" w:line="186" w:lineRule="auto"/>
                    <w:ind w:left="538"/>
                    <w:rPr>
                      <w:sz w:val="21"/>
                      <w:szCs w:val="21"/>
                    </w:rPr>
                  </w:pPr>
                  <w:r>
                    <w:rPr>
                      <w:spacing w:val="-4"/>
                      <w:sz w:val="21"/>
                      <w:szCs w:val="21"/>
                    </w:rPr>
                    <w:t>131.28</w:t>
                  </w:r>
                </w:p>
              </w:tc>
            </w:tr>
            <w:tr w14:paraId="4C646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693" w:type="dxa"/>
                  <w:vMerge w:val="continue"/>
                  <w:tcBorders>
                    <w:top w:val="nil"/>
                  </w:tcBorders>
                  <w:vAlign w:val="top"/>
                </w:tcPr>
                <w:p w14:paraId="6709624F">
                  <w:pPr>
                    <w:rPr>
                      <w:rFonts w:ascii="Arial"/>
                      <w:sz w:val="21"/>
                    </w:rPr>
                  </w:pPr>
                </w:p>
              </w:tc>
              <w:tc>
                <w:tcPr>
                  <w:tcW w:w="3476" w:type="dxa"/>
                  <w:gridSpan w:val="2"/>
                  <w:vAlign w:val="top"/>
                </w:tcPr>
                <w:p w14:paraId="5CB6A458">
                  <w:pPr>
                    <w:pStyle w:val="6"/>
                    <w:spacing w:before="39" w:line="185" w:lineRule="auto"/>
                    <w:ind w:left="1521"/>
                    <w:rPr>
                      <w:sz w:val="21"/>
                      <w:szCs w:val="21"/>
                    </w:rPr>
                  </w:pPr>
                  <w:r>
                    <w:rPr>
                      <w:spacing w:val="4"/>
                      <w:sz w:val="21"/>
                      <w:szCs w:val="21"/>
                    </w:rPr>
                    <w:t>小计</w:t>
                  </w:r>
                </w:p>
              </w:tc>
              <w:tc>
                <w:tcPr>
                  <w:tcW w:w="1618" w:type="dxa"/>
                  <w:vAlign w:val="top"/>
                </w:tcPr>
                <w:p w14:paraId="26809CAB">
                  <w:pPr>
                    <w:pStyle w:val="6"/>
                    <w:spacing w:before="58" w:line="168" w:lineRule="auto"/>
                    <w:ind w:left="596"/>
                    <w:rPr>
                      <w:sz w:val="21"/>
                      <w:szCs w:val="21"/>
                    </w:rPr>
                  </w:pPr>
                  <w:r>
                    <w:rPr>
                      <w:spacing w:val="-3"/>
                      <w:sz w:val="21"/>
                      <w:szCs w:val="21"/>
                    </w:rPr>
                    <w:t>7.01</w:t>
                  </w:r>
                </w:p>
              </w:tc>
              <w:tc>
                <w:tcPr>
                  <w:tcW w:w="1713" w:type="dxa"/>
                  <w:vAlign w:val="top"/>
                </w:tcPr>
                <w:p w14:paraId="7D060A5A">
                  <w:pPr>
                    <w:pStyle w:val="6"/>
                    <w:spacing w:before="58" w:line="168" w:lineRule="auto"/>
                    <w:ind w:left="538"/>
                    <w:rPr>
                      <w:sz w:val="21"/>
                      <w:szCs w:val="21"/>
                    </w:rPr>
                  </w:pPr>
                  <w:r>
                    <w:rPr>
                      <w:spacing w:val="-2"/>
                      <w:sz w:val="21"/>
                      <w:szCs w:val="21"/>
                    </w:rPr>
                    <w:t>369.89</w:t>
                  </w:r>
                </w:p>
              </w:tc>
            </w:tr>
            <w:tr w14:paraId="33E0F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5169" w:type="dxa"/>
                  <w:gridSpan w:val="3"/>
                  <w:vAlign w:val="top"/>
                </w:tcPr>
                <w:p w14:paraId="379A2AA3">
                  <w:pPr>
                    <w:pStyle w:val="6"/>
                    <w:spacing w:before="48" w:line="198" w:lineRule="auto"/>
                    <w:ind w:left="2364"/>
                    <w:rPr>
                      <w:sz w:val="21"/>
                      <w:szCs w:val="21"/>
                    </w:rPr>
                  </w:pPr>
                  <w:r>
                    <w:rPr>
                      <w:spacing w:val="-3"/>
                      <w:sz w:val="21"/>
                      <w:szCs w:val="21"/>
                    </w:rPr>
                    <w:t>合计</w:t>
                  </w:r>
                </w:p>
              </w:tc>
              <w:tc>
                <w:tcPr>
                  <w:tcW w:w="1618" w:type="dxa"/>
                  <w:vAlign w:val="top"/>
                </w:tcPr>
                <w:p w14:paraId="26BB896F">
                  <w:pPr>
                    <w:pStyle w:val="6"/>
                    <w:spacing w:before="68" w:line="181" w:lineRule="auto"/>
                    <w:ind w:left="386"/>
                    <w:rPr>
                      <w:sz w:val="21"/>
                      <w:szCs w:val="21"/>
                    </w:rPr>
                  </w:pPr>
                  <w:r>
                    <w:rPr>
                      <w:spacing w:val="-2"/>
                      <w:sz w:val="21"/>
                      <w:szCs w:val="21"/>
                    </w:rPr>
                    <w:t>208.8715</w:t>
                  </w:r>
                </w:p>
              </w:tc>
              <w:tc>
                <w:tcPr>
                  <w:tcW w:w="1713" w:type="dxa"/>
                  <w:vAlign w:val="top"/>
                </w:tcPr>
                <w:p w14:paraId="7B62596A">
                  <w:pPr>
                    <w:pStyle w:val="6"/>
                    <w:spacing w:before="68" w:line="181" w:lineRule="auto"/>
                    <w:ind w:left="477"/>
                    <w:rPr>
                      <w:sz w:val="21"/>
                      <w:szCs w:val="21"/>
                    </w:rPr>
                  </w:pPr>
                  <w:r>
                    <w:rPr>
                      <w:spacing w:val="-3"/>
                      <w:sz w:val="21"/>
                      <w:szCs w:val="21"/>
                    </w:rPr>
                    <w:t>1971.36</w:t>
                  </w:r>
                </w:p>
              </w:tc>
            </w:tr>
          </w:tbl>
          <w:p w14:paraId="53BD36FF">
            <w:pPr>
              <w:pStyle w:val="6"/>
              <w:spacing w:before="41" w:line="219" w:lineRule="auto"/>
              <w:ind w:left="733"/>
              <w:rPr>
                <w:sz w:val="25"/>
                <w:szCs w:val="25"/>
              </w:rPr>
            </w:pPr>
            <w:r>
              <w:rPr>
                <w:b/>
                <w:bCs/>
                <w:spacing w:val="-3"/>
                <w:sz w:val="25"/>
                <w:szCs w:val="25"/>
              </w:rPr>
              <w:t>(2)自然植被特征</w:t>
            </w:r>
          </w:p>
          <w:p w14:paraId="2C9E17D0">
            <w:pPr>
              <w:pStyle w:val="6"/>
              <w:spacing w:before="158" w:line="326" w:lineRule="auto"/>
              <w:ind w:left="99" w:right="85" w:firstLine="509"/>
              <w:rPr>
                <w:sz w:val="25"/>
                <w:szCs w:val="25"/>
              </w:rPr>
            </w:pPr>
            <w:r>
              <w:rPr>
                <w:spacing w:val="1"/>
                <w:sz w:val="25"/>
                <w:szCs w:val="25"/>
              </w:rPr>
              <w:t>项目所在区域属于高原亚热带北部常绿阔叶</w:t>
            </w:r>
            <w:r>
              <w:rPr>
                <w:sz w:val="25"/>
                <w:szCs w:val="25"/>
              </w:rPr>
              <w:t>林地带(IIAii)-滇中、东高原 半湿润常绿阔叶林、云南松林区(IIAii-1)-滇东北高原高、中山云南松羊草草</w:t>
            </w:r>
          </w:p>
        </w:tc>
      </w:tr>
    </w:tbl>
    <w:p w14:paraId="0A5C300F">
      <w:pPr>
        <w:pStyle w:val="2"/>
      </w:pPr>
    </w:p>
    <w:p w14:paraId="0F537DBE">
      <w:pPr>
        <w:sectPr>
          <w:footerReference r:id="rId62" w:type="default"/>
          <w:pgSz w:w="11910" w:h="16840"/>
          <w:pgMar w:top="1431" w:right="1423" w:bottom="1266" w:left="1425" w:header="0" w:footer="1089" w:gutter="0"/>
          <w:cols w:space="720" w:num="1"/>
        </w:sectPr>
      </w:pPr>
    </w:p>
    <w:p w14:paraId="6D6B42B7">
      <w:pPr>
        <w:spacing w:line="93"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
        <w:gridCol w:w="100"/>
        <w:gridCol w:w="1698"/>
        <w:gridCol w:w="1099"/>
        <w:gridCol w:w="1009"/>
        <w:gridCol w:w="1338"/>
        <w:gridCol w:w="3356"/>
        <w:gridCol w:w="135"/>
      </w:tblGrid>
      <w:tr w14:paraId="49D87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3" w:hRule="atLeast"/>
        </w:trPr>
        <w:tc>
          <w:tcPr>
            <w:tcW w:w="324" w:type="dxa"/>
            <w:vMerge w:val="restart"/>
            <w:tcBorders>
              <w:bottom w:val="nil"/>
            </w:tcBorders>
            <w:vAlign w:val="top"/>
          </w:tcPr>
          <w:p w14:paraId="1ADA7982">
            <w:pPr>
              <w:rPr>
                <w:rFonts w:ascii="Arial"/>
                <w:sz w:val="21"/>
              </w:rPr>
            </w:pPr>
          </w:p>
        </w:tc>
        <w:tc>
          <w:tcPr>
            <w:tcW w:w="8735" w:type="dxa"/>
            <w:gridSpan w:val="7"/>
            <w:vAlign w:val="top"/>
          </w:tcPr>
          <w:p w14:paraId="2453F2E9">
            <w:pPr>
              <w:pStyle w:val="6"/>
              <w:spacing w:before="14" w:line="219" w:lineRule="auto"/>
              <w:ind w:left="110"/>
              <w:rPr>
                <w:sz w:val="23"/>
                <w:szCs w:val="23"/>
              </w:rPr>
            </w:pPr>
            <w:r>
              <w:rPr>
                <w:sz w:val="23"/>
                <w:szCs w:val="23"/>
              </w:rPr>
              <w:t>甸亚区”。根据林勘和环评的现状调查，项目选址范围内未发现</w:t>
            </w:r>
            <w:r>
              <w:rPr>
                <w:spacing w:val="-1"/>
                <w:sz w:val="23"/>
                <w:szCs w:val="23"/>
              </w:rPr>
              <w:t>常绿阔叶林，</w:t>
            </w:r>
          </w:p>
          <w:p w14:paraId="52B8582A">
            <w:pPr>
              <w:pStyle w:val="6"/>
              <w:spacing w:before="201" w:line="215" w:lineRule="auto"/>
              <w:ind w:left="561"/>
              <w:rPr>
                <w:sz w:val="23"/>
                <w:szCs w:val="23"/>
              </w:rPr>
            </w:pPr>
            <w:r>
              <w:rPr>
                <w:sz w:val="23"/>
                <w:szCs w:val="23"/>
              </w:rPr>
              <w:t>自然植被主要为暖温性灌丛和草地，暖温性灌丛以杨梅Myrica nanta、火棘</w:t>
            </w:r>
          </w:p>
          <w:p w14:paraId="4FBB6B48">
            <w:pPr>
              <w:pStyle w:val="6"/>
              <w:spacing w:before="213" w:line="373" w:lineRule="auto"/>
              <w:ind w:left="100" w:right="229" w:firstLine="120"/>
              <w:rPr>
                <w:sz w:val="23"/>
                <w:szCs w:val="23"/>
              </w:rPr>
            </w:pPr>
            <w:r>
              <w:rPr>
                <w:sz w:val="23"/>
                <w:szCs w:val="23"/>
              </w:rPr>
              <w:t>Pyracantha fortuneana灌丛群落为优势种。草地以刺芒野古草A.Hook</w:t>
            </w:r>
            <w:r>
              <w:rPr>
                <w:spacing w:val="-1"/>
                <w:sz w:val="23"/>
                <w:szCs w:val="23"/>
              </w:rPr>
              <w:t>eri群落为优</w:t>
            </w:r>
            <w:r>
              <w:rPr>
                <w:sz w:val="23"/>
                <w:szCs w:val="23"/>
              </w:rPr>
              <w:t xml:space="preserve"> 势种。选址范围周边分布有华山松林、云南松</w:t>
            </w:r>
            <w:r>
              <w:rPr>
                <w:spacing w:val="-1"/>
                <w:sz w:val="23"/>
                <w:szCs w:val="23"/>
              </w:rPr>
              <w:t>林等人工林。</w:t>
            </w:r>
          </w:p>
          <w:p w14:paraId="4ED4CE02">
            <w:pPr>
              <w:pStyle w:val="6"/>
              <w:spacing w:before="1" w:line="217" w:lineRule="auto"/>
              <w:ind w:left="2464"/>
              <w:rPr>
                <w:sz w:val="23"/>
                <w:szCs w:val="23"/>
              </w:rPr>
            </w:pPr>
            <w:r>
              <w:rPr>
                <w:b/>
                <w:bCs/>
                <w:spacing w:val="-3"/>
                <w:sz w:val="23"/>
                <w:szCs w:val="23"/>
              </w:rPr>
              <w:t>表3-5评价区陆生植被分布调查一览表</w:t>
            </w:r>
          </w:p>
        </w:tc>
      </w:tr>
      <w:tr w14:paraId="396D6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324" w:type="dxa"/>
            <w:vMerge w:val="continue"/>
            <w:tcBorders>
              <w:top w:val="nil"/>
              <w:bottom w:val="nil"/>
            </w:tcBorders>
            <w:vAlign w:val="top"/>
          </w:tcPr>
          <w:p w14:paraId="3F3C86A8">
            <w:pPr>
              <w:rPr>
                <w:rFonts w:ascii="Arial"/>
                <w:sz w:val="21"/>
              </w:rPr>
            </w:pPr>
          </w:p>
        </w:tc>
        <w:tc>
          <w:tcPr>
            <w:tcW w:w="100" w:type="dxa"/>
            <w:tcBorders>
              <w:bottom w:val="nil"/>
            </w:tcBorders>
            <w:shd w:val="clear" w:color="auto" w:fill="FFFFFF"/>
            <w:vAlign w:val="top"/>
          </w:tcPr>
          <w:p w14:paraId="5404BC3C">
            <w:pPr>
              <w:rPr>
                <w:rFonts w:ascii="Arial"/>
                <w:sz w:val="21"/>
              </w:rPr>
            </w:pPr>
          </w:p>
        </w:tc>
        <w:tc>
          <w:tcPr>
            <w:tcW w:w="1698" w:type="dxa"/>
            <w:vAlign w:val="top"/>
          </w:tcPr>
          <w:p w14:paraId="3BF5DFD3">
            <w:pPr>
              <w:pStyle w:val="6"/>
              <w:spacing w:before="82" w:line="221" w:lineRule="auto"/>
              <w:ind w:left="610"/>
              <w:rPr>
                <w:sz w:val="23"/>
                <w:szCs w:val="23"/>
              </w:rPr>
            </w:pPr>
            <w:r>
              <w:rPr>
                <w:spacing w:val="7"/>
                <w:sz w:val="23"/>
                <w:szCs w:val="23"/>
              </w:rPr>
              <w:t>序号</w:t>
            </w:r>
          </w:p>
        </w:tc>
        <w:tc>
          <w:tcPr>
            <w:tcW w:w="1099" w:type="dxa"/>
            <w:vAlign w:val="top"/>
          </w:tcPr>
          <w:p w14:paraId="1FAD3A49">
            <w:pPr>
              <w:pStyle w:val="6"/>
              <w:spacing w:before="82" w:line="220" w:lineRule="auto"/>
              <w:ind w:left="313"/>
              <w:rPr>
                <w:sz w:val="23"/>
                <w:szCs w:val="23"/>
              </w:rPr>
            </w:pPr>
            <w:r>
              <w:rPr>
                <w:spacing w:val="6"/>
                <w:sz w:val="23"/>
                <w:szCs w:val="23"/>
              </w:rPr>
              <w:t>经度</w:t>
            </w:r>
          </w:p>
        </w:tc>
        <w:tc>
          <w:tcPr>
            <w:tcW w:w="1009" w:type="dxa"/>
            <w:vAlign w:val="top"/>
          </w:tcPr>
          <w:p w14:paraId="38C89C21">
            <w:pPr>
              <w:pStyle w:val="6"/>
              <w:spacing w:before="82" w:line="220" w:lineRule="auto"/>
              <w:ind w:left="263"/>
              <w:rPr>
                <w:sz w:val="23"/>
                <w:szCs w:val="23"/>
              </w:rPr>
            </w:pPr>
            <w:r>
              <w:rPr>
                <w:spacing w:val="6"/>
                <w:sz w:val="23"/>
                <w:szCs w:val="23"/>
              </w:rPr>
              <w:t>纬度</w:t>
            </w:r>
          </w:p>
        </w:tc>
        <w:tc>
          <w:tcPr>
            <w:tcW w:w="1338" w:type="dxa"/>
            <w:vAlign w:val="top"/>
          </w:tcPr>
          <w:p w14:paraId="6B66A6CD">
            <w:pPr>
              <w:pStyle w:val="6"/>
              <w:spacing w:before="84" w:line="221" w:lineRule="auto"/>
              <w:ind w:left="204"/>
              <w:rPr>
                <w:sz w:val="23"/>
                <w:szCs w:val="23"/>
              </w:rPr>
            </w:pPr>
            <w:r>
              <w:rPr>
                <w:spacing w:val="5"/>
                <w:sz w:val="23"/>
                <w:szCs w:val="23"/>
              </w:rPr>
              <w:t>调查时间</w:t>
            </w:r>
          </w:p>
        </w:tc>
        <w:tc>
          <w:tcPr>
            <w:tcW w:w="3356" w:type="dxa"/>
            <w:vAlign w:val="top"/>
          </w:tcPr>
          <w:p w14:paraId="44956627">
            <w:pPr>
              <w:pStyle w:val="6"/>
              <w:spacing w:before="82" w:line="220" w:lineRule="auto"/>
              <w:ind w:left="1467"/>
              <w:rPr>
                <w:sz w:val="23"/>
                <w:szCs w:val="23"/>
              </w:rPr>
            </w:pPr>
            <w:r>
              <w:rPr>
                <w:spacing w:val="8"/>
                <w:sz w:val="23"/>
                <w:szCs w:val="23"/>
              </w:rPr>
              <w:t>照片</w:t>
            </w:r>
          </w:p>
        </w:tc>
        <w:tc>
          <w:tcPr>
            <w:tcW w:w="135" w:type="dxa"/>
            <w:tcBorders>
              <w:bottom w:val="nil"/>
            </w:tcBorders>
            <w:vAlign w:val="top"/>
          </w:tcPr>
          <w:p w14:paraId="469533B0">
            <w:pPr>
              <w:rPr>
                <w:rFonts w:ascii="Arial"/>
                <w:sz w:val="21"/>
              </w:rPr>
            </w:pPr>
          </w:p>
        </w:tc>
      </w:tr>
      <w:tr w14:paraId="60228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trPr>
        <w:tc>
          <w:tcPr>
            <w:tcW w:w="324" w:type="dxa"/>
            <w:vMerge w:val="continue"/>
            <w:tcBorders>
              <w:top w:val="nil"/>
              <w:bottom w:val="nil"/>
            </w:tcBorders>
            <w:vAlign w:val="top"/>
          </w:tcPr>
          <w:p w14:paraId="4CF28475">
            <w:pPr>
              <w:rPr>
                <w:rFonts w:ascii="Arial"/>
                <w:sz w:val="21"/>
              </w:rPr>
            </w:pPr>
          </w:p>
        </w:tc>
        <w:tc>
          <w:tcPr>
            <w:tcW w:w="100" w:type="dxa"/>
            <w:tcBorders>
              <w:top w:val="nil"/>
              <w:bottom w:val="nil"/>
            </w:tcBorders>
            <w:shd w:val="clear" w:color="auto" w:fill="FFFFFF"/>
            <w:vAlign w:val="top"/>
          </w:tcPr>
          <w:p w14:paraId="6C442018">
            <w:pPr>
              <w:rPr>
                <w:rFonts w:ascii="Arial"/>
                <w:sz w:val="21"/>
              </w:rPr>
            </w:pPr>
          </w:p>
        </w:tc>
        <w:tc>
          <w:tcPr>
            <w:tcW w:w="1698" w:type="dxa"/>
            <w:vAlign w:val="top"/>
          </w:tcPr>
          <w:p w14:paraId="589011E2">
            <w:pPr>
              <w:spacing w:line="245" w:lineRule="auto"/>
              <w:rPr>
                <w:rFonts w:ascii="Arial"/>
                <w:sz w:val="21"/>
              </w:rPr>
            </w:pPr>
          </w:p>
          <w:p w14:paraId="0B3CDB17">
            <w:pPr>
              <w:spacing w:line="245" w:lineRule="auto"/>
              <w:rPr>
                <w:rFonts w:ascii="Arial"/>
                <w:sz w:val="21"/>
              </w:rPr>
            </w:pPr>
          </w:p>
          <w:p w14:paraId="04D1D533">
            <w:pPr>
              <w:spacing w:line="245" w:lineRule="auto"/>
              <w:rPr>
                <w:rFonts w:ascii="Arial"/>
                <w:sz w:val="21"/>
              </w:rPr>
            </w:pPr>
          </w:p>
          <w:p w14:paraId="2C32E37A">
            <w:pPr>
              <w:spacing w:line="245" w:lineRule="auto"/>
              <w:rPr>
                <w:rFonts w:ascii="Arial"/>
                <w:sz w:val="21"/>
              </w:rPr>
            </w:pPr>
          </w:p>
          <w:p w14:paraId="314AAC80">
            <w:pPr>
              <w:pStyle w:val="6"/>
              <w:spacing w:before="75" w:line="219" w:lineRule="auto"/>
              <w:ind w:left="380"/>
              <w:rPr>
                <w:sz w:val="23"/>
                <w:szCs w:val="23"/>
              </w:rPr>
            </w:pPr>
            <w:r>
              <w:rPr>
                <w:spacing w:val="-2"/>
                <w:sz w:val="23"/>
                <w:szCs w:val="23"/>
              </w:rPr>
              <w:t>华山松林</w:t>
            </w:r>
          </w:p>
        </w:tc>
        <w:tc>
          <w:tcPr>
            <w:tcW w:w="1099" w:type="dxa"/>
            <w:vAlign w:val="top"/>
          </w:tcPr>
          <w:p w14:paraId="5CCC4F0A">
            <w:pPr>
              <w:spacing w:line="250" w:lineRule="auto"/>
              <w:rPr>
                <w:rFonts w:ascii="Arial"/>
                <w:sz w:val="21"/>
              </w:rPr>
            </w:pPr>
          </w:p>
          <w:p w14:paraId="6AD430F3">
            <w:pPr>
              <w:spacing w:line="251" w:lineRule="auto"/>
              <w:rPr>
                <w:rFonts w:ascii="Arial"/>
                <w:sz w:val="21"/>
              </w:rPr>
            </w:pPr>
          </w:p>
          <w:p w14:paraId="776EAFBA">
            <w:pPr>
              <w:spacing w:line="251" w:lineRule="auto"/>
              <w:rPr>
                <w:rFonts w:ascii="Arial"/>
                <w:sz w:val="21"/>
              </w:rPr>
            </w:pPr>
          </w:p>
          <w:p w14:paraId="729399DB">
            <w:pPr>
              <w:spacing w:line="251" w:lineRule="auto"/>
              <w:rPr>
                <w:rFonts w:ascii="Arial"/>
                <w:sz w:val="21"/>
              </w:rPr>
            </w:pPr>
          </w:p>
          <w:p w14:paraId="68F5BA80">
            <w:pPr>
              <w:pStyle w:val="6"/>
              <w:spacing w:before="74" w:line="239" w:lineRule="auto"/>
              <w:ind w:left="22"/>
              <w:rPr>
                <w:sz w:val="23"/>
                <w:szCs w:val="23"/>
              </w:rPr>
            </w:pPr>
            <w:r>
              <w:rPr>
                <w:spacing w:val="-3"/>
                <w:sz w:val="23"/>
                <w:szCs w:val="23"/>
              </w:rPr>
              <w:t>103.31836</w:t>
            </w:r>
          </w:p>
        </w:tc>
        <w:tc>
          <w:tcPr>
            <w:tcW w:w="1009" w:type="dxa"/>
            <w:vAlign w:val="top"/>
          </w:tcPr>
          <w:p w14:paraId="0D58E80E">
            <w:pPr>
              <w:spacing w:line="250" w:lineRule="auto"/>
              <w:rPr>
                <w:rFonts w:ascii="Arial"/>
                <w:sz w:val="21"/>
              </w:rPr>
            </w:pPr>
          </w:p>
          <w:p w14:paraId="4101D19F">
            <w:pPr>
              <w:spacing w:line="251" w:lineRule="auto"/>
              <w:rPr>
                <w:rFonts w:ascii="Arial"/>
                <w:sz w:val="21"/>
              </w:rPr>
            </w:pPr>
          </w:p>
          <w:p w14:paraId="4D926F93">
            <w:pPr>
              <w:spacing w:line="251" w:lineRule="auto"/>
              <w:rPr>
                <w:rFonts w:ascii="Arial"/>
                <w:sz w:val="21"/>
              </w:rPr>
            </w:pPr>
          </w:p>
          <w:p w14:paraId="39E4BF90">
            <w:pPr>
              <w:spacing w:line="251" w:lineRule="auto"/>
              <w:rPr>
                <w:rFonts w:ascii="Arial"/>
                <w:sz w:val="21"/>
              </w:rPr>
            </w:pPr>
          </w:p>
          <w:p w14:paraId="61B8614B">
            <w:pPr>
              <w:pStyle w:val="6"/>
              <w:spacing w:before="74" w:line="239" w:lineRule="auto"/>
              <w:ind w:left="34"/>
              <w:rPr>
                <w:sz w:val="23"/>
                <w:szCs w:val="23"/>
              </w:rPr>
            </w:pPr>
            <w:r>
              <w:rPr>
                <w:spacing w:val="-2"/>
                <w:sz w:val="23"/>
                <w:szCs w:val="23"/>
              </w:rPr>
              <w:t>25.34492</w:t>
            </w:r>
          </w:p>
        </w:tc>
        <w:tc>
          <w:tcPr>
            <w:tcW w:w="1338" w:type="dxa"/>
            <w:vAlign w:val="top"/>
          </w:tcPr>
          <w:p w14:paraId="4920A558">
            <w:pPr>
              <w:spacing w:line="245" w:lineRule="auto"/>
              <w:rPr>
                <w:rFonts w:ascii="Arial"/>
                <w:sz w:val="21"/>
              </w:rPr>
            </w:pPr>
          </w:p>
          <w:p w14:paraId="1A9991C7">
            <w:pPr>
              <w:spacing w:line="245" w:lineRule="auto"/>
              <w:rPr>
                <w:rFonts w:ascii="Arial"/>
                <w:sz w:val="21"/>
              </w:rPr>
            </w:pPr>
          </w:p>
          <w:p w14:paraId="109350D7">
            <w:pPr>
              <w:spacing w:line="245" w:lineRule="auto"/>
              <w:rPr>
                <w:rFonts w:ascii="Arial"/>
                <w:sz w:val="21"/>
              </w:rPr>
            </w:pPr>
          </w:p>
          <w:p w14:paraId="097D4434">
            <w:pPr>
              <w:spacing w:line="245" w:lineRule="auto"/>
              <w:rPr>
                <w:rFonts w:ascii="Arial"/>
                <w:sz w:val="21"/>
              </w:rPr>
            </w:pPr>
          </w:p>
          <w:p w14:paraId="5AFF3309">
            <w:pPr>
              <w:pStyle w:val="6"/>
              <w:spacing w:before="75" w:line="219" w:lineRule="auto"/>
              <w:ind w:left="145"/>
              <w:rPr>
                <w:sz w:val="23"/>
                <w:szCs w:val="23"/>
              </w:rPr>
            </w:pPr>
            <w:r>
              <w:rPr>
                <w:spacing w:val="5"/>
                <w:sz w:val="23"/>
                <w:szCs w:val="23"/>
              </w:rPr>
              <w:t>2024年7月</w:t>
            </w:r>
          </w:p>
        </w:tc>
        <w:tc>
          <w:tcPr>
            <w:tcW w:w="3356" w:type="dxa"/>
            <w:vAlign w:val="top"/>
          </w:tcPr>
          <w:p w14:paraId="2E26310A">
            <w:pPr>
              <w:spacing w:before="21" w:line="2280" w:lineRule="exact"/>
              <w:ind w:firstLine="86"/>
            </w:pPr>
            <w:r>
              <w:rPr>
                <w:position w:val="-45"/>
              </w:rPr>
              <w:drawing>
                <wp:inline distT="0" distB="0" distL="0" distR="0">
                  <wp:extent cx="2037715" cy="144716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91"/>
                          <a:stretch>
                            <a:fillRect/>
                          </a:stretch>
                        </pic:blipFill>
                        <pic:spPr>
                          <a:xfrm>
                            <a:off x="0" y="0"/>
                            <a:ext cx="2038339" cy="1447779"/>
                          </a:xfrm>
                          <a:prstGeom prst="rect">
                            <a:avLst/>
                          </a:prstGeom>
                        </pic:spPr>
                      </pic:pic>
                    </a:graphicData>
                  </a:graphic>
                </wp:inline>
              </w:drawing>
            </w:r>
          </w:p>
        </w:tc>
        <w:tc>
          <w:tcPr>
            <w:tcW w:w="135" w:type="dxa"/>
            <w:tcBorders>
              <w:top w:val="nil"/>
              <w:bottom w:val="nil"/>
            </w:tcBorders>
            <w:vAlign w:val="top"/>
          </w:tcPr>
          <w:p w14:paraId="6B8908D6">
            <w:pPr>
              <w:rPr>
                <w:rFonts w:ascii="Arial"/>
                <w:sz w:val="21"/>
              </w:rPr>
            </w:pPr>
          </w:p>
        </w:tc>
      </w:tr>
      <w:tr w14:paraId="6CE96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8" w:hRule="atLeast"/>
        </w:trPr>
        <w:tc>
          <w:tcPr>
            <w:tcW w:w="324" w:type="dxa"/>
            <w:vMerge w:val="continue"/>
            <w:tcBorders>
              <w:top w:val="nil"/>
              <w:bottom w:val="nil"/>
            </w:tcBorders>
            <w:vAlign w:val="top"/>
          </w:tcPr>
          <w:p w14:paraId="4416B05A">
            <w:pPr>
              <w:rPr>
                <w:rFonts w:ascii="Arial"/>
                <w:sz w:val="21"/>
              </w:rPr>
            </w:pPr>
          </w:p>
        </w:tc>
        <w:tc>
          <w:tcPr>
            <w:tcW w:w="100" w:type="dxa"/>
            <w:tcBorders>
              <w:top w:val="nil"/>
              <w:bottom w:val="nil"/>
            </w:tcBorders>
            <w:shd w:val="clear" w:color="auto" w:fill="FFFFFF"/>
            <w:vAlign w:val="top"/>
          </w:tcPr>
          <w:p w14:paraId="5543900F">
            <w:pPr>
              <w:rPr>
                <w:rFonts w:ascii="Arial"/>
                <w:sz w:val="21"/>
              </w:rPr>
            </w:pPr>
          </w:p>
        </w:tc>
        <w:tc>
          <w:tcPr>
            <w:tcW w:w="1698" w:type="dxa"/>
            <w:vAlign w:val="top"/>
          </w:tcPr>
          <w:p w14:paraId="5F2946C8">
            <w:pPr>
              <w:spacing w:line="304" w:lineRule="auto"/>
              <w:rPr>
                <w:rFonts w:ascii="Arial"/>
                <w:sz w:val="21"/>
              </w:rPr>
            </w:pPr>
          </w:p>
          <w:p w14:paraId="5B441063">
            <w:pPr>
              <w:spacing w:line="304" w:lineRule="auto"/>
              <w:rPr>
                <w:rFonts w:ascii="Arial"/>
                <w:sz w:val="21"/>
              </w:rPr>
            </w:pPr>
          </w:p>
          <w:p w14:paraId="3C6864B9">
            <w:pPr>
              <w:spacing w:line="305" w:lineRule="auto"/>
              <w:rPr>
                <w:rFonts w:ascii="Arial"/>
                <w:sz w:val="21"/>
              </w:rPr>
            </w:pPr>
          </w:p>
          <w:p w14:paraId="1F6C1276">
            <w:pPr>
              <w:pStyle w:val="6"/>
              <w:spacing w:before="74" w:line="219" w:lineRule="auto"/>
              <w:ind w:left="380"/>
              <w:rPr>
                <w:sz w:val="23"/>
                <w:szCs w:val="23"/>
              </w:rPr>
            </w:pPr>
            <w:r>
              <w:rPr>
                <w:spacing w:val="2"/>
                <w:sz w:val="23"/>
                <w:szCs w:val="23"/>
              </w:rPr>
              <w:t>云南松林</w:t>
            </w:r>
          </w:p>
        </w:tc>
        <w:tc>
          <w:tcPr>
            <w:tcW w:w="1099" w:type="dxa"/>
            <w:vAlign w:val="top"/>
          </w:tcPr>
          <w:p w14:paraId="0486B65F">
            <w:pPr>
              <w:spacing w:line="311" w:lineRule="auto"/>
              <w:rPr>
                <w:rFonts w:ascii="Arial"/>
                <w:sz w:val="21"/>
              </w:rPr>
            </w:pPr>
          </w:p>
          <w:p w14:paraId="0D7EE901">
            <w:pPr>
              <w:spacing w:line="312" w:lineRule="auto"/>
              <w:rPr>
                <w:rFonts w:ascii="Arial"/>
                <w:sz w:val="21"/>
              </w:rPr>
            </w:pPr>
          </w:p>
          <w:p w14:paraId="7FD9F896">
            <w:pPr>
              <w:spacing w:line="312" w:lineRule="auto"/>
              <w:rPr>
                <w:rFonts w:ascii="Arial"/>
                <w:sz w:val="21"/>
              </w:rPr>
            </w:pPr>
          </w:p>
          <w:p w14:paraId="44A4FB3B">
            <w:pPr>
              <w:pStyle w:val="6"/>
              <w:spacing w:before="75" w:line="239" w:lineRule="auto"/>
              <w:ind w:left="22"/>
              <w:rPr>
                <w:sz w:val="23"/>
                <w:szCs w:val="23"/>
              </w:rPr>
            </w:pPr>
            <w:r>
              <w:rPr>
                <w:spacing w:val="-3"/>
                <w:sz w:val="23"/>
                <w:szCs w:val="23"/>
              </w:rPr>
              <w:t>103.35701</w:t>
            </w:r>
          </w:p>
        </w:tc>
        <w:tc>
          <w:tcPr>
            <w:tcW w:w="1009" w:type="dxa"/>
            <w:vAlign w:val="top"/>
          </w:tcPr>
          <w:p w14:paraId="11D36D1E">
            <w:pPr>
              <w:spacing w:line="311" w:lineRule="auto"/>
              <w:rPr>
                <w:rFonts w:ascii="Arial"/>
                <w:sz w:val="21"/>
              </w:rPr>
            </w:pPr>
          </w:p>
          <w:p w14:paraId="2967930A">
            <w:pPr>
              <w:spacing w:line="312" w:lineRule="auto"/>
              <w:rPr>
                <w:rFonts w:ascii="Arial"/>
                <w:sz w:val="21"/>
              </w:rPr>
            </w:pPr>
          </w:p>
          <w:p w14:paraId="5F269621">
            <w:pPr>
              <w:spacing w:line="312" w:lineRule="auto"/>
              <w:rPr>
                <w:rFonts w:ascii="Arial"/>
                <w:sz w:val="21"/>
              </w:rPr>
            </w:pPr>
          </w:p>
          <w:p w14:paraId="0F7E3290">
            <w:pPr>
              <w:pStyle w:val="6"/>
              <w:spacing w:before="75" w:line="239" w:lineRule="auto"/>
              <w:ind w:left="34"/>
              <w:rPr>
                <w:sz w:val="23"/>
                <w:szCs w:val="23"/>
              </w:rPr>
            </w:pPr>
            <w:r>
              <w:rPr>
                <w:spacing w:val="-2"/>
                <w:sz w:val="23"/>
                <w:szCs w:val="23"/>
              </w:rPr>
              <w:t>25.36035</w:t>
            </w:r>
          </w:p>
        </w:tc>
        <w:tc>
          <w:tcPr>
            <w:tcW w:w="1338" w:type="dxa"/>
            <w:vAlign w:val="top"/>
          </w:tcPr>
          <w:p w14:paraId="2D55EBC5">
            <w:pPr>
              <w:spacing w:line="304" w:lineRule="auto"/>
              <w:rPr>
                <w:rFonts w:ascii="Arial"/>
                <w:sz w:val="21"/>
              </w:rPr>
            </w:pPr>
          </w:p>
          <w:p w14:paraId="61FCC5CE">
            <w:pPr>
              <w:spacing w:line="304" w:lineRule="auto"/>
              <w:rPr>
                <w:rFonts w:ascii="Arial"/>
                <w:sz w:val="21"/>
              </w:rPr>
            </w:pPr>
          </w:p>
          <w:p w14:paraId="27107896">
            <w:pPr>
              <w:spacing w:line="305" w:lineRule="auto"/>
              <w:rPr>
                <w:rFonts w:ascii="Arial"/>
                <w:sz w:val="21"/>
              </w:rPr>
            </w:pPr>
          </w:p>
          <w:p w14:paraId="58BA275F">
            <w:pPr>
              <w:pStyle w:val="6"/>
              <w:spacing w:before="74" w:line="219" w:lineRule="auto"/>
              <w:ind w:left="145"/>
              <w:rPr>
                <w:sz w:val="23"/>
                <w:szCs w:val="23"/>
              </w:rPr>
            </w:pPr>
            <w:r>
              <w:rPr>
                <w:spacing w:val="5"/>
                <w:sz w:val="23"/>
                <w:szCs w:val="23"/>
              </w:rPr>
              <w:t>2024年7月</w:t>
            </w:r>
          </w:p>
        </w:tc>
        <w:tc>
          <w:tcPr>
            <w:tcW w:w="3356" w:type="dxa"/>
            <w:vAlign w:val="top"/>
          </w:tcPr>
          <w:p w14:paraId="512BC4F0">
            <w:pPr>
              <w:spacing w:before="13" w:line="2160" w:lineRule="exact"/>
              <w:ind w:firstLine="86"/>
            </w:pPr>
            <w:r>
              <w:rPr>
                <w:position w:val="-43"/>
              </w:rPr>
              <w:drawing>
                <wp:inline distT="0" distB="0" distL="0" distR="0">
                  <wp:extent cx="2037715" cy="137160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92"/>
                          <a:stretch>
                            <a:fillRect/>
                          </a:stretch>
                        </pic:blipFill>
                        <pic:spPr>
                          <a:xfrm>
                            <a:off x="0" y="0"/>
                            <a:ext cx="2038339" cy="1371642"/>
                          </a:xfrm>
                          <a:prstGeom prst="rect">
                            <a:avLst/>
                          </a:prstGeom>
                        </pic:spPr>
                      </pic:pic>
                    </a:graphicData>
                  </a:graphic>
                </wp:inline>
              </w:drawing>
            </w:r>
          </w:p>
        </w:tc>
        <w:tc>
          <w:tcPr>
            <w:tcW w:w="135" w:type="dxa"/>
            <w:tcBorders>
              <w:top w:val="nil"/>
              <w:bottom w:val="nil"/>
            </w:tcBorders>
            <w:vAlign w:val="top"/>
          </w:tcPr>
          <w:p w14:paraId="5B61BE70">
            <w:pPr>
              <w:rPr>
                <w:rFonts w:ascii="Arial"/>
                <w:sz w:val="21"/>
              </w:rPr>
            </w:pPr>
          </w:p>
        </w:tc>
      </w:tr>
      <w:tr w14:paraId="5EB13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38" w:hRule="atLeast"/>
        </w:trPr>
        <w:tc>
          <w:tcPr>
            <w:tcW w:w="324" w:type="dxa"/>
            <w:vMerge w:val="continue"/>
            <w:tcBorders>
              <w:top w:val="nil"/>
              <w:bottom w:val="nil"/>
            </w:tcBorders>
            <w:vAlign w:val="top"/>
          </w:tcPr>
          <w:p w14:paraId="6AE1B13E">
            <w:pPr>
              <w:rPr>
                <w:rFonts w:ascii="Arial"/>
                <w:sz w:val="21"/>
              </w:rPr>
            </w:pPr>
          </w:p>
        </w:tc>
        <w:tc>
          <w:tcPr>
            <w:tcW w:w="100" w:type="dxa"/>
            <w:tcBorders>
              <w:top w:val="nil"/>
              <w:bottom w:val="nil"/>
            </w:tcBorders>
            <w:shd w:val="clear" w:color="auto" w:fill="FFFFFF"/>
            <w:vAlign w:val="top"/>
          </w:tcPr>
          <w:p w14:paraId="2106A552">
            <w:pPr>
              <w:rPr>
                <w:rFonts w:ascii="Arial"/>
                <w:sz w:val="21"/>
              </w:rPr>
            </w:pPr>
          </w:p>
        </w:tc>
        <w:tc>
          <w:tcPr>
            <w:tcW w:w="1698" w:type="dxa"/>
            <w:vAlign w:val="top"/>
          </w:tcPr>
          <w:p w14:paraId="36B16E43">
            <w:pPr>
              <w:spacing w:line="246" w:lineRule="auto"/>
              <w:rPr>
                <w:rFonts w:ascii="Arial"/>
                <w:sz w:val="21"/>
              </w:rPr>
            </w:pPr>
          </w:p>
          <w:p w14:paraId="655783C8">
            <w:pPr>
              <w:spacing w:line="246" w:lineRule="auto"/>
              <w:rPr>
                <w:rFonts w:ascii="Arial"/>
                <w:sz w:val="21"/>
              </w:rPr>
            </w:pPr>
          </w:p>
          <w:p w14:paraId="1134062B">
            <w:pPr>
              <w:spacing w:line="246" w:lineRule="auto"/>
              <w:rPr>
                <w:rFonts w:ascii="Arial"/>
                <w:sz w:val="21"/>
              </w:rPr>
            </w:pPr>
          </w:p>
          <w:p w14:paraId="2DF89A55">
            <w:pPr>
              <w:spacing w:line="246" w:lineRule="auto"/>
              <w:rPr>
                <w:rFonts w:ascii="Arial"/>
                <w:sz w:val="21"/>
              </w:rPr>
            </w:pPr>
          </w:p>
          <w:p w14:paraId="6E141E80">
            <w:pPr>
              <w:pStyle w:val="6"/>
              <w:spacing w:before="75" w:line="219" w:lineRule="auto"/>
              <w:ind w:left="90"/>
              <w:rPr>
                <w:sz w:val="23"/>
                <w:szCs w:val="23"/>
              </w:rPr>
            </w:pPr>
            <w:r>
              <w:rPr>
                <w:spacing w:val="-2"/>
                <w:sz w:val="23"/>
                <w:szCs w:val="23"/>
              </w:rPr>
              <w:t>火棘-杨梅群落</w:t>
            </w:r>
          </w:p>
        </w:tc>
        <w:tc>
          <w:tcPr>
            <w:tcW w:w="1099" w:type="dxa"/>
            <w:vAlign w:val="top"/>
          </w:tcPr>
          <w:p w14:paraId="533346BD">
            <w:pPr>
              <w:spacing w:line="251" w:lineRule="auto"/>
              <w:rPr>
                <w:rFonts w:ascii="Arial"/>
                <w:sz w:val="21"/>
              </w:rPr>
            </w:pPr>
          </w:p>
          <w:p w14:paraId="4A1EC861">
            <w:pPr>
              <w:spacing w:line="252" w:lineRule="auto"/>
              <w:rPr>
                <w:rFonts w:ascii="Arial"/>
                <w:sz w:val="21"/>
              </w:rPr>
            </w:pPr>
          </w:p>
          <w:p w14:paraId="0D99ABE0">
            <w:pPr>
              <w:spacing w:line="252" w:lineRule="auto"/>
              <w:rPr>
                <w:rFonts w:ascii="Arial"/>
                <w:sz w:val="21"/>
              </w:rPr>
            </w:pPr>
          </w:p>
          <w:p w14:paraId="1CCFEF78">
            <w:pPr>
              <w:spacing w:line="252" w:lineRule="auto"/>
              <w:rPr>
                <w:rFonts w:ascii="Arial"/>
                <w:sz w:val="21"/>
              </w:rPr>
            </w:pPr>
          </w:p>
          <w:p w14:paraId="1C4E62A5">
            <w:pPr>
              <w:pStyle w:val="6"/>
              <w:spacing w:before="74" w:line="239" w:lineRule="auto"/>
              <w:ind w:left="22"/>
              <w:rPr>
                <w:sz w:val="23"/>
                <w:szCs w:val="23"/>
              </w:rPr>
            </w:pPr>
            <w:r>
              <w:rPr>
                <w:spacing w:val="-3"/>
                <w:sz w:val="23"/>
                <w:szCs w:val="23"/>
              </w:rPr>
              <w:t>103.36796</w:t>
            </w:r>
          </w:p>
        </w:tc>
        <w:tc>
          <w:tcPr>
            <w:tcW w:w="1009" w:type="dxa"/>
            <w:vAlign w:val="top"/>
          </w:tcPr>
          <w:p w14:paraId="7559E369">
            <w:pPr>
              <w:spacing w:line="251" w:lineRule="auto"/>
              <w:rPr>
                <w:rFonts w:ascii="Arial"/>
                <w:sz w:val="21"/>
              </w:rPr>
            </w:pPr>
          </w:p>
          <w:p w14:paraId="010F1A76">
            <w:pPr>
              <w:spacing w:line="252" w:lineRule="auto"/>
              <w:rPr>
                <w:rFonts w:ascii="Arial"/>
                <w:sz w:val="21"/>
              </w:rPr>
            </w:pPr>
          </w:p>
          <w:p w14:paraId="4388AAA7">
            <w:pPr>
              <w:spacing w:line="252" w:lineRule="auto"/>
              <w:rPr>
                <w:rFonts w:ascii="Arial"/>
                <w:sz w:val="21"/>
              </w:rPr>
            </w:pPr>
          </w:p>
          <w:p w14:paraId="4DC87C2B">
            <w:pPr>
              <w:spacing w:line="252" w:lineRule="auto"/>
              <w:rPr>
                <w:rFonts w:ascii="Arial"/>
                <w:sz w:val="21"/>
              </w:rPr>
            </w:pPr>
          </w:p>
          <w:p w14:paraId="4F12D8CF">
            <w:pPr>
              <w:pStyle w:val="6"/>
              <w:spacing w:before="74" w:line="239" w:lineRule="auto"/>
              <w:ind w:left="34"/>
              <w:rPr>
                <w:sz w:val="23"/>
                <w:szCs w:val="23"/>
              </w:rPr>
            </w:pPr>
            <w:r>
              <w:rPr>
                <w:spacing w:val="-2"/>
                <w:sz w:val="23"/>
                <w:szCs w:val="23"/>
              </w:rPr>
              <w:t>25.37418</w:t>
            </w:r>
          </w:p>
        </w:tc>
        <w:tc>
          <w:tcPr>
            <w:tcW w:w="1338" w:type="dxa"/>
            <w:vAlign w:val="top"/>
          </w:tcPr>
          <w:p w14:paraId="0F195E7A">
            <w:pPr>
              <w:spacing w:line="246" w:lineRule="auto"/>
              <w:rPr>
                <w:rFonts w:ascii="Arial"/>
                <w:sz w:val="21"/>
              </w:rPr>
            </w:pPr>
          </w:p>
          <w:p w14:paraId="12F61AF0">
            <w:pPr>
              <w:spacing w:line="246" w:lineRule="auto"/>
              <w:rPr>
                <w:rFonts w:ascii="Arial"/>
                <w:sz w:val="21"/>
              </w:rPr>
            </w:pPr>
          </w:p>
          <w:p w14:paraId="147C6903">
            <w:pPr>
              <w:spacing w:line="246" w:lineRule="auto"/>
              <w:rPr>
                <w:rFonts w:ascii="Arial"/>
                <w:sz w:val="21"/>
              </w:rPr>
            </w:pPr>
          </w:p>
          <w:p w14:paraId="1DC434C4">
            <w:pPr>
              <w:spacing w:line="246" w:lineRule="auto"/>
              <w:rPr>
                <w:rFonts w:ascii="Arial"/>
                <w:sz w:val="21"/>
              </w:rPr>
            </w:pPr>
          </w:p>
          <w:p w14:paraId="14F79224">
            <w:pPr>
              <w:pStyle w:val="6"/>
              <w:spacing w:before="75" w:line="219" w:lineRule="auto"/>
              <w:ind w:left="145"/>
              <w:rPr>
                <w:sz w:val="23"/>
                <w:szCs w:val="23"/>
              </w:rPr>
            </w:pPr>
            <w:r>
              <w:rPr>
                <w:spacing w:val="5"/>
                <w:sz w:val="23"/>
                <w:szCs w:val="23"/>
              </w:rPr>
              <w:t>2024年7月</w:t>
            </w:r>
          </w:p>
        </w:tc>
        <w:tc>
          <w:tcPr>
            <w:tcW w:w="3356" w:type="dxa"/>
            <w:vAlign w:val="top"/>
          </w:tcPr>
          <w:p w14:paraId="044CD666">
            <w:pPr>
              <w:spacing w:before="25" w:line="2280" w:lineRule="exact"/>
              <w:ind w:firstLine="407"/>
            </w:pPr>
            <w:r>
              <w:rPr>
                <w:position w:val="-45"/>
              </w:rPr>
              <w:drawing>
                <wp:inline distT="0" distB="0" distL="0" distR="0">
                  <wp:extent cx="1624965" cy="144716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93"/>
                          <a:stretch>
                            <a:fillRect/>
                          </a:stretch>
                        </pic:blipFill>
                        <pic:spPr>
                          <a:xfrm>
                            <a:off x="0" y="0"/>
                            <a:ext cx="1625558" cy="1447779"/>
                          </a:xfrm>
                          <a:prstGeom prst="rect">
                            <a:avLst/>
                          </a:prstGeom>
                        </pic:spPr>
                      </pic:pic>
                    </a:graphicData>
                  </a:graphic>
                </wp:inline>
              </w:drawing>
            </w:r>
          </w:p>
        </w:tc>
        <w:tc>
          <w:tcPr>
            <w:tcW w:w="135" w:type="dxa"/>
            <w:tcBorders>
              <w:top w:val="nil"/>
              <w:bottom w:val="nil"/>
            </w:tcBorders>
            <w:vAlign w:val="top"/>
          </w:tcPr>
          <w:p w14:paraId="18805D9B">
            <w:pPr>
              <w:rPr>
                <w:rFonts w:ascii="Arial"/>
                <w:sz w:val="21"/>
              </w:rPr>
            </w:pPr>
          </w:p>
        </w:tc>
      </w:tr>
      <w:tr w14:paraId="73C79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324" w:type="dxa"/>
            <w:vMerge w:val="continue"/>
            <w:tcBorders>
              <w:top w:val="nil"/>
              <w:bottom w:val="nil"/>
            </w:tcBorders>
            <w:vAlign w:val="top"/>
          </w:tcPr>
          <w:p w14:paraId="063FA8B3">
            <w:pPr>
              <w:rPr>
                <w:rFonts w:ascii="Arial"/>
                <w:sz w:val="21"/>
              </w:rPr>
            </w:pPr>
          </w:p>
        </w:tc>
        <w:tc>
          <w:tcPr>
            <w:tcW w:w="100" w:type="dxa"/>
            <w:tcBorders>
              <w:top w:val="nil"/>
              <w:bottom w:val="nil"/>
            </w:tcBorders>
            <w:shd w:val="clear" w:color="auto" w:fill="FFFFFF"/>
            <w:vAlign w:val="top"/>
          </w:tcPr>
          <w:p w14:paraId="0368488B">
            <w:pPr>
              <w:rPr>
                <w:rFonts w:ascii="Arial"/>
                <w:sz w:val="21"/>
              </w:rPr>
            </w:pPr>
          </w:p>
        </w:tc>
        <w:tc>
          <w:tcPr>
            <w:tcW w:w="1698" w:type="dxa"/>
            <w:vAlign w:val="top"/>
          </w:tcPr>
          <w:p w14:paraId="25A718AA">
            <w:pPr>
              <w:spacing w:line="344" w:lineRule="auto"/>
              <w:rPr>
                <w:rFonts w:ascii="Arial"/>
                <w:sz w:val="21"/>
              </w:rPr>
            </w:pPr>
          </w:p>
          <w:p w14:paraId="74B71FEB">
            <w:pPr>
              <w:spacing w:line="344" w:lineRule="auto"/>
              <w:rPr>
                <w:rFonts w:ascii="Arial"/>
                <w:sz w:val="21"/>
              </w:rPr>
            </w:pPr>
          </w:p>
          <w:p w14:paraId="74A86A1A">
            <w:pPr>
              <w:pStyle w:val="6"/>
              <w:spacing w:before="75" w:line="219" w:lineRule="auto"/>
              <w:ind w:left="490"/>
              <w:rPr>
                <w:sz w:val="23"/>
                <w:szCs w:val="23"/>
              </w:rPr>
            </w:pPr>
            <w:r>
              <w:rPr>
                <w:spacing w:val="-2"/>
                <w:sz w:val="23"/>
                <w:szCs w:val="23"/>
              </w:rPr>
              <w:t>桉树林</w:t>
            </w:r>
          </w:p>
        </w:tc>
        <w:tc>
          <w:tcPr>
            <w:tcW w:w="1099" w:type="dxa"/>
            <w:vAlign w:val="top"/>
          </w:tcPr>
          <w:p w14:paraId="77428CA3">
            <w:pPr>
              <w:spacing w:line="355" w:lineRule="auto"/>
              <w:rPr>
                <w:rFonts w:ascii="Arial"/>
                <w:sz w:val="21"/>
              </w:rPr>
            </w:pPr>
          </w:p>
          <w:p w14:paraId="7DB66593">
            <w:pPr>
              <w:spacing w:line="355" w:lineRule="auto"/>
              <w:rPr>
                <w:rFonts w:ascii="Arial"/>
                <w:sz w:val="21"/>
              </w:rPr>
            </w:pPr>
          </w:p>
          <w:p w14:paraId="6E8815ED">
            <w:pPr>
              <w:pStyle w:val="6"/>
              <w:spacing w:before="75" w:line="239" w:lineRule="auto"/>
              <w:ind w:left="22"/>
              <w:rPr>
                <w:sz w:val="23"/>
                <w:szCs w:val="23"/>
              </w:rPr>
            </w:pPr>
            <w:r>
              <w:rPr>
                <w:spacing w:val="-3"/>
                <w:sz w:val="23"/>
                <w:szCs w:val="23"/>
              </w:rPr>
              <w:t>103.36701</w:t>
            </w:r>
          </w:p>
        </w:tc>
        <w:tc>
          <w:tcPr>
            <w:tcW w:w="1009" w:type="dxa"/>
            <w:vAlign w:val="top"/>
          </w:tcPr>
          <w:p w14:paraId="199BFBC9">
            <w:pPr>
              <w:spacing w:line="355" w:lineRule="auto"/>
              <w:rPr>
                <w:rFonts w:ascii="Arial"/>
                <w:sz w:val="21"/>
              </w:rPr>
            </w:pPr>
          </w:p>
          <w:p w14:paraId="3278CEB7">
            <w:pPr>
              <w:spacing w:line="355" w:lineRule="auto"/>
              <w:rPr>
                <w:rFonts w:ascii="Arial"/>
                <w:sz w:val="21"/>
              </w:rPr>
            </w:pPr>
          </w:p>
          <w:p w14:paraId="1C4A4324">
            <w:pPr>
              <w:pStyle w:val="6"/>
              <w:spacing w:before="75" w:line="239" w:lineRule="auto"/>
              <w:ind w:left="34"/>
              <w:rPr>
                <w:sz w:val="23"/>
                <w:szCs w:val="23"/>
              </w:rPr>
            </w:pPr>
            <w:r>
              <w:rPr>
                <w:spacing w:val="-2"/>
                <w:sz w:val="23"/>
                <w:szCs w:val="23"/>
              </w:rPr>
              <w:t>25.36913</w:t>
            </w:r>
          </w:p>
        </w:tc>
        <w:tc>
          <w:tcPr>
            <w:tcW w:w="1338" w:type="dxa"/>
            <w:vAlign w:val="top"/>
          </w:tcPr>
          <w:p w14:paraId="40B8ED2E">
            <w:pPr>
              <w:spacing w:line="344" w:lineRule="auto"/>
              <w:rPr>
                <w:rFonts w:ascii="Arial"/>
                <w:sz w:val="21"/>
              </w:rPr>
            </w:pPr>
          </w:p>
          <w:p w14:paraId="0D9BEDE7">
            <w:pPr>
              <w:spacing w:line="344" w:lineRule="auto"/>
              <w:rPr>
                <w:rFonts w:ascii="Arial"/>
                <w:sz w:val="21"/>
              </w:rPr>
            </w:pPr>
          </w:p>
          <w:p w14:paraId="7C2C0F91">
            <w:pPr>
              <w:pStyle w:val="6"/>
              <w:spacing w:before="75" w:line="219" w:lineRule="auto"/>
              <w:ind w:left="145"/>
              <w:rPr>
                <w:sz w:val="23"/>
                <w:szCs w:val="23"/>
              </w:rPr>
            </w:pPr>
            <w:r>
              <w:rPr>
                <w:spacing w:val="5"/>
                <w:sz w:val="23"/>
                <w:szCs w:val="23"/>
              </w:rPr>
              <w:t>2024年7月</w:t>
            </w:r>
          </w:p>
        </w:tc>
        <w:tc>
          <w:tcPr>
            <w:tcW w:w="3356" w:type="dxa"/>
            <w:vAlign w:val="top"/>
          </w:tcPr>
          <w:p w14:paraId="68C33740">
            <w:pPr>
              <w:spacing w:before="27" w:line="1700" w:lineRule="exact"/>
              <w:ind w:firstLine="306"/>
            </w:pPr>
            <w:r>
              <w:rPr>
                <w:position w:val="-33"/>
              </w:rPr>
              <w:drawing>
                <wp:inline distT="0" distB="0" distL="0" distR="0">
                  <wp:extent cx="1739900" cy="107886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94"/>
                          <a:stretch>
                            <a:fillRect/>
                          </a:stretch>
                        </pic:blipFill>
                        <pic:spPr>
                          <a:xfrm>
                            <a:off x="0" y="0"/>
                            <a:ext cx="1739909" cy="1079498"/>
                          </a:xfrm>
                          <a:prstGeom prst="rect">
                            <a:avLst/>
                          </a:prstGeom>
                        </pic:spPr>
                      </pic:pic>
                    </a:graphicData>
                  </a:graphic>
                </wp:inline>
              </w:drawing>
            </w:r>
          </w:p>
        </w:tc>
        <w:tc>
          <w:tcPr>
            <w:tcW w:w="135" w:type="dxa"/>
            <w:tcBorders>
              <w:top w:val="nil"/>
              <w:bottom w:val="nil"/>
            </w:tcBorders>
            <w:vAlign w:val="top"/>
          </w:tcPr>
          <w:p w14:paraId="38256236">
            <w:pPr>
              <w:rPr>
                <w:rFonts w:ascii="Arial"/>
                <w:sz w:val="21"/>
              </w:rPr>
            </w:pPr>
          </w:p>
        </w:tc>
      </w:tr>
      <w:tr w14:paraId="1DCA6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3" w:hRule="atLeast"/>
        </w:trPr>
        <w:tc>
          <w:tcPr>
            <w:tcW w:w="324" w:type="dxa"/>
            <w:vMerge w:val="continue"/>
            <w:tcBorders>
              <w:top w:val="nil"/>
            </w:tcBorders>
            <w:vAlign w:val="top"/>
          </w:tcPr>
          <w:p w14:paraId="4791C620">
            <w:pPr>
              <w:rPr>
                <w:rFonts w:ascii="Arial"/>
                <w:sz w:val="21"/>
              </w:rPr>
            </w:pPr>
          </w:p>
        </w:tc>
        <w:tc>
          <w:tcPr>
            <w:tcW w:w="100" w:type="dxa"/>
            <w:tcBorders>
              <w:top w:val="nil"/>
            </w:tcBorders>
            <w:shd w:val="clear" w:color="auto" w:fill="FFFFFF"/>
            <w:vAlign w:val="top"/>
          </w:tcPr>
          <w:p w14:paraId="60111177">
            <w:pPr>
              <w:rPr>
                <w:rFonts w:ascii="Arial"/>
                <w:sz w:val="21"/>
              </w:rPr>
            </w:pPr>
          </w:p>
        </w:tc>
        <w:tc>
          <w:tcPr>
            <w:tcW w:w="1698" w:type="dxa"/>
            <w:vAlign w:val="top"/>
          </w:tcPr>
          <w:p w14:paraId="4875BB15">
            <w:pPr>
              <w:spacing w:line="259" w:lineRule="auto"/>
              <w:rPr>
                <w:rFonts w:ascii="Arial"/>
                <w:sz w:val="21"/>
              </w:rPr>
            </w:pPr>
          </w:p>
          <w:p w14:paraId="4C74B4EF">
            <w:pPr>
              <w:spacing w:line="259" w:lineRule="auto"/>
              <w:rPr>
                <w:rFonts w:ascii="Arial"/>
                <w:sz w:val="21"/>
              </w:rPr>
            </w:pPr>
          </w:p>
          <w:p w14:paraId="6716BC76">
            <w:pPr>
              <w:spacing w:line="260" w:lineRule="auto"/>
              <w:rPr>
                <w:rFonts w:ascii="Arial"/>
                <w:sz w:val="21"/>
              </w:rPr>
            </w:pPr>
          </w:p>
          <w:p w14:paraId="1335288C">
            <w:pPr>
              <w:pStyle w:val="6"/>
              <w:spacing w:before="75" w:line="219" w:lineRule="auto"/>
              <w:ind w:left="30"/>
              <w:rPr>
                <w:sz w:val="23"/>
                <w:szCs w:val="23"/>
              </w:rPr>
            </w:pPr>
            <w:r>
              <w:rPr>
                <w:spacing w:val="-1"/>
                <w:sz w:val="23"/>
                <w:szCs w:val="23"/>
              </w:rPr>
              <w:t>刺芒野古草群落</w:t>
            </w:r>
          </w:p>
        </w:tc>
        <w:tc>
          <w:tcPr>
            <w:tcW w:w="1099" w:type="dxa"/>
            <w:vAlign w:val="top"/>
          </w:tcPr>
          <w:p w14:paraId="086A9A33">
            <w:pPr>
              <w:spacing w:line="267" w:lineRule="auto"/>
              <w:rPr>
                <w:rFonts w:ascii="Arial"/>
                <w:sz w:val="21"/>
              </w:rPr>
            </w:pPr>
          </w:p>
          <w:p w14:paraId="00FBF87C">
            <w:pPr>
              <w:spacing w:line="267" w:lineRule="auto"/>
              <w:rPr>
                <w:rFonts w:ascii="Arial"/>
                <w:sz w:val="21"/>
              </w:rPr>
            </w:pPr>
          </w:p>
          <w:p w14:paraId="0B147FA9">
            <w:pPr>
              <w:spacing w:line="267" w:lineRule="auto"/>
              <w:rPr>
                <w:rFonts w:ascii="Arial"/>
                <w:sz w:val="21"/>
              </w:rPr>
            </w:pPr>
          </w:p>
          <w:p w14:paraId="34478AE7">
            <w:pPr>
              <w:pStyle w:val="6"/>
              <w:spacing w:before="75" w:line="239" w:lineRule="auto"/>
              <w:ind w:left="22"/>
              <w:rPr>
                <w:sz w:val="23"/>
                <w:szCs w:val="23"/>
              </w:rPr>
            </w:pPr>
            <w:r>
              <w:rPr>
                <w:spacing w:val="-3"/>
                <w:sz w:val="23"/>
                <w:szCs w:val="23"/>
              </w:rPr>
              <w:t>103.39250</w:t>
            </w:r>
          </w:p>
        </w:tc>
        <w:tc>
          <w:tcPr>
            <w:tcW w:w="1009" w:type="dxa"/>
            <w:vAlign w:val="top"/>
          </w:tcPr>
          <w:p w14:paraId="7EA0FC84">
            <w:pPr>
              <w:spacing w:line="267" w:lineRule="auto"/>
              <w:rPr>
                <w:rFonts w:ascii="Arial"/>
                <w:sz w:val="21"/>
              </w:rPr>
            </w:pPr>
          </w:p>
          <w:p w14:paraId="58F2DCE3">
            <w:pPr>
              <w:spacing w:line="267" w:lineRule="auto"/>
              <w:rPr>
                <w:rFonts w:ascii="Arial"/>
                <w:sz w:val="21"/>
              </w:rPr>
            </w:pPr>
          </w:p>
          <w:p w14:paraId="2D24A151">
            <w:pPr>
              <w:spacing w:line="267" w:lineRule="auto"/>
              <w:rPr>
                <w:rFonts w:ascii="Arial"/>
                <w:sz w:val="21"/>
              </w:rPr>
            </w:pPr>
          </w:p>
          <w:p w14:paraId="0F5F8A9E">
            <w:pPr>
              <w:pStyle w:val="6"/>
              <w:spacing w:before="75" w:line="239" w:lineRule="auto"/>
              <w:ind w:left="34"/>
              <w:rPr>
                <w:sz w:val="23"/>
                <w:szCs w:val="23"/>
              </w:rPr>
            </w:pPr>
            <w:r>
              <w:rPr>
                <w:spacing w:val="-2"/>
                <w:sz w:val="23"/>
                <w:szCs w:val="23"/>
              </w:rPr>
              <w:t>25.28055</w:t>
            </w:r>
          </w:p>
        </w:tc>
        <w:tc>
          <w:tcPr>
            <w:tcW w:w="1338" w:type="dxa"/>
            <w:vAlign w:val="top"/>
          </w:tcPr>
          <w:p w14:paraId="4FE473F4">
            <w:pPr>
              <w:spacing w:line="259" w:lineRule="auto"/>
              <w:rPr>
                <w:rFonts w:ascii="Arial"/>
                <w:sz w:val="21"/>
              </w:rPr>
            </w:pPr>
          </w:p>
          <w:p w14:paraId="6AD8292A">
            <w:pPr>
              <w:spacing w:line="259" w:lineRule="auto"/>
              <w:rPr>
                <w:rFonts w:ascii="Arial"/>
                <w:sz w:val="21"/>
              </w:rPr>
            </w:pPr>
          </w:p>
          <w:p w14:paraId="2E7503DA">
            <w:pPr>
              <w:spacing w:line="260" w:lineRule="auto"/>
              <w:rPr>
                <w:rFonts w:ascii="Arial"/>
                <w:sz w:val="21"/>
              </w:rPr>
            </w:pPr>
          </w:p>
          <w:p w14:paraId="2956C9DE">
            <w:pPr>
              <w:pStyle w:val="6"/>
              <w:spacing w:before="75" w:line="219" w:lineRule="auto"/>
              <w:ind w:left="145"/>
              <w:rPr>
                <w:sz w:val="23"/>
                <w:szCs w:val="23"/>
              </w:rPr>
            </w:pPr>
            <w:r>
              <w:rPr>
                <w:spacing w:val="5"/>
                <w:sz w:val="23"/>
                <w:szCs w:val="23"/>
              </w:rPr>
              <w:t>2024年7月</w:t>
            </w:r>
          </w:p>
        </w:tc>
        <w:tc>
          <w:tcPr>
            <w:tcW w:w="3356" w:type="dxa"/>
            <w:vAlign w:val="top"/>
          </w:tcPr>
          <w:p w14:paraId="72DF3BE0">
            <w:pPr>
              <w:spacing w:before="28" w:line="1880" w:lineRule="exact"/>
              <w:ind w:firstLine="86"/>
            </w:pPr>
            <w:r>
              <w:rPr>
                <w:position w:val="-37"/>
              </w:rPr>
              <w:drawing>
                <wp:inline distT="0" distB="0" distL="0" distR="0">
                  <wp:extent cx="2044065" cy="119380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95"/>
                          <a:stretch>
                            <a:fillRect/>
                          </a:stretch>
                        </pic:blipFill>
                        <pic:spPr>
                          <a:xfrm>
                            <a:off x="0" y="0"/>
                            <a:ext cx="2044691" cy="1193811"/>
                          </a:xfrm>
                          <a:prstGeom prst="rect">
                            <a:avLst/>
                          </a:prstGeom>
                        </pic:spPr>
                      </pic:pic>
                    </a:graphicData>
                  </a:graphic>
                </wp:inline>
              </w:drawing>
            </w:r>
          </w:p>
        </w:tc>
        <w:tc>
          <w:tcPr>
            <w:tcW w:w="135" w:type="dxa"/>
            <w:tcBorders>
              <w:top w:val="nil"/>
            </w:tcBorders>
            <w:vAlign w:val="top"/>
          </w:tcPr>
          <w:p w14:paraId="60D0F963">
            <w:pPr>
              <w:rPr>
                <w:rFonts w:ascii="Arial"/>
                <w:sz w:val="21"/>
              </w:rPr>
            </w:pPr>
          </w:p>
        </w:tc>
      </w:tr>
    </w:tbl>
    <w:p w14:paraId="05F558DC">
      <w:pPr>
        <w:pStyle w:val="2"/>
      </w:pPr>
    </w:p>
    <w:p w14:paraId="7878D444">
      <w:pPr>
        <w:sectPr>
          <w:footerReference r:id="rId63" w:type="default"/>
          <w:pgSz w:w="11910" w:h="16840"/>
          <w:pgMar w:top="1431" w:right="1435" w:bottom="1255" w:left="1405" w:header="0" w:footer="1093" w:gutter="0"/>
          <w:cols w:space="720" w:num="1"/>
        </w:sectPr>
      </w:pPr>
    </w:p>
    <w:p w14:paraId="7CCA7ABA">
      <w:pPr>
        <w:spacing w:line="93" w:lineRule="exact"/>
      </w:pPr>
    </w:p>
    <w:tbl>
      <w:tblPr>
        <w:tblStyle w:val="5"/>
        <w:tblW w:w="90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
        <w:gridCol w:w="8737"/>
      </w:tblGrid>
      <w:tr w14:paraId="7D306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9" w:hRule="atLeast"/>
        </w:trPr>
        <w:tc>
          <w:tcPr>
            <w:tcW w:w="334" w:type="dxa"/>
            <w:vAlign w:val="top"/>
          </w:tcPr>
          <w:p w14:paraId="65194A1C">
            <w:pPr>
              <w:rPr>
                <w:rFonts w:ascii="Arial"/>
                <w:sz w:val="21"/>
              </w:rPr>
            </w:pPr>
          </w:p>
        </w:tc>
        <w:tc>
          <w:tcPr>
            <w:tcW w:w="8737" w:type="dxa"/>
            <w:vAlign w:val="top"/>
          </w:tcPr>
          <w:p w14:paraId="493A102F">
            <w:pPr>
              <w:pStyle w:val="6"/>
              <w:spacing w:before="135" w:line="219" w:lineRule="auto"/>
              <w:ind w:left="730"/>
            </w:pPr>
            <w:r>
              <w:rPr>
                <w:spacing w:val="1"/>
              </w:rPr>
              <w:t>(一)暖温性灌丛</w:t>
            </w:r>
          </w:p>
          <w:p w14:paraId="35CBEC0E">
            <w:pPr>
              <w:pStyle w:val="6"/>
              <w:spacing w:before="163" w:line="218" w:lineRule="auto"/>
              <w:ind w:left="521"/>
            </w:pPr>
            <w:r>
              <w:t>评价区内的暖温性灌丛以杨梅、火棘群落为优势种</w:t>
            </w:r>
            <w:r>
              <w:rPr>
                <w:spacing w:val="-1"/>
              </w:rPr>
              <w:t>。杨梅、火棘群落样方</w:t>
            </w:r>
          </w:p>
          <w:p w14:paraId="52B06D7A">
            <w:pPr>
              <w:pStyle w:val="6"/>
              <w:spacing w:before="185" w:line="360" w:lineRule="auto"/>
              <w:ind w:left="40" w:right="35"/>
              <w:jc w:val="both"/>
            </w:pPr>
            <w:r>
              <w:t>调查情况详见附表。评价区内该群落主要分布于受人为干扰较大的山坡，呈片段化</w:t>
            </w:r>
            <w:r>
              <w:rPr>
                <w:spacing w:val="9"/>
              </w:rPr>
              <w:t xml:space="preserve"> </w:t>
            </w:r>
            <w:r>
              <w:t>散布，该群落为原生的季风常绿阔叶林遭到破坏后天然更新</w:t>
            </w:r>
            <w:r>
              <w:rPr>
                <w:spacing w:val="-1"/>
              </w:rPr>
              <w:t>形成的，从演化关系来</w:t>
            </w:r>
            <w:r>
              <w:t xml:space="preserve"> </w:t>
            </w:r>
            <w:r>
              <w:rPr>
                <w:spacing w:val="5"/>
              </w:rPr>
              <w:t>看与栎类林关系最为密切。</w:t>
            </w:r>
          </w:p>
          <w:p w14:paraId="5E50BD1B">
            <w:pPr>
              <w:pStyle w:val="6"/>
              <w:spacing w:before="7" w:line="219" w:lineRule="auto"/>
              <w:ind w:left="570"/>
            </w:pPr>
            <w:r>
              <w:t>群落整体由灌木层和草本层组成。</w:t>
            </w:r>
          </w:p>
          <w:p w14:paraId="04CD4299">
            <w:pPr>
              <w:pStyle w:val="6"/>
              <w:spacing w:before="173" w:line="216" w:lineRule="auto"/>
              <w:ind w:left="580"/>
            </w:pPr>
            <w:r>
              <w:t>灌木层种类较多，但个体数量较少，高0.5-1.5米，盖度约20-25%,种类有火</w:t>
            </w:r>
          </w:p>
          <w:p w14:paraId="6B0C33C3">
            <w:pPr>
              <w:pStyle w:val="6"/>
              <w:spacing w:before="191" w:line="359" w:lineRule="auto"/>
              <w:ind w:left="10" w:firstLine="88"/>
            </w:pPr>
            <w:r>
              <w:rPr>
                <w:spacing w:val="-12"/>
              </w:rPr>
              <w:t>棘Pyracantha fortuneana、杨梅Myrica nanta、锈叶杜鹃R</w:t>
            </w:r>
            <w:r>
              <w:rPr>
                <w:spacing w:val="-13"/>
              </w:rPr>
              <w:t>hododendron siderophyllum、</w:t>
            </w:r>
            <w:r>
              <w:t xml:space="preserve"> 珍珠花Spiraea thunbergii、大白杜</w:t>
            </w:r>
            <w:r>
              <w:rPr>
                <w:spacing w:val="-1"/>
              </w:rPr>
              <w:t>鹃Rhododendron decorum、乌鸦果Vaccinium</w:t>
            </w:r>
            <w:r>
              <w:t xml:space="preserve">   </w:t>
            </w:r>
            <w:r>
              <w:rPr>
                <w:spacing w:val="-2"/>
              </w:rPr>
              <w:t>uralum、芒种花Hypericum uralu</w:t>
            </w:r>
            <w:r>
              <w:rPr>
                <w:spacing w:val="-3"/>
              </w:rPr>
              <w:t>m、多花荻子稍Campylotropis polyantha、平叶荚</w:t>
            </w:r>
            <w:r>
              <w:t xml:space="preserve">  </w:t>
            </w:r>
            <w:r>
              <w:rPr>
                <w:spacing w:val="-11"/>
              </w:rPr>
              <w:t>速Viburnum flavescens</w:t>
            </w:r>
            <w:r>
              <w:rPr>
                <w:spacing w:val="-12"/>
              </w:rPr>
              <w:t>、胡枝子Lespedeza sp.、滇北蔷薇Rosa mairei、滇山杨Populus</w:t>
            </w:r>
            <w:r>
              <w:t xml:space="preserve">  </w:t>
            </w:r>
            <w:r>
              <w:rPr>
                <w:spacing w:val="-13"/>
              </w:rPr>
              <w:t>bonatii、岩鼠李Rhamnus virgatus、小羊奶果Elaeagnus viridis</w:t>
            </w:r>
            <w:r>
              <w:rPr>
                <w:spacing w:val="-14"/>
              </w:rPr>
              <w:t xml:space="preserve"> var.delavayi、鸡骨柴</w:t>
            </w:r>
            <w:r>
              <w:t xml:space="preserve">  </w:t>
            </w:r>
            <w:r>
              <w:rPr>
                <w:spacing w:val="-10"/>
              </w:rPr>
              <w:t>Elsholtzia fruticosa、波叶山蚂蝗Desmodium sinuatum、金丝梅Hypericum sp</w:t>
            </w:r>
            <w:r>
              <w:rPr>
                <w:spacing w:val="-11"/>
              </w:rPr>
              <w:t>.、红素</w:t>
            </w:r>
            <w:r>
              <w:t xml:space="preserve">  </w:t>
            </w:r>
            <w:r>
              <w:rPr>
                <w:spacing w:val="16"/>
              </w:rPr>
              <w:t>馨</w:t>
            </w:r>
            <w:r>
              <w:t>Jasminum</w:t>
            </w:r>
            <w:r>
              <w:rPr>
                <w:spacing w:val="16"/>
              </w:rPr>
              <w:t xml:space="preserve"> </w:t>
            </w:r>
            <w:r>
              <w:t>beesianum</w:t>
            </w:r>
            <w:r>
              <w:rPr>
                <w:spacing w:val="16"/>
              </w:rPr>
              <w:t>等。</w:t>
            </w:r>
          </w:p>
          <w:p w14:paraId="23F677A3">
            <w:pPr>
              <w:pStyle w:val="6"/>
              <w:spacing w:line="216" w:lineRule="auto"/>
              <w:ind w:left="640"/>
            </w:pPr>
            <w:r>
              <w:t>草本层高30厘米左右，盖度10-15%。种类有刺芒野古草A.Hookeri,柔枝</w:t>
            </w:r>
          </w:p>
          <w:p w14:paraId="1FA3DC8F">
            <w:pPr>
              <w:pStyle w:val="6"/>
              <w:spacing w:before="190" w:line="361" w:lineRule="auto"/>
              <w:ind w:left="40" w:firstLine="49"/>
              <w:jc w:val="both"/>
            </w:pPr>
            <w:r>
              <w:rPr>
                <w:spacing w:val="-7"/>
              </w:rPr>
              <w:t>莠竹Microstegium vimineum、丰产鳞毛</w:t>
            </w:r>
            <w:r>
              <w:rPr>
                <w:spacing w:val="-8"/>
              </w:rPr>
              <w:t>蕨Dryopteris fruticosa、沿阶草OpHiopogon</w:t>
            </w:r>
            <w:r>
              <w:t xml:space="preserve">  </w:t>
            </w:r>
            <w:r>
              <w:rPr>
                <w:spacing w:val="-12"/>
              </w:rPr>
              <w:t>stenopHyllus、狭叶沿阶草OpHiopogon stenopHyllus、四脉金茅Eulalia quadrinervis、</w:t>
            </w:r>
            <w:r>
              <w:rPr>
                <w:spacing w:val="9"/>
              </w:rPr>
              <w:t xml:space="preserve"> </w:t>
            </w:r>
            <w:r>
              <w:rPr>
                <w:spacing w:val="-15"/>
              </w:rPr>
              <w:t>粉背悬钩子Rubus biflorus var.quiqueflorus、一支箭Lasiop</w:t>
            </w:r>
            <w:r>
              <w:rPr>
                <w:spacing w:val="-16"/>
              </w:rPr>
              <w:t>us pilosellodides、戟叶火</w:t>
            </w:r>
            <w:r>
              <w:t xml:space="preserve">  </w:t>
            </w:r>
            <w:r>
              <w:rPr>
                <w:spacing w:val="-10"/>
              </w:rPr>
              <w:t>绒草Leontopodium dedekensii、野姜Zingiber striolatum、蕨菜Pteridium aquilinum</w:t>
            </w:r>
            <w:r>
              <w:rPr>
                <w:spacing w:val="8"/>
              </w:rPr>
              <w:t xml:space="preserve">  </w:t>
            </w:r>
            <w:r>
              <w:rPr>
                <w:spacing w:val="-7"/>
              </w:rPr>
              <w:t>var:latiusculum、浆果苔草Carex baccans、星毛繁缕Stellaria vestita、白</w:t>
            </w:r>
            <w:r>
              <w:rPr>
                <w:spacing w:val="-8"/>
              </w:rPr>
              <w:t>果草莓</w:t>
            </w:r>
            <w:r>
              <w:t xml:space="preserve">  </w:t>
            </w:r>
            <w:r>
              <w:rPr>
                <w:spacing w:val="-12"/>
              </w:rPr>
              <w:t>Fragaria nelgeerensis</w:t>
            </w:r>
            <w:r>
              <w:rPr>
                <w:spacing w:val="-13"/>
              </w:rPr>
              <w:t xml:space="preserve"> var:meiret、蒽草Arthraxon hispidum、鸡爪刺Rubus delavayi、</w:t>
            </w:r>
            <w:r>
              <w:t xml:space="preserve"> </w:t>
            </w:r>
            <w:r>
              <w:rPr>
                <w:spacing w:val="-14"/>
              </w:rPr>
              <w:t>高山露珠草Circaea caulescens、倒提壶Cynoglossum amabile、马先蒿Pedicularis sp.、</w:t>
            </w:r>
            <w:r>
              <w:rPr>
                <w:spacing w:val="9"/>
              </w:rPr>
              <w:t xml:space="preserve"> </w:t>
            </w:r>
            <w:r>
              <w:rPr>
                <w:spacing w:val="-7"/>
              </w:rPr>
              <w:t>拉拉藤Galium sp.、香青AnapHalis</w:t>
            </w:r>
            <w:r>
              <w:rPr>
                <w:spacing w:val="29"/>
              </w:rPr>
              <w:t xml:space="preserve"> </w:t>
            </w:r>
            <w:r>
              <w:rPr>
                <w:spacing w:val="-7"/>
              </w:rPr>
              <w:t>sp.、龙牙草</w:t>
            </w:r>
            <w:r>
              <w:rPr>
                <w:spacing w:val="-8"/>
              </w:rPr>
              <w:t>Agrimonia pilosa、麦冬OpHiopogon</w:t>
            </w:r>
            <w:r>
              <w:t xml:space="preserve">  </w:t>
            </w:r>
            <w:r>
              <w:rPr>
                <w:spacing w:val="-2"/>
              </w:rPr>
              <w:t>japonicus、五叶草Geranium nepalense、百蕊草Thesium chinense等。</w:t>
            </w:r>
          </w:p>
          <w:p w14:paraId="6A928051">
            <w:pPr>
              <w:pStyle w:val="6"/>
              <w:spacing w:before="9" w:line="219" w:lineRule="auto"/>
              <w:ind w:left="730"/>
            </w:pPr>
            <w:r>
              <w:rPr>
                <w:spacing w:val="1"/>
              </w:rPr>
              <w:t>(二)草地</w:t>
            </w:r>
          </w:p>
          <w:p w14:paraId="24E5F38E">
            <w:pPr>
              <w:pStyle w:val="6"/>
              <w:spacing w:before="167" w:line="357" w:lineRule="auto"/>
              <w:ind w:left="40" w:firstLine="539"/>
              <w:jc w:val="both"/>
            </w:pPr>
            <w:r>
              <w:t>草甸为在大气水分和土壤水分适中的条件下</w:t>
            </w:r>
            <w:r>
              <w:rPr>
                <w:spacing w:val="-1"/>
              </w:rPr>
              <w:t>形成和发育起来的。云南的草甸类</w:t>
            </w:r>
            <w:r>
              <w:t xml:space="preserve"> 型一般分布在温性或寒温性山地气候地区，冬季严寒，而在植物的生长季节中，都</w:t>
            </w:r>
            <w:r>
              <w:rPr>
                <w:spacing w:val="6"/>
              </w:rPr>
              <w:t xml:space="preserve"> </w:t>
            </w:r>
            <w:r>
              <w:rPr>
                <w:spacing w:val="2"/>
              </w:rPr>
              <w:t>有一个或长或短的温凉湿润的气候条件。项目评价区内的草地以穗序野古草</w:t>
            </w:r>
          </w:p>
          <w:p w14:paraId="0083ABB3">
            <w:pPr>
              <w:pStyle w:val="6"/>
              <w:spacing w:line="214" w:lineRule="auto"/>
              <w:ind w:left="100"/>
            </w:pPr>
            <w:r>
              <w:t>A.Hookeri为优势种。种类有穗序野古草A.Hookeri、鬼针草Bidens pilosa、</w:t>
            </w:r>
            <w:r>
              <w:rPr>
                <w:spacing w:val="-1"/>
              </w:rPr>
              <w:t>戟叶</w:t>
            </w:r>
          </w:p>
        </w:tc>
      </w:tr>
    </w:tbl>
    <w:p w14:paraId="0ADD31E6">
      <w:pPr>
        <w:pStyle w:val="2"/>
      </w:pPr>
    </w:p>
    <w:p w14:paraId="084186A7">
      <w:pPr>
        <w:sectPr>
          <w:footerReference r:id="rId64" w:type="default"/>
          <w:pgSz w:w="11910" w:h="16840"/>
          <w:pgMar w:top="1431" w:right="1423" w:bottom="1255" w:left="1405" w:header="0" w:footer="1093" w:gutter="0"/>
          <w:cols w:space="720" w:num="1"/>
        </w:sectPr>
      </w:pPr>
    </w:p>
    <w:p w14:paraId="45D5CA09">
      <w:pPr>
        <w:spacing w:before="122" w:line="214" w:lineRule="auto"/>
        <w:ind w:left="434"/>
        <w:rPr>
          <w:rFonts w:ascii="宋体" w:hAnsi="宋体" w:eastAsia="宋体" w:cs="宋体"/>
          <w:sz w:val="24"/>
          <w:szCs w:val="24"/>
        </w:rPr>
      </w:pPr>
      <w:r>
        <w:pict>
          <v:shape id="_x0000_s1062" o:spid="_x0000_s1062" style="position:absolute;left:0pt;margin-left:0pt;margin-top:4.7pt;height:676pt;width:454pt;z-index:-251635712;mso-width-relative:page;mso-height-relative:page;" filled="f" stroked="t" coordsize="9080,13520" path="m5,5l5,13514m5,5l335,5m335,5l335,13514m5,13514l335,13514m335,5l335,13514m335,5l9074,5m9074,5l9074,13514m335,13514l9074,13514e">
            <v:fill on="f" focussize="0,0"/>
            <v:stroke weight="0.5pt" color="#000000" miterlimit="10" joinstyle="miter"/>
            <v:imagedata o:title=""/>
            <o:lock v:ext="edit"/>
          </v:shape>
        </w:pict>
      </w:r>
      <w:r>
        <w:rPr>
          <w:rFonts w:ascii="宋体" w:hAnsi="宋体" w:eastAsia="宋体" w:cs="宋体"/>
          <w:spacing w:val="1"/>
          <w:sz w:val="24"/>
          <w:szCs w:val="24"/>
        </w:rPr>
        <w:t>酸模</w:t>
      </w:r>
      <w:r>
        <w:rPr>
          <w:rFonts w:ascii="宋体" w:hAnsi="宋体" w:eastAsia="宋体" w:cs="宋体"/>
          <w:sz w:val="24"/>
          <w:szCs w:val="24"/>
        </w:rPr>
        <w:t>Rumex</w:t>
      </w:r>
      <w:r>
        <w:rPr>
          <w:rFonts w:ascii="宋体" w:hAnsi="宋体" w:eastAsia="宋体" w:cs="宋体"/>
          <w:spacing w:val="1"/>
          <w:sz w:val="24"/>
          <w:szCs w:val="24"/>
        </w:rPr>
        <w:t xml:space="preserve"> </w:t>
      </w:r>
      <w:r>
        <w:rPr>
          <w:rFonts w:ascii="宋体" w:hAnsi="宋体" w:eastAsia="宋体" w:cs="宋体"/>
          <w:sz w:val="24"/>
          <w:szCs w:val="24"/>
        </w:rPr>
        <w:t>hastatus</w:t>
      </w:r>
      <w:r>
        <w:rPr>
          <w:rFonts w:ascii="宋体" w:hAnsi="宋体" w:eastAsia="宋体" w:cs="宋体"/>
          <w:spacing w:val="1"/>
          <w:sz w:val="24"/>
          <w:szCs w:val="24"/>
        </w:rPr>
        <w:t>、喜旱莲子草</w:t>
      </w:r>
      <w:r>
        <w:rPr>
          <w:rFonts w:ascii="宋体" w:hAnsi="宋体" w:eastAsia="宋体" w:cs="宋体"/>
          <w:sz w:val="24"/>
          <w:szCs w:val="24"/>
        </w:rPr>
        <w:t>Alternanthera</w:t>
      </w:r>
      <w:r>
        <w:rPr>
          <w:rFonts w:ascii="宋体" w:hAnsi="宋体" w:eastAsia="宋体" w:cs="宋体"/>
          <w:spacing w:val="1"/>
          <w:sz w:val="24"/>
          <w:szCs w:val="24"/>
        </w:rPr>
        <w:t xml:space="preserve"> </w:t>
      </w:r>
      <w:r>
        <w:rPr>
          <w:rFonts w:ascii="宋体" w:hAnsi="宋体" w:eastAsia="宋体" w:cs="宋体"/>
          <w:sz w:val="24"/>
          <w:szCs w:val="24"/>
        </w:rPr>
        <w:t>philoxeroides</w:t>
      </w:r>
      <w:r>
        <w:rPr>
          <w:rFonts w:ascii="宋体" w:hAnsi="宋体" w:eastAsia="宋体" w:cs="宋体"/>
          <w:spacing w:val="1"/>
          <w:sz w:val="24"/>
          <w:szCs w:val="24"/>
        </w:rPr>
        <w:t>、酢浆草</w:t>
      </w:r>
      <w:r>
        <w:rPr>
          <w:rFonts w:ascii="宋体" w:hAnsi="宋体" w:eastAsia="宋体" w:cs="宋体"/>
          <w:sz w:val="24"/>
          <w:szCs w:val="24"/>
        </w:rPr>
        <w:t>Oxalis</w:t>
      </w:r>
    </w:p>
    <w:p w14:paraId="65AABAC5">
      <w:pPr>
        <w:spacing w:before="189" w:line="214" w:lineRule="auto"/>
        <w:ind w:left="424"/>
        <w:rPr>
          <w:rFonts w:ascii="宋体" w:hAnsi="宋体" w:eastAsia="宋体" w:cs="宋体"/>
          <w:sz w:val="24"/>
          <w:szCs w:val="24"/>
        </w:rPr>
      </w:pPr>
      <w:r>
        <w:rPr>
          <w:rFonts w:ascii="宋体" w:hAnsi="宋体" w:eastAsia="宋体" w:cs="宋体"/>
          <w:sz w:val="24"/>
          <w:szCs w:val="24"/>
        </w:rPr>
        <w:t>corniculata、野茼蒿Crassocephalum crepidioides、万寿菊Tagetes erecta。</w:t>
      </w:r>
    </w:p>
    <w:p w14:paraId="68EE2E7D">
      <w:pPr>
        <w:spacing w:before="186" w:line="219" w:lineRule="auto"/>
        <w:ind w:left="1058"/>
        <w:rPr>
          <w:rFonts w:ascii="宋体" w:hAnsi="宋体" w:eastAsia="宋体" w:cs="宋体"/>
          <w:sz w:val="24"/>
          <w:szCs w:val="24"/>
        </w:rPr>
      </w:pPr>
      <w:r>
        <w:rPr>
          <w:rFonts w:ascii="宋体" w:hAnsi="宋体" w:eastAsia="宋体" w:cs="宋体"/>
          <w:b/>
          <w:bCs/>
          <w:spacing w:val="-3"/>
          <w:sz w:val="24"/>
          <w:szCs w:val="24"/>
        </w:rPr>
        <w:t>(3)人工植被</w:t>
      </w:r>
    </w:p>
    <w:p w14:paraId="0CD44053">
      <w:pPr>
        <w:spacing w:before="256" w:line="218" w:lineRule="auto"/>
        <w:ind w:left="944"/>
        <w:rPr>
          <w:rFonts w:ascii="宋体" w:hAnsi="宋体" w:eastAsia="宋体" w:cs="宋体"/>
          <w:sz w:val="24"/>
          <w:szCs w:val="24"/>
        </w:rPr>
      </w:pPr>
      <w:r>
        <w:rPr>
          <w:rFonts w:ascii="宋体" w:hAnsi="宋体" w:eastAsia="宋体" w:cs="宋体"/>
          <w:sz w:val="24"/>
          <w:szCs w:val="24"/>
        </w:rPr>
        <w:t>评价区的人工植被可以分为人工林(云南松林、华山松</w:t>
      </w:r>
      <w:r>
        <w:rPr>
          <w:rFonts w:ascii="宋体" w:hAnsi="宋体" w:eastAsia="宋体" w:cs="宋体"/>
          <w:spacing w:val="-1"/>
          <w:sz w:val="24"/>
          <w:szCs w:val="24"/>
        </w:rPr>
        <w:t>林、桉树林)、农田(</w:t>
      </w:r>
    </w:p>
    <w:p w14:paraId="3B5655B4">
      <w:pPr>
        <w:spacing w:before="179" w:line="219" w:lineRule="auto"/>
        <w:ind w:left="474"/>
        <w:rPr>
          <w:rFonts w:ascii="宋体" w:hAnsi="宋体" w:eastAsia="宋体" w:cs="宋体"/>
          <w:sz w:val="24"/>
          <w:szCs w:val="24"/>
        </w:rPr>
      </w:pPr>
      <w:r>
        <w:rPr>
          <w:rFonts w:ascii="宋体" w:hAnsi="宋体" w:eastAsia="宋体" w:cs="宋体"/>
          <w:sz w:val="24"/>
          <w:szCs w:val="24"/>
        </w:rPr>
        <w:t>旱地)两种类型，人工林由其生产目标的所确定，首先，人工林是单优的人工群落</w:t>
      </w:r>
    </w:p>
    <w:p w14:paraId="200DCC55">
      <w:pPr>
        <w:spacing w:before="172" w:line="216" w:lineRule="auto"/>
        <w:ind w:left="474"/>
        <w:rPr>
          <w:rFonts w:ascii="宋体" w:hAnsi="宋体" w:eastAsia="宋体" w:cs="宋体"/>
          <w:sz w:val="24"/>
          <w:szCs w:val="24"/>
        </w:rPr>
      </w:pPr>
      <w:r>
        <w:rPr>
          <w:rFonts w:ascii="宋体" w:hAnsi="宋体" w:eastAsia="宋体" w:cs="宋体"/>
          <w:spacing w:val="1"/>
          <w:sz w:val="24"/>
          <w:szCs w:val="24"/>
        </w:rPr>
        <w:t>,通常其培育树种的密度比较大，林下物种和数</w:t>
      </w:r>
      <w:r>
        <w:rPr>
          <w:rFonts w:ascii="宋体" w:hAnsi="宋体" w:eastAsia="宋体" w:cs="宋体"/>
          <w:sz w:val="24"/>
          <w:szCs w:val="24"/>
        </w:rPr>
        <w:t>量较少；其次，由于每年一次或多</w:t>
      </w:r>
    </w:p>
    <w:p w14:paraId="5377BADA">
      <w:pPr>
        <w:spacing w:before="180" w:line="219" w:lineRule="auto"/>
        <w:ind w:left="474"/>
        <w:rPr>
          <w:rFonts w:ascii="宋体" w:hAnsi="宋体" w:eastAsia="宋体" w:cs="宋体"/>
          <w:sz w:val="24"/>
          <w:szCs w:val="24"/>
        </w:rPr>
      </w:pPr>
      <w:r>
        <w:rPr>
          <w:rFonts w:ascii="宋体" w:hAnsi="宋体" w:eastAsia="宋体" w:cs="宋体"/>
          <w:spacing w:val="-7"/>
          <w:sz w:val="24"/>
          <w:szCs w:val="24"/>
        </w:rPr>
        <w:t>次不断的进行人为管理活动，包括砍灌、除草、</w:t>
      </w:r>
      <w:r>
        <w:rPr>
          <w:rFonts w:ascii="宋体" w:hAnsi="宋体" w:eastAsia="宋体" w:cs="宋体"/>
          <w:spacing w:val="-8"/>
          <w:sz w:val="24"/>
          <w:szCs w:val="24"/>
        </w:rPr>
        <w:t>施肥等，使本来不多的物种和及数量</w:t>
      </w:r>
    </w:p>
    <w:p w14:paraId="12DB6D40">
      <w:pPr>
        <w:spacing w:before="174" w:line="216" w:lineRule="auto"/>
        <w:ind w:left="464"/>
        <w:rPr>
          <w:rFonts w:ascii="宋体" w:hAnsi="宋体" w:eastAsia="宋体" w:cs="宋体"/>
          <w:sz w:val="24"/>
          <w:szCs w:val="24"/>
        </w:rPr>
      </w:pPr>
      <w:r>
        <w:rPr>
          <w:rFonts w:ascii="宋体" w:hAnsi="宋体" w:eastAsia="宋体" w:cs="宋体"/>
          <w:sz w:val="24"/>
          <w:szCs w:val="24"/>
        </w:rPr>
        <w:t>,变得更少了。因此上述各种人工林下的生物多样性都是十分贫乏的。</w:t>
      </w:r>
    </w:p>
    <w:p w14:paraId="39692543">
      <w:pPr>
        <w:spacing w:before="193" w:line="219" w:lineRule="auto"/>
        <w:ind w:left="914"/>
        <w:rPr>
          <w:rFonts w:ascii="宋体" w:hAnsi="宋体" w:eastAsia="宋体" w:cs="宋体"/>
          <w:sz w:val="24"/>
          <w:szCs w:val="24"/>
        </w:rPr>
      </w:pPr>
      <w:r>
        <w:rPr>
          <w:rFonts w:ascii="宋体" w:hAnsi="宋体" w:eastAsia="宋体" w:cs="宋体"/>
          <w:spacing w:val="-3"/>
          <w:sz w:val="24"/>
          <w:szCs w:val="24"/>
        </w:rPr>
        <w:t>a.人工林</w:t>
      </w:r>
    </w:p>
    <w:p w14:paraId="4C9B57E5">
      <w:pPr>
        <w:spacing w:before="209" w:line="215" w:lineRule="auto"/>
        <w:jc w:val="right"/>
        <w:rPr>
          <w:rFonts w:ascii="宋体" w:hAnsi="宋体" w:eastAsia="宋体" w:cs="宋体"/>
          <w:sz w:val="24"/>
          <w:szCs w:val="24"/>
        </w:rPr>
      </w:pPr>
      <w:r>
        <w:rPr>
          <w:rFonts w:ascii="宋体" w:hAnsi="宋体" w:eastAsia="宋体" w:cs="宋体"/>
          <w:spacing w:val="-10"/>
          <w:sz w:val="24"/>
          <w:szCs w:val="24"/>
        </w:rPr>
        <w:t>评价区的人工林有云南松林Pinus yunnanensis、华山松林Pinus arman</w:t>
      </w:r>
      <w:r>
        <w:rPr>
          <w:rFonts w:ascii="宋体" w:hAnsi="宋体" w:eastAsia="宋体" w:cs="宋体"/>
          <w:spacing w:val="-11"/>
          <w:sz w:val="24"/>
          <w:szCs w:val="24"/>
        </w:rPr>
        <w:t>dii Franch.</w:t>
      </w:r>
    </w:p>
    <w:p w14:paraId="1BE8781D">
      <w:pPr>
        <w:spacing w:before="180" w:line="214" w:lineRule="auto"/>
        <w:ind w:left="484"/>
        <w:rPr>
          <w:rFonts w:ascii="宋体" w:hAnsi="宋体" w:eastAsia="宋体" w:cs="宋体"/>
          <w:sz w:val="24"/>
          <w:szCs w:val="24"/>
        </w:rPr>
      </w:pPr>
      <w:r>
        <w:rPr>
          <w:rFonts w:ascii="宋体" w:hAnsi="宋体" w:eastAsia="宋体" w:cs="宋体"/>
          <w:spacing w:val="-7"/>
          <w:sz w:val="24"/>
          <w:szCs w:val="24"/>
        </w:rPr>
        <w:t>、桉树林Eucalyptus</w:t>
      </w:r>
      <w:r>
        <w:rPr>
          <w:rFonts w:ascii="宋体" w:hAnsi="宋体" w:eastAsia="宋体" w:cs="宋体"/>
          <w:spacing w:val="33"/>
          <w:sz w:val="24"/>
          <w:szCs w:val="24"/>
        </w:rPr>
        <w:t xml:space="preserve"> </w:t>
      </w:r>
      <w:r>
        <w:rPr>
          <w:rFonts w:ascii="宋体" w:hAnsi="宋体" w:eastAsia="宋体" w:cs="宋体"/>
          <w:spacing w:val="-7"/>
          <w:sz w:val="24"/>
          <w:szCs w:val="24"/>
        </w:rPr>
        <w:t>spp.等，但主要以云南松林、华</w:t>
      </w:r>
      <w:r>
        <w:rPr>
          <w:rFonts w:ascii="宋体" w:hAnsi="宋体" w:eastAsia="宋体" w:cs="宋体"/>
          <w:spacing w:val="-8"/>
          <w:sz w:val="24"/>
          <w:szCs w:val="24"/>
        </w:rPr>
        <w:t>山松林居多，其层高度为约15m</w:t>
      </w:r>
    </w:p>
    <w:p w14:paraId="7F832E5A">
      <w:pPr>
        <w:spacing w:before="165" w:line="216" w:lineRule="auto"/>
        <w:ind w:left="484"/>
        <w:rPr>
          <w:rFonts w:ascii="宋体" w:hAnsi="宋体" w:eastAsia="宋体" w:cs="宋体"/>
          <w:sz w:val="24"/>
          <w:szCs w:val="24"/>
        </w:rPr>
      </w:pPr>
      <w:r>
        <w:rPr>
          <w:rFonts w:ascii="宋体" w:hAnsi="宋体" w:eastAsia="宋体" w:cs="宋体"/>
          <w:spacing w:val="3"/>
          <w:sz w:val="24"/>
          <w:szCs w:val="24"/>
        </w:rPr>
        <w:t>,乔木树种单一。</w:t>
      </w:r>
    </w:p>
    <w:p w14:paraId="255D096C">
      <w:pPr>
        <w:spacing w:before="204" w:line="214" w:lineRule="auto"/>
        <w:ind w:left="924"/>
        <w:rPr>
          <w:rFonts w:ascii="宋体" w:hAnsi="宋体" w:eastAsia="宋体" w:cs="宋体"/>
          <w:sz w:val="24"/>
          <w:szCs w:val="24"/>
        </w:rPr>
      </w:pPr>
      <w:r>
        <w:rPr>
          <w:rFonts w:ascii="宋体" w:hAnsi="宋体" w:eastAsia="宋体" w:cs="宋体"/>
          <w:sz w:val="24"/>
          <w:szCs w:val="24"/>
        </w:rPr>
        <w:t>群落的下层灌木种类稀少，盖度仅为10%左右，仅有蓝桉Eucalyp</w:t>
      </w:r>
      <w:r>
        <w:rPr>
          <w:rFonts w:ascii="宋体" w:hAnsi="宋体" w:eastAsia="宋体" w:cs="宋体"/>
          <w:spacing w:val="-1"/>
          <w:sz w:val="24"/>
          <w:szCs w:val="24"/>
        </w:rPr>
        <w:t>tus globulu</w:t>
      </w:r>
    </w:p>
    <w:p w14:paraId="48C68D35">
      <w:pPr>
        <w:spacing w:before="192" w:line="214" w:lineRule="auto"/>
        <w:ind w:left="474"/>
        <w:rPr>
          <w:rFonts w:ascii="宋体" w:hAnsi="宋体" w:eastAsia="宋体" w:cs="宋体"/>
          <w:sz w:val="24"/>
          <w:szCs w:val="24"/>
        </w:rPr>
      </w:pPr>
      <w:r>
        <w:rPr>
          <w:rFonts w:ascii="宋体" w:hAnsi="宋体" w:eastAsia="宋体" w:cs="宋体"/>
          <w:sz w:val="24"/>
          <w:szCs w:val="24"/>
        </w:rPr>
        <w:t>、臭荚蓬Viburnum foetidum、野拨子Elsholtzia ru-gulosa、尖子木Oxyspora</w:t>
      </w:r>
    </w:p>
    <w:p w14:paraId="15621B3A">
      <w:pPr>
        <w:spacing w:before="172" w:line="214" w:lineRule="auto"/>
        <w:ind w:left="424"/>
        <w:rPr>
          <w:rFonts w:ascii="宋体" w:hAnsi="宋体" w:eastAsia="宋体" w:cs="宋体"/>
          <w:sz w:val="24"/>
          <w:szCs w:val="24"/>
        </w:rPr>
      </w:pPr>
      <w:r>
        <w:rPr>
          <w:rFonts w:ascii="宋体" w:hAnsi="宋体" w:eastAsia="宋体" w:cs="宋体"/>
          <w:sz w:val="24"/>
          <w:szCs w:val="24"/>
        </w:rPr>
        <w:t>paniculata、冠毛榕Ficus gasparriniana、尾叶紫金牛Ardisia cauda</w:t>
      </w:r>
      <w:r>
        <w:rPr>
          <w:rFonts w:ascii="宋体" w:hAnsi="宋体" w:eastAsia="宋体" w:cs="宋体"/>
          <w:spacing w:val="-1"/>
          <w:sz w:val="24"/>
          <w:szCs w:val="24"/>
        </w:rPr>
        <w:t>ta、地檀香</w:t>
      </w:r>
    </w:p>
    <w:p w14:paraId="7C9DBF3F">
      <w:pPr>
        <w:spacing w:before="191" w:line="214" w:lineRule="auto"/>
        <w:ind w:left="444"/>
        <w:rPr>
          <w:rFonts w:ascii="宋体" w:hAnsi="宋体" w:eastAsia="宋体" w:cs="宋体"/>
          <w:sz w:val="24"/>
          <w:szCs w:val="24"/>
        </w:rPr>
      </w:pPr>
      <w:r>
        <w:rPr>
          <w:rFonts w:ascii="宋体" w:hAnsi="宋体" w:eastAsia="宋体" w:cs="宋体"/>
          <w:sz w:val="24"/>
          <w:szCs w:val="24"/>
        </w:rPr>
        <w:t>Gaultheria forrestii、山蚂蝗Desm-odium megaphyllum等少数几种。</w:t>
      </w:r>
    </w:p>
    <w:p w14:paraId="5C70724D">
      <w:pPr>
        <w:spacing w:before="212" w:line="214" w:lineRule="auto"/>
        <w:ind w:left="954"/>
        <w:rPr>
          <w:rFonts w:ascii="宋体" w:hAnsi="宋体" w:eastAsia="宋体" w:cs="宋体"/>
          <w:sz w:val="24"/>
          <w:szCs w:val="24"/>
        </w:rPr>
      </w:pPr>
      <w:r>
        <w:rPr>
          <w:rFonts w:ascii="宋体" w:hAnsi="宋体" w:eastAsia="宋体" w:cs="宋体"/>
          <w:sz w:val="24"/>
          <w:szCs w:val="24"/>
        </w:rPr>
        <w:t>草本的种类和数量也较少，盖度仅为10%,种类有紫茎泽兰Ager</w:t>
      </w:r>
      <w:r>
        <w:rPr>
          <w:rFonts w:ascii="宋体" w:hAnsi="宋体" w:eastAsia="宋体" w:cs="宋体"/>
          <w:spacing w:val="-1"/>
          <w:sz w:val="24"/>
          <w:szCs w:val="24"/>
        </w:rPr>
        <w:t>atina aden</w:t>
      </w:r>
    </w:p>
    <w:p w14:paraId="12185FDE">
      <w:pPr>
        <w:spacing w:before="174" w:line="214" w:lineRule="auto"/>
        <w:ind w:left="434"/>
        <w:rPr>
          <w:rFonts w:ascii="宋体" w:hAnsi="宋体" w:eastAsia="宋体" w:cs="宋体"/>
          <w:sz w:val="24"/>
          <w:szCs w:val="24"/>
        </w:rPr>
      </w:pPr>
      <w:r>
        <w:rPr>
          <w:rFonts w:ascii="宋体" w:hAnsi="宋体" w:eastAsia="宋体" w:cs="宋体"/>
          <w:spacing w:val="-4"/>
          <w:sz w:val="24"/>
          <w:szCs w:val="24"/>
        </w:rPr>
        <w:t>ophora、戟叶堇菜Viola betonicifolia、黑鳞珍珠茅Scleria hookeriana、</w:t>
      </w:r>
      <w:r>
        <w:rPr>
          <w:rFonts w:ascii="宋体" w:hAnsi="宋体" w:eastAsia="宋体" w:cs="宋体"/>
          <w:spacing w:val="-5"/>
          <w:sz w:val="24"/>
          <w:szCs w:val="24"/>
        </w:rPr>
        <w:t>红腺蕨D</w:t>
      </w:r>
    </w:p>
    <w:p w14:paraId="270545F9">
      <w:pPr>
        <w:spacing w:before="192" w:line="214" w:lineRule="auto"/>
        <w:ind w:right="40"/>
        <w:jc w:val="right"/>
        <w:rPr>
          <w:rFonts w:ascii="宋体" w:hAnsi="宋体" w:eastAsia="宋体" w:cs="宋体"/>
          <w:sz w:val="24"/>
          <w:szCs w:val="24"/>
        </w:rPr>
      </w:pPr>
      <w:r>
        <w:rPr>
          <w:rFonts w:ascii="宋体" w:hAnsi="宋体" w:eastAsia="宋体" w:cs="宋体"/>
          <w:spacing w:val="-3"/>
          <w:sz w:val="24"/>
          <w:szCs w:val="24"/>
        </w:rPr>
        <w:t>iacaple aspidioides、芒萁Dicranopteris dic</w:t>
      </w:r>
      <w:r>
        <w:rPr>
          <w:rFonts w:ascii="宋体" w:hAnsi="宋体" w:eastAsia="宋体" w:cs="宋体"/>
          <w:spacing w:val="-4"/>
          <w:sz w:val="24"/>
          <w:szCs w:val="24"/>
        </w:rPr>
        <w:t>hotoma、栗柄金粉蕨Onychium conti</w:t>
      </w:r>
    </w:p>
    <w:p w14:paraId="4A812E92">
      <w:pPr>
        <w:spacing w:before="160" w:line="214" w:lineRule="auto"/>
        <w:ind w:left="424"/>
        <w:rPr>
          <w:rFonts w:ascii="宋体" w:hAnsi="宋体" w:eastAsia="宋体" w:cs="宋体"/>
          <w:sz w:val="24"/>
          <w:szCs w:val="24"/>
        </w:rPr>
      </w:pPr>
      <w:r>
        <w:rPr>
          <w:rFonts w:ascii="宋体" w:hAnsi="宋体" w:eastAsia="宋体" w:cs="宋体"/>
          <w:spacing w:val="-4"/>
          <w:sz w:val="24"/>
          <w:szCs w:val="24"/>
        </w:rPr>
        <w:t>gum、金发草Pogonatherum paniceum、积雪草Centella asiatica、石松Lycopodi-um</w:t>
      </w:r>
    </w:p>
    <w:p w14:paraId="5A09C9DA">
      <w:pPr>
        <w:spacing w:before="183" w:line="214" w:lineRule="auto"/>
        <w:ind w:left="404"/>
        <w:rPr>
          <w:rFonts w:ascii="宋体" w:hAnsi="宋体" w:eastAsia="宋体" w:cs="宋体"/>
          <w:sz w:val="24"/>
          <w:szCs w:val="24"/>
        </w:rPr>
      </w:pPr>
      <w:r>
        <w:rPr>
          <w:rFonts w:ascii="宋体" w:hAnsi="宋体" w:eastAsia="宋体" w:cs="宋体"/>
          <w:sz w:val="24"/>
          <w:szCs w:val="24"/>
        </w:rPr>
        <w:t>japonicum</w:t>
      </w:r>
      <w:r>
        <w:rPr>
          <w:rFonts w:ascii="宋体" w:hAnsi="宋体" w:eastAsia="宋体" w:cs="宋体"/>
          <w:spacing w:val="1"/>
          <w:sz w:val="24"/>
          <w:szCs w:val="24"/>
        </w:rPr>
        <w:t>、叶下珠</w:t>
      </w:r>
      <w:r>
        <w:rPr>
          <w:rFonts w:ascii="宋体" w:hAnsi="宋体" w:eastAsia="宋体" w:cs="宋体"/>
          <w:sz w:val="24"/>
          <w:szCs w:val="24"/>
        </w:rPr>
        <w:t>Phyllanthus</w:t>
      </w:r>
      <w:r>
        <w:rPr>
          <w:rFonts w:ascii="宋体" w:hAnsi="宋体" w:eastAsia="宋体" w:cs="宋体"/>
          <w:spacing w:val="1"/>
          <w:sz w:val="24"/>
          <w:szCs w:val="24"/>
        </w:rPr>
        <w:t xml:space="preserve"> </w:t>
      </w:r>
      <w:r>
        <w:rPr>
          <w:rFonts w:ascii="宋体" w:hAnsi="宋体" w:eastAsia="宋体" w:cs="宋体"/>
          <w:sz w:val="24"/>
          <w:szCs w:val="24"/>
        </w:rPr>
        <w:t>ruinaria</w:t>
      </w:r>
      <w:r>
        <w:rPr>
          <w:rFonts w:ascii="宋体" w:hAnsi="宋体" w:eastAsia="宋体" w:cs="宋体"/>
          <w:spacing w:val="1"/>
          <w:sz w:val="24"/>
          <w:szCs w:val="24"/>
        </w:rPr>
        <w:t>、多脉莎草</w:t>
      </w:r>
      <w:r>
        <w:rPr>
          <w:rFonts w:ascii="宋体" w:hAnsi="宋体" w:eastAsia="宋体" w:cs="宋体"/>
          <w:sz w:val="24"/>
          <w:szCs w:val="24"/>
        </w:rPr>
        <w:t>Cyperus</w:t>
      </w:r>
      <w:r>
        <w:rPr>
          <w:rFonts w:ascii="宋体" w:hAnsi="宋体" w:eastAsia="宋体" w:cs="宋体"/>
          <w:spacing w:val="1"/>
          <w:sz w:val="24"/>
          <w:szCs w:val="24"/>
        </w:rPr>
        <w:t xml:space="preserve"> </w:t>
      </w:r>
      <w:r>
        <w:rPr>
          <w:rFonts w:ascii="宋体" w:hAnsi="宋体" w:eastAsia="宋体" w:cs="宋体"/>
          <w:sz w:val="24"/>
          <w:szCs w:val="24"/>
        </w:rPr>
        <w:t>diffusus</w:t>
      </w:r>
      <w:r>
        <w:rPr>
          <w:rFonts w:ascii="宋体" w:hAnsi="宋体" w:eastAsia="宋体" w:cs="宋体"/>
          <w:spacing w:val="1"/>
          <w:sz w:val="24"/>
          <w:szCs w:val="24"/>
        </w:rPr>
        <w:t>、糯米团</w:t>
      </w:r>
    </w:p>
    <w:p w14:paraId="7896CB23">
      <w:pPr>
        <w:spacing w:before="169" w:line="219" w:lineRule="auto"/>
        <w:ind w:left="424"/>
        <w:rPr>
          <w:rFonts w:ascii="宋体" w:hAnsi="宋体" w:eastAsia="宋体" w:cs="宋体"/>
          <w:sz w:val="24"/>
          <w:szCs w:val="24"/>
        </w:rPr>
      </w:pPr>
      <w:r>
        <w:rPr>
          <w:rFonts w:ascii="宋体" w:hAnsi="宋体" w:eastAsia="宋体" w:cs="宋体"/>
          <w:sz w:val="24"/>
          <w:szCs w:val="24"/>
        </w:rPr>
        <w:t>Memorialis hirta等耐阴种类。</w:t>
      </w:r>
    </w:p>
    <w:p w14:paraId="25700D46">
      <w:pPr>
        <w:spacing w:before="208" w:line="221" w:lineRule="auto"/>
        <w:ind w:left="924"/>
        <w:rPr>
          <w:rFonts w:ascii="宋体" w:hAnsi="宋体" w:eastAsia="宋体" w:cs="宋体"/>
          <w:sz w:val="24"/>
          <w:szCs w:val="24"/>
        </w:rPr>
      </w:pPr>
      <w:r>
        <w:rPr>
          <w:rFonts w:ascii="宋体" w:hAnsi="宋体" w:eastAsia="宋体" w:cs="宋体"/>
          <w:spacing w:val="7"/>
          <w:sz w:val="24"/>
          <w:szCs w:val="24"/>
        </w:rPr>
        <w:t>b.农田</w:t>
      </w:r>
    </w:p>
    <w:p w14:paraId="1740D572">
      <w:pPr>
        <w:spacing w:before="167" w:line="218" w:lineRule="auto"/>
        <w:ind w:right="39"/>
        <w:jc w:val="right"/>
        <w:rPr>
          <w:rFonts w:ascii="宋体" w:hAnsi="宋体" w:eastAsia="宋体" w:cs="宋体"/>
          <w:sz w:val="24"/>
          <w:szCs w:val="24"/>
        </w:rPr>
      </w:pPr>
      <w:r>
        <w:rPr>
          <w:rFonts w:ascii="宋体" w:hAnsi="宋体" w:eastAsia="宋体" w:cs="宋体"/>
          <w:sz w:val="24"/>
          <w:szCs w:val="24"/>
        </w:rPr>
        <w:t>评价区是农业生产区，具有大量的旱地。旱地所在地段</w:t>
      </w:r>
      <w:r>
        <w:rPr>
          <w:rFonts w:ascii="宋体" w:hAnsi="宋体" w:eastAsia="宋体" w:cs="宋体"/>
          <w:spacing w:val="-1"/>
          <w:sz w:val="24"/>
          <w:szCs w:val="24"/>
        </w:rPr>
        <w:t>较为开阔平缓、土层深</w:t>
      </w:r>
    </w:p>
    <w:p w14:paraId="03D61F77">
      <w:pPr>
        <w:spacing w:before="178" w:line="219" w:lineRule="auto"/>
        <w:ind w:right="36"/>
        <w:jc w:val="right"/>
        <w:rPr>
          <w:rFonts w:ascii="宋体" w:hAnsi="宋体" w:eastAsia="宋体" w:cs="宋体"/>
          <w:sz w:val="24"/>
          <w:szCs w:val="24"/>
        </w:rPr>
      </w:pPr>
      <w:r>
        <w:rPr>
          <w:rFonts w:ascii="宋体" w:hAnsi="宋体" w:eastAsia="宋体" w:cs="宋体"/>
          <w:sz w:val="24"/>
          <w:szCs w:val="24"/>
        </w:rPr>
        <w:t>厚。旱地主要种植玉米、土豆等。在旱地边</w:t>
      </w:r>
      <w:r>
        <w:rPr>
          <w:rFonts w:ascii="宋体" w:hAnsi="宋体" w:eastAsia="宋体" w:cs="宋体"/>
          <w:spacing w:val="-1"/>
          <w:sz w:val="24"/>
          <w:szCs w:val="24"/>
        </w:rPr>
        <w:t>主要分布着一些热带地区常见的杂草如</w:t>
      </w:r>
    </w:p>
    <w:p w14:paraId="45181A84">
      <w:pPr>
        <w:spacing w:before="178" w:line="214" w:lineRule="auto"/>
        <w:ind w:left="474"/>
        <w:rPr>
          <w:rFonts w:ascii="宋体" w:hAnsi="宋体" w:eastAsia="宋体" w:cs="宋体"/>
          <w:sz w:val="24"/>
          <w:szCs w:val="24"/>
        </w:rPr>
      </w:pPr>
      <w:r>
        <w:rPr>
          <w:rFonts w:ascii="宋体" w:hAnsi="宋体" w:eastAsia="宋体" w:cs="宋体"/>
          <w:spacing w:val="-10"/>
          <w:sz w:val="24"/>
          <w:szCs w:val="24"/>
        </w:rPr>
        <w:t>香泽兰(飞机草)Chromolaena odorata、藿香蓟Ageratum conyzoides、蒿多种</w:t>
      </w:r>
      <w:r>
        <w:rPr>
          <w:rFonts w:ascii="宋体" w:hAnsi="宋体" w:eastAsia="宋体" w:cs="宋体"/>
          <w:spacing w:val="-11"/>
          <w:sz w:val="24"/>
          <w:szCs w:val="24"/>
        </w:rPr>
        <w:t>Artemisia</w:t>
      </w:r>
    </w:p>
    <w:p w14:paraId="4194C2F0">
      <w:pPr>
        <w:spacing w:before="182" w:line="214" w:lineRule="auto"/>
        <w:ind w:right="36"/>
        <w:jc w:val="right"/>
        <w:rPr>
          <w:rFonts w:ascii="宋体" w:hAnsi="宋体" w:eastAsia="宋体" w:cs="宋体"/>
          <w:sz w:val="24"/>
          <w:szCs w:val="24"/>
        </w:rPr>
      </w:pPr>
      <w:r>
        <w:rPr>
          <w:rFonts w:ascii="宋体" w:hAnsi="宋体" w:eastAsia="宋体" w:cs="宋体"/>
          <w:spacing w:val="-12"/>
          <w:sz w:val="24"/>
          <w:szCs w:val="24"/>
        </w:rPr>
        <w:t>spp.、鬼针草Bidens pilosa、白酒草Conyzajaponica、臭灵丹Laggera alata、莎草多种</w:t>
      </w:r>
    </w:p>
    <w:p w14:paraId="31010709">
      <w:pPr>
        <w:spacing w:before="154" w:line="214" w:lineRule="auto"/>
        <w:ind w:left="464"/>
        <w:rPr>
          <w:rFonts w:ascii="宋体" w:hAnsi="宋体" w:eastAsia="宋体" w:cs="宋体"/>
          <w:sz w:val="24"/>
          <w:szCs w:val="24"/>
        </w:rPr>
      </w:pPr>
      <w:r>
        <w:rPr>
          <w:rFonts w:ascii="宋体" w:hAnsi="宋体" w:eastAsia="宋体" w:cs="宋体"/>
          <w:spacing w:val="-1"/>
          <w:sz w:val="24"/>
          <w:szCs w:val="24"/>
        </w:rPr>
        <w:t>Cyperus</w:t>
      </w:r>
      <w:r>
        <w:rPr>
          <w:rFonts w:ascii="宋体" w:hAnsi="宋体" w:eastAsia="宋体" w:cs="宋体"/>
          <w:spacing w:val="33"/>
          <w:sz w:val="24"/>
          <w:szCs w:val="24"/>
        </w:rPr>
        <w:t xml:space="preserve"> </w:t>
      </w:r>
      <w:r>
        <w:rPr>
          <w:rFonts w:ascii="宋体" w:hAnsi="宋体" w:eastAsia="宋体" w:cs="宋体"/>
          <w:spacing w:val="-1"/>
          <w:sz w:val="24"/>
          <w:szCs w:val="24"/>
        </w:rPr>
        <w:t>spp.等。</w:t>
      </w:r>
    </w:p>
    <w:p w14:paraId="47332F4F">
      <w:pPr>
        <w:spacing w:before="205" w:line="219" w:lineRule="auto"/>
        <w:ind w:left="1038"/>
        <w:rPr>
          <w:rFonts w:ascii="宋体" w:hAnsi="宋体" w:eastAsia="宋体" w:cs="宋体"/>
          <w:sz w:val="24"/>
          <w:szCs w:val="24"/>
        </w:rPr>
      </w:pPr>
      <w:r>
        <w:rPr>
          <w:rFonts w:ascii="宋体" w:hAnsi="宋体" w:eastAsia="宋体" w:cs="宋体"/>
          <w:b/>
          <w:bCs/>
          <w:spacing w:val="-3"/>
          <w:sz w:val="24"/>
          <w:szCs w:val="24"/>
        </w:rPr>
        <w:t>(4)保护植物和古树名木</w:t>
      </w:r>
    </w:p>
    <w:p w14:paraId="09D2FB41">
      <w:pPr>
        <w:spacing w:line="219" w:lineRule="auto"/>
        <w:rPr>
          <w:rFonts w:ascii="宋体" w:hAnsi="宋体" w:eastAsia="宋体" w:cs="宋体"/>
          <w:sz w:val="24"/>
          <w:szCs w:val="24"/>
        </w:rPr>
        <w:sectPr>
          <w:footerReference r:id="rId65" w:type="default"/>
          <w:pgSz w:w="11910" w:h="16840"/>
          <w:pgMar w:top="1431" w:right="1369" w:bottom="1255" w:left="1405" w:header="0" w:footer="1093" w:gutter="0"/>
          <w:cols w:space="720" w:num="1"/>
        </w:sectPr>
      </w:pPr>
    </w:p>
    <w:p w14:paraId="15C7E128">
      <w:pPr>
        <w:spacing w:line="93" w:lineRule="exact"/>
      </w:pPr>
    </w:p>
    <w:tbl>
      <w:tblPr>
        <w:tblStyle w:val="5"/>
        <w:tblW w:w="905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
        <w:gridCol w:w="8721"/>
      </w:tblGrid>
      <w:tr w14:paraId="7D71C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9" w:hRule="atLeast"/>
        </w:trPr>
        <w:tc>
          <w:tcPr>
            <w:tcW w:w="334" w:type="dxa"/>
            <w:vAlign w:val="top"/>
          </w:tcPr>
          <w:p w14:paraId="2A8C8306">
            <w:pPr>
              <w:rPr>
                <w:rFonts w:ascii="Arial"/>
                <w:sz w:val="21"/>
              </w:rPr>
            </w:pPr>
          </w:p>
        </w:tc>
        <w:tc>
          <w:tcPr>
            <w:tcW w:w="8721" w:type="dxa"/>
            <w:vAlign w:val="top"/>
          </w:tcPr>
          <w:p w14:paraId="46D8F2F4">
            <w:pPr>
              <w:pStyle w:val="6"/>
              <w:spacing w:before="11" w:line="362" w:lineRule="auto"/>
              <w:ind w:left="201" w:right="8" w:firstLine="359"/>
            </w:pPr>
            <w:r>
              <w:rPr>
                <w:spacing w:val="-1"/>
              </w:rPr>
              <w:t>根据野外考察结果，本项目评价范围内未发现《国家重点保护野生植物名录》</w:t>
            </w:r>
            <w:r>
              <w:rPr>
                <w:spacing w:val="14"/>
              </w:rPr>
              <w:t xml:space="preserve"> </w:t>
            </w:r>
            <w:r>
              <w:rPr>
                <w:spacing w:val="1"/>
              </w:rPr>
              <w:t>(2021年9月)记载的保护植物；无《云</w:t>
            </w:r>
            <w:r>
              <w:t>南省重点保护野生植物名录》(云南省</w:t>
            </w:r>
          </w:p>
          <w:p w14:paraId="174876A1">
            <w:pPr>
              <w:pStyle w:val="6"/>
              <w:spacing w:before="1" w:line="217" w:lineRule="auto"/>
              <w:ind w:left="80"/>
            </w:pPr>
            <w:r>
              <w:t>林业和草原局云南省农业农村厅公告(2023年第11号))记载的云南省保护植</w:t>
            </w:r>
          </w:p>
          <w:p w14:paraId="71CC238A">
            <w:pPr>
              <w:pStyle w:val="6"/>
              <w:spacing w:before="199" w:line="356" w:lineRule="auto"/>
              <w:ind w:left="110" w:right="199" w:hanging="30"/>
            </w:pPr>
            <w:r>
              <w:rPr>
                <w:spacing w:val="1"/>
              </w:rPr>
              <w:t>物；无云南省林业厅文件云林保护字(1996)第65号“关于</w:t>
            </w:r>
            <w:r>
              <w:t xml:space="preserve">印发云南省古树名木名 </w:t>
            </w:r>
            <w:r>
              <w:rPr>
                <w:spacing w:val="-1"/>
              </w:rPr>
              <w:t>录的通知”中的古树名木。</w:t>
            </w:r>
          </w:p>
          <w:p w14:paraId="33327E64">
            <w:pPr>
              <w:pStyle w:val="6"/>
              <w:spacing w:line="219" w:lineRule="auto"/>
              <w:ind w:left="694"/>
            </w:pPr>
            <w:r>
              <w:rPr>
                <w:b/>
                <w:bCs/>
                <w:spacing w:val="-2"/>
              </w:rPr>
              <w:t>(5)外来入侵物种</w:t>
            </w:r>
          </w:p>
          <w:p w14:paraId="26A97257">
            <w:pPr>
              <w:pStyle w:val="6"/>
              <w:spacing w:before="167" w:line="373" w:lineRule="auto"/>
              <w:ind w:left="70" w:firstLine="499"/>
            </w:pPr>
            <w:r>
              <w:rPr>
                <w:spacing w:val="-1"/>
              </w:rPr>
              <w:t>根据相关资料记录和野外考察结果，项目评价范围内分布的外来入侵物种为香</w:t>
            </w:r>
            <w:r>
              <w:rPr>
                <w:spacing w:val="13"/>
              </w:rPr>
              <w:t xml:space="preserve"> </w:t>
            </w:r>
            <w:r>
              <w:t>泽兰(飞机草)Chromolaena odorata。主要分布范围为评价范围内人为活动较多</w:t>
            </w:r>
          </w:p>
          <w:p w14:paraId="5298349E">
            <w:pPr>
              <w:pStyle w:val="6"/>
              <w:spacing w:before="1" w:line="218" w:lineRule="auto"/>
              <w:ind w:left="120"/>
            </w:pPr>
            <w:r>
              <w:t>的村庄、农田周边。</w:t>
            </w:r>
          </w:p>
          <w:p w14:paraId="5D8B84D1">
            <w:pPr>
              <w:pStyle w:val="6"/>
              <w:spacing w:before="163" w:line="219" w:lineRule="auto"/>
              <w:ind w:left="684"/>
            </w:pPr>
            <w:r>
              <w:rPr>
                <w:b/>
                <w:bCs/>
                <w:spacing w:val="-2"/>
              </w:rPr>
              <w:t>(6)植被覆盖度</w:t>
            </w:r>
          </w:p>
          <w:p w14:paraId="74AD6B7A">
            <w:pPr>
              <w:pStyle w:val="6"/>
              <w:spacing w:before="185" w:line="360" w:lineRule="auto"/>
              <w:ind w:left="80" w:firstLine="479"/>
              <w:jc w:val="both"/>
            </w:pPr>
            <w:r>
              <w:t>植被覆盖度可用于定量分析评价范围内的植被现状。</w:t>
            </w:r>
            <w:r>
              <w:rPr>
                <w:spacing w:val="-1"/>
              </w:rPr>
              <w:t>本次评价基于遥感解译，</w:t>
            </w:r>
            <w:r>
              <w:t xml:space="preserve"> </w:t>
            </w:r>
            <w:r>
              <w:rPr>
                <w:spacing w:val="-1"/>
              </w:rPr>
              <w:t>采用植被指数法估算评价区的植被覆盖度。植被指数法主要是通过对各像元中植被</w:t>
            </w:r>
            <w:r>
              <w:rPr>
                <w:spacing w:val="16"/>
              </w:rPr>
              <w:t xml:space="preserve"> </w:t>
            </w:r>
            <w:r>
              <w:rPr>
                <w:spacing w:val="-1"/>
              </w:rPr>
              <w:t>类型及分布特征的分析，建立植被指数与植被覆盖度的转换关系。采用归一化植被</w:t>
            </w:r>
            <w:r>
              <w:rPr>
                <w:spacing w:val="15"/>
              </w:rPr>
              <w:t xml:space="preserve"> </w:t>
            </w:r>
            <w:r>
              <w:t>指数(NDVI)估算植被覆盖度的方法如下：</w:t>
            </w:r>
          </w:p>
          <w:p w14:paraId="3A90B783">
            <w:pPr>
              <w:pStyle w:val="6"/>
              <w:spacing w:before="116" w:line="222" w:lineRule="auto"/>
              <w:ind w:left="2010"/>
            </w:pPr>
            <w:r>
              <w:t>FVC=(NDVI-NDVI)(NDVI-NDVI.)</w:t>
            </w:r>
          </w:p>
          <w:p w14:paraId="123B4583">
            <w:pPr>
              <w:pStyle w:val="6"/>
              <w:spacing w:before="117" w:line="219" w:lineRule="auto"/>
              <w:ind w:left="570"/>
            </w:pPr>
            <w:r>
              <w:rPr>
                <w:spacing w:val="-6"/>
              </w:rPr>
              <w:t>式中：FVC——所计算像元的植被覆盖度；</w:t>
            </w:r>
          </w:p>
          <w:p w14:paraId="3E90C84C">
            <w:pPr>
              <w:pStyle w:val="6"/>
              <w:spacing w:before="176" w:line="219" w:lineRule="auto"/>
              <w:ind w:left="551"/>
            </w:pPr>
            <w:r>
              <w:rPr>
                <w:spacing w:val="-6"/>
              </w:rPr>
              <w:t>NDVI——所计算像元的NDVI值；</w:t>
            </w:r>
          </w:p>
          <w:p w14:paraId="040B830E">
            <w:pPr>
              <w:pStyle w:val="6"/>
              <w:spacing w:before="195" w:line="219" w:lineRule="auto"/>
              <w:ind w:left="551"/>
            </w:pPr>
            <w:r>
              <w:t>NDVIv</w:t>
            </w:r>
            <w:r>
              <w:rPr>
                <w:spacing w:val="-83"/>
              </w:rPr>
              <w:t xml:space="preserve"> </w:t>
            </w:r>
            <w:r>
              <w:rPr>
                <w:spacing w:val="40"/>
              </w:rPr>
              <w:t>——</w:t>
            </w:r>
            <w:r>
              <w:rPr>
                <w:spacing w:val="-78"/>
              </w:rPr>
              <w:t xml:space="preserve"> </w:t>
            </w:r>
            <w:r>
              <w:rPr>
                <w:spacing w:val="40"/>
              </w:rPr>
              <w:t>纯植物像元的</w:t>
            </w:r>
            <w:r>
              <w:t>NDVI</w:t>
            </w:r>
            <w:r>
              <w:rPr>
                <w:spacing w:val="40"/>
              </w:rPr>
              <w:t>值；</w:t>
            </w:r>
          </w:p>
          <w:p w14:paraId="7F71B202">
            <w:pPr>
              <w:pStyle w:val="6"/>
              <w:spacing w:before="195" w:line="219" w:lineRule="auto"/>
              <w:ind w:left="560"/>
            </w:pPr>
            <w:r>
              <w:rPr>
                <w:spacing w:val="-9"/>
              </w:rPr>
              <w:t>NDVIs ——完全无植被覆盖像元的N</w:t>
            </w:r>
            <w:r>
              <w:rPr>
                <w:spacing w:val="-10"/>
              </w:rPr>
              <w:t>DVI值。</w:t>
            </w:r>
          </w:p>
          <w:p w14:paraId="47B0589F">
            <w:pPr>
              <w:pStyle w:val="6"/>
              <w:spacing w:before="164" w:line="356" w:lineRule="auto"/>
              <w:ind w:left="80" w:right="218" w:firstLine="479"/>
            </w:pPr>
            <w:r>
              <w:t>根据遥感卫星影像数据，对评价区的植被覆盖度指数进行归一化分析与计算</w:t>
            </w:r>
            <w:r>
              <w:rPr>
                <w:spacing w:val="10"/>
              </w:rPr>
              <w:t xml:space="preserve"> </w:t>
            </w:r>
            <w:r>
              <w:t>后，评价区植被覆盖度等级划分及面积比例情况见下</w:t>
            </w:r>
            <w:r>
              <w:rPr>
                <w:spacing w:val="-1"/>
              </w:rPr>
              <w:t>表。</w:t>
            </w:r>
          </w:p>
          <w:p w14:paraId="71907C91">
            <w:pPr>
              <w:pStyle w:val="6"/>
              <w:spacing w:before="2" w:line="184" w:lineRule="auto"/>
              <w:ind w:left="3164"/>
            </w:pPr>
            <w:r>
              <w:rPr>
                <w:b/>
                <w:bCs/>
                <w:spacing w:val="-4"/>
              </w:rPr>
              <w:t>表3-6评价区植被覆盖度</w:t>
            </w:r>
          </w:p>
          <w:tbl>
            <w:tblPr>
              <w:tblStyle w:val="5"/>
              <w:tblW w:w="850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4"/>
              <w:gridCol w:w="1428"/>
              <w:gridCol w:w="1428"/>
              <w:gridCol w:w="1428"/>
              <w:gridCol w:w="1339"/>
              <w:gridCol w:w="1493"/>
            </w:tblGrid>
            <w:tr w14:paraId="67253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384" w:type="dxa"/>
                  <w:vMerge w:val="restart"/>
                  <w:tcBorders>
                    <w:bottom w:val="nil"/>
                  </w:tcBorders>
                  <w:vAlign w:val="top"/>
                </w:tcPr>
                <w:p w14:paraId="148D51F5">
                  <w:pPr>
                    <w:pStyle w:val="6"/>
                    <w:spacing w:before="173" w:line="219" w:lineRule="auto"/>
                    <w:ind w:left="155"/>
                    <w:rPr>
                      <w:sz w:val="21"/>
                      <w:szCs w:val="21"/>
                    </w:rPr>
                  </w:pPr>
                  <w:r>
                    <w:rPr>
                      <w:spacing w:val="2"/>
                      <w:sz w:val="21"/>
                      <w:szCs w:val="21"/>
                    </w:rPr>
                    <w:t>植被覆盖度</w:t>
                  </w:r>
                </w:p>
                <w:p w14:paraId="554E8B72">
                  <w:pPr>
                    <w:pStyle w:val="6"/>
                    <w:spacing w:before="44" w:line="222" w:lineRule="auto"/>
                    <w:ind w:left="415"/>
                    <w:rPr>
                      <w:sz w:val="21"/>
                      <w:szCs w:val="21"/>
                    </w:rPr>
                  </w:pPr>
                  <w:r>
                    <w:rPr>
                      <w:spacing w:val="-8"/>
                      <w:sz w:val="21"/>
                      <w:szCs w:val="21"/>
                    </w:rPr>
                    <w:t>(FVC)</w:t>
                  </w:r>
                </w:p>
              </w:tc>
              <w:tc>
                <w:tcPr>
                  <w:tcW w:w="1428" w:type="dxa"/>
                  <w:vMerge w:val="restart"/>
                  <w:tcBorders>
                    <w:bottom w:val="nil"/>
                  </w:tcBorders>
                  <w:vAlign w:val="top"/>
                </w:tcPr>
                <w:p w14:paraId="3DA17848">
                  <w:pPr>
                    <w:pStyle w:val="6"/>
                    <w:spacing w:before="183" w:line="219" w:lineRule="auto"/>
                    <w:ind w:left="180"/>
                    <w:rPr>
                      <w:sz w:val="21"/>
                      <w:szCs w:val="21"/>
                    </w:rPr>
                  </w:pPr>
                  <w:r>
                    <w:rPr>
                      <w:spacing w:val="2"/>
                      <w:sz w:val="21"/>
                      <w:szCs w:val="21"/>
                    </w:rPr>
                    <w:t>植被覆盖度</w:t>
                  </w:r>
                </w:p>
                <w:p w14:paraId="3822CBD1">
                  <w:pPr>
                    <w:pStyle w:val="6"/>
                    <w:spacing w:before="21" w:line="219" w:lineRule="auto"/>
                    <w:ind w:left="490"/>
                    <w:rPr>
                      <w:sz w:val="21"/>
                      <w:szCs w:val="21"/>
                    </w:rPr>
                  </w:pPr>
                  <w:r>
                    <w:rPr>
                      <w:spacing w:val="6"/>
                      <w:sz w:val="21"/>
                      <w:szCs w:val="21"/>
                    </w:rPr>
                    <w:t>等级</w:t>
                  </w:r>
                </w:p>
              </w:tc>
              <w:tc>
                <w:tcPr>
                  <w:tcW w:w="2856" w:type="dxa"/>
                  <w:gridSpan w:val="2"/>
                  <w:vAlign w:val="top"/>
                </w:tcPr>
                <w:p w14:paraId="060AF3F5">
                  <w:pPr>
                    <w:pStyle w:val="6"/>
                    <w:spacing w:before="41" w:line="204" w:lineRule="auto"/>
                    <w:ind w:left="1103"/>
                    <w:rPr>
                      <w:sz w:val="21"/>
                      <w:szCs w:val="21"/>
                    </w:rPr>
                  </w:pPr>
                  <w:r>
                    <w:rPr>
                      <w:spacing w:val="5"/>
                      <w:sz w:val="21"/>
                      <w:szCs w:val="21"/>
                    </w:rPr>
                    <w:t>评价区</w:t>
                  </w:r>
                </w:p>
              </w:tc>
              <w:tc>
                <w:tcPr>
                  <w:tcW w:w="2832" w:type="dxa"/>
                  <w:gridSpan w:val="2"/>
                  <w:vAlign w:val="top"/>
                </w:tcPr>
                <w:p w14:paraId="319F4318">
                  <w:pPr>
                    <w:pStyle w:val="6"/>
                    <w:spacing w:before="44" w:line="202" w:lineRule="auto"/>
                    <w:ind w:left="776"/>
                    <w:rPr>
                      <w:sz w:val="21"/>
                      <w:szCs w:val="21"/>
                    </w:rPr>
                  </w:pPr>
                  <w:r>
                    <w:rPr>
                      <w:spacing w:val="3"/>
                      <w:sz w:val="21"/>
                      <w:szCs w:val="21"/>
                    </w:rPr>
                    <w:t>项目占地范围</w:t>
                  </w:r>
                </w:p>
              </w:tc>
            </w:tr>
            <w:tr w14:paraId="0817D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384" w:type="dxa"/>
                  <w:vMerge w:val="continue"/>
                  <w:tcBorders>
                    <w:top w:val="nil"/>
                  </w:tcBorders>
                  <w:vAlign w:val="top"/>
                </w:tcPr>
                <w:p w14:paraId="5DFFA3A2">
                  <w:pPr>
                    <w:rPr>
                      <w:rFonts w:ascii="Arial"/>
                      <w:sz w:val="21"/>
                    </w:rPr>
                  </w:pPr>
                </w:p>
              </w:tc>
              <w:tc>
                <w:tcPr>
                  <w:tcW w:w="1428" w:type="dxa"/>
                  <w:vMerge w:val="continue"/>
                  <w:tcBorders>
                    <w:top w:val="nil"/>
                  </w:tcBorders>
                  <w:vAlign w:val="top"/>
                </w:tcPr>
                <w:p w14:paraId="4AF37AAB">
                  <w:pPr>
                    <w:rPr>
                      <w:rFonts w:ascii="Arial"/>
                      <w:sz w:val="21"/>
                    </w:rPr>
                  </w:pPr>
                </w:p>
              </w:tc>
              <w:tc>
                <w:tcPr>
                  <w:tcW w:w="1428" w:type="dxa"/>
                  <w:vAlign w:val="top"/>
                </w:tcPr>
                <w:p w14:paraId="1764758E">
                  <w:pPr>
                    <w:pStyle w:val="6"/>
                    <w:spacing w:before="170" w:line="220" w:lineRule="auto"/>
                    <w:ind w:left="183"/>
                    <w:rPr>
                      <w:sz w:val="21"/>
                      <w:szCs w:val="21"/>
                    </w:rPr>
                  </w:pPr>
                  <w:r>
                    <w:rPr>
                      <w:spacing w:val="7"/>
                      <w:sz w:val="21"/>
                      <w:szCs w:val="21"/>
                    </w:rPr>
                    <w:t>面积(公顷)</w:t>
                  </w:r>
                </w:p>
              </w:tc>
              <w:tc>
                <w:tcPr>
                  <w:tcW w:w="1428" w:type="dxa"/>
                  <w:vAlign w:val="top"/>
                </w:tcPr>
                <w:p w14:paraId="75C19BE7">
                  <w:pPr>
                    <w:pStyle w:val="6"/>
                    <w:spacing w:before="30" w:line="220" w:lineRule="auto"/>
                    <w:ind w:left="284"/>
                    <w:rPr>
                      <w:sz w:val="21"/>
                      <w:szCs w:val="21"/>
                    </w:rPr>
                  </w:pPr>
                  <w:r>
                    <w:rPr>
                      <w:spacing w:val="4"/>
                      <w:sz w:val="21"/>
                      <w:szCs w:val="21"/>
                    </w:rPr>
                    <w:t>面积比例</w:t>
                  </w:r>
                </w:p>
                <w:p w14:paraId="2A53FFAD">
                  <w:pPr>
                    <w:pStyle w:val="6"/>
                    <w:spacing w:before="1" w:line="216" w:lineRule="auto"/>
                    <w:ind w:left="544"/>
                    <w:rPr>
                      <w:sz w:val="21"/>
                      <w:szCs w:val="21"/>
                    </w:rPr>
                  </w:pPr>
                  <w:r>
                    <w:rPr>
                      <w:spacing w:val="-11"/>
                      <w:sz w:val="21"/>
                      <w:szCs w:val="21"/>
                    </w:rPr>
                    <w:t>(%)</w:t>
                  </w:r>
                </w:p>
              </w:tc>
              <w:tc>
                <w:tcPr>
                  <w:tcW w:w="1339" w:type="dxa"/>
                  <w:vAlign w:val="top"/>
                </w:tcPr>
                <w:p w14:paraId="0C112C06">
                  <w:pPr>
                    <w:pStyle w:val="6"/>
                    <w:spacing w:before="170" w:line="220" w:lineRule="auto"/>
                    <w:ind w:left="137"/>
                    <w:rPr>
                      <w:sz w:val="21"/>
                      <w:szCs w:val="21"/>
                    </w:rPr>
                  </w:pPr>
                  <w:r>
                    <w:rPr>
                      <w:spacing w:val="7"/>
                      <w:sz w:val="21"/>
                      <w:szCs w:val="21"/>
                    </w:rPr>
                    <w:t>面积(公顷)</w:t>
                  </w:r>
                </w:p>
              </w:tc>
              <w:tc>
                <w:tcPr>
                  <w:tcW w:w="1493" w:type="dxa"/>
                  <w:vAlign w:val="top"/>
                </w:tcPr>
                <w:p w14:paraId="3ABF81ED">
                  <w:pPr>
                    <w:pStyle w:val="6"/>
                    <w:spacing w:before="170" w:line="220" w:lineRule="auto"/>
                    <w:ind w:left="158"/>
                    <w:rPr>
                      <w:sz w:val="21"/>
                      <w:szCs w:val="21"/>
                    </w:rPr>
                  </w:pPr>
                  <w:r>
                    <w:rPr>
                      <w:spacing w:val="7"/>
                      <w:sz w:val="21"/>
                      <w:szCs w:val="21"/>
                    </w:rPr>
                    <w:t>面积比例(%)</w:t>
                  </w:r>
                </w:p>
              </w:tc>
            </w:tr>
            <w:tr w14:paraId="11525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384" w:type="dxa"/>
                  <w:vAlign w:val="top"/>
                </w:tcPr>
                <w:p w14:paraId="474E5CF7">
                  <w:pPr>
                    <w:pStyle w:val="6"/>
                    <w:spacing w:before="60" w:line="192" w:lineRule="auto"/>
                    <w:ind w:left="265"/>
                    <w:rPr>
                      <w:sz w:val="21"/>
                      <w:szCs w:val="21"/>
                    </w:rPr>
                  </w:pPr>
                  <w:r>
                    <w:rPr>
                      <w:spacing w:val="-1"/>
                      <w:sz w:val="21"/>
                      <w:szCs w:val="21"/>
                    </w:rPr>
                    <w:t>FVC≤0.1</w:t>
                  </w:r>
                </w:p>
              </w:tc>
              <w:tc>
                <w:tcPr>
                  <w:tcW w:w="1428" w:type="dxa"/>
                  <w:vAlign w:val="top"/>
                </w:tcPr>
                <w:p w14:paraId="45B0B6B2">
                  <w:pPr>
                    <w:pStyle w:val="6"/>
                    <w:spacing w:before="42" w:line="208" w:lineRule="auto"/>
                    <w:ind w:left="281"/>
                    <w:rPr>
                      <w:sz w:val="21"/>
                      <w:szCs w:val="21"/>
                    </w:rPr>
                  </w:pPr>
                  <w:r>
                    <w:rPr>
                      <w:spacing w:val="-2"/>
                      <w:sz w:val="21"/>
                      <w:szCs w:val="21"/>
                    </w:rPr>
                    <w:t>低覆盖度</w:t>
                  </w:r>
                </w:p>
              </w:tc>
              <w:tc>
                <w:tcPr>
                  <w:tcW w:w="1428" w:type="dxa"/>
                  <w:vAlign w:val="top"/>
                </w:tcPr>
                <w:p w14:paraId="369A3C4D">
                  <w:pPr>
                    <w:pStyle w:val="6"/>
                    <w:spacing w:before="62" w:line="190" w:lineRule="auto"/>
                    <w:ind w:left="392"/>
                    <w:rPr>
                      <w:sz w:val="21"/>
                      <w:szCs w:val="21"/>
                    </w:rPr>
                  </w:pPr>
                  <w:r>
                    <w:rPr>
                      <w:spacing w:val="-2"/>
                      <w:sz w:val="21"/>
                      <w:szCs w:val="21"/>
                    </w:rPr>
                    <w:t>398.89</w:t>
                  </w:r>
                </w:p>
              </w:tc>
              <w:tc>
                <w:tcPr>
                  <w:tcW w:w="1428" w:type="dxa"/>
                  <w:vAlign w:val="top"/>
                </w:tcPr>
                <w:p w14:paraId="094552A6">
                  <w:pPr>
                    <w:pStyle w:val="6"/>
                    <w:spacing w:before="62" w:line="190" w:lineRule="auto"/>
                    <w:ind w:left="445"/>
                    <w:rPr>
                      <w:sz w:val="21"/>
                      <w:szCs w:val="21"/>
                    </w:rPr>
                  </w:pPr>
                  <w:r>
                    <w:rPr>
                      <w:spacing w:val="-2"/>
                      <w:sz w:val="21"/>
                      <w:szCs w:val="21"/>
                    </w:rPr>
                    <w:t>20.23</w:t>
                  </w:r>
                </w:p>
              </w:tc>
              <w:tc>
                <w:tcPr>
                  <w:tcW w:w="1339" w:type="dxa"/>
                  <w:vAlign w:val="top"/>
                </w:tcPr>
                <w:p w14:paraId="3F03F5E5">
                  <w:pPr>
                    <w:pStyle w:val="6"/>
                    <w:spacing w:before="62" w:line="190" w:lineRule="auto"/>
                    <w:ind w:left="347"/>
                    <w:rPr>
                      <w:sz w:val="21"/>
                      <w:szCs w:val="21"/>
                    </w:rPr>
                  </w:pPr>
                  <w:r>
                    <w:rPr>
                      <w:spacing w:val="-2"/>
                      <w:sz w:val="21"/>
                      <w:szCs w:val="21"/>
                    </w:rPr>
                    <w:t>7.9124</w:t>
                  </w:r>
                </w:p>
              </w:tc>
              <w:tc>
                <w:tcPr>
                  <w:tcW w:w="1493" w:type="dxa"/>
                  <w:vAlign w:val="top"/>
                </w:tcPr>
                <w:p w14:paraId="5EEB068F">
                  <w:pPr>
                    <w:pStyle w:val="6"/>
                    <w:spacing w:before="62" w:line="190" w:lineRule="auto"/>
                    <w:ind w:left="527"/>
                    <w:rPr>
                      <w:sz w:val="21"/>
                      <w:szCs w:val="21"/>
                    </w:rPr>
                  </w:pPr>
                  <w:r>
                    <w:rPr>
                      <w:spacing w:val="-3"/>
                      <w:sz w:val="21"/>
                      <w:szCs w:val="21"/>
                    </w:rPr>
                    <w:t>3.79</w:t>
                  </w:r>
                </w:p>
              </w:tc>
            </w:tr>
            <w:tr w14:paraId="7A1AE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1384" w:type="dxa"/>
                  <w:vAlign w:val="top"/>
                </w:tcPr>
                <w:p w14:paraId="4A25F7FE">
                  <w:pPr>
                    <w:pStyle w:val="6"/>
                    <w:spacing w:before="64" w:line="191" w:lineRule="auto"/>
                    <w:ind w:left="474"/>
                    <w:rPr>
                      <w:sz w:val="21"/>
                      <w:szCs w:val="21"/>
                    </w:rPr>
                  </w:pPr>
                  <w:r>
                    <w:rPr>
                      <w:sz w:val="21"/>
                      <w:szCs w:val="21"/>
                    </w:rPr>
                    <w:t>0.1&lt;</w:t>
                  </w:r>
                </w:p>
                <w:p w14:paraId="2AAD845B">
                  <w:pPr>
                    <w:pStyle w:val="6"/>
                    <w:spacing w:line="181" w:lineRule="auto"/>
                    <w:ind w:left="204"/>
                    <w:rPr>
                      <w:sz w:val="21"/>
                      <w:szCs w:val="21"/>
                    </w:rPr>
                  </w:pPr>
                  <w:r>
                    <w:rPr>
                      <w:spacing w:val="-1"/>
                      <w:sz w:val="21"/>
                      <w:szCs w:val="21"/>
                    </w:rPr>
                    <w:t>FVC≤0.25</w:t>
                  </w:r>
                </w:p>
              </w:tc>
              <w:tc>
                <w:tcPr>
                  <w:tcW w:w="1428" w:type="dxa"/>
                  <w:vAlign w:val="top"/>
                </w:tcPr>
                <w:p w14:paraId="11623359">
                  <w:pPr>
                    <w:pStyle w:val="6"/>
                    <w:spacing w:before="153" w:line="220" w:lineRule="auto"/>
                    <w:ind w:left="180"/>
                    <w:rPr>
                      <w:sz w:val="21"/>
                      <w:szCs w:val="21"/>
                    </w:rPr>
                  </w:pPr>
                  <w:r>
                    <w:rPr>
                      <w:spacing w:val="2"/>
                      <w:sz w:val="21"/>
                      <w:szCs w:val="21"/>
                    </w:rPr>
                    <w:t>较低覆盖度</w:t>
                  </w:r>
                </w:p>
              </w:tc>
              <w:tc>
                <w:tcPr>
                  <w:tcW w:w="1428" w:type="dxa"/>
                  <w:vAlign w:val="top"/>
                </w:tcPr>
                <w:p w14:paraId="1DAEB038">
                  <w:pPr>
                    <w:pStyle w:val="6"/>
                    <w:spacing w:before="173"/>
                    <w:ind w:left="443"/>
                    <w:rPr>
                      <w:sz w:val="21"/>
                      <w:szCs w:val="21"/>
                    </w:rPr>
                  </w:pPr>
                  <w:r>
                    <w:rPr>
                      <w:spacing w:val="-4"/>
                      <w:sz w:val="21"/>
                      <w:szCs w:val="21"/>
                    </w:rPr>
                    <w:t>13596</w:t>
                  </w:r>
                </w:p>
              </w:tc>
              <w:tc>
                <w:tcPr>
                  <w:tcW w:w="1428" w:type="dxa"/>
                  <w:vAlign w:val="top"/>
                </w:tcPr>
                <w:p w14:paraId="2915AF53">
                  <w:pPr>
                    <w:pStyle w:val="6"/>
                    <w:spacing w:before="173" w:line="239" w:lineRule="auto"/>
                    <w:ind w:left="495"/>
                    <w:rPr>
                      <w:sz w:val="21"/>
                      <w:szCs w:val="21"/>
                    </w:rPr>
                  </w:pPr>
                  <w:r>
                    <w:rPr>
                      <w:spacing w:val="-2"/>
                      <w:sz w:val="21"/>
                      <w:szCs w:val="21"/>
                    </w:rPr>
                    <w:t>6.90</w:t>
                  </w:r>
                </w:p>
              </w:tc>
              <w:tc>
                <w:tcPr>
                  <w:tcW w:w="1339" w:type="dxa"/>
                  <w:vAlign w:val="top"/>
                </w:tcPr>
                <w:p w14:paraId="3E60057F">
                  <w:pPr>
                    <w:pStyle w:val="6"/>
                    <w:spacing w:before="173" w:line="239" w:lineRule="auto"/>
                    <w:ind w:left="246"/>
                    <w:rPr>
                      <w:sz w:val="21"/>
                      <w:szCs w:val="21"/>
                    </w:rPr>
                  </w:pPr>
                  <w:r>
                    <w:rPr>
                      <w:spacing w:val="-3"/>
                      <w:sz w:val="21"/>
                      <w:szCs w:val="21"/>
                    </w:rPr>
                    <w:t>168.4723</w:t>
                  </w:r>
                </w:p>
              </w:tc>
              <w:tc>
                <w:tcPr>
                  <w:tcW w:w="1493" w:type="dxa"/>
                  <w:vAlign w:val="top"/>
                </w:tcPr>
                <w:p w14:paraId="107351BD">
                  <w:pPr>
                    <w:pStyle w:val="6"/>
                    <w:spacing w:before="173" w:line="239" w:lineRule="auto"/>
                    <w:ind w:left="477"/>
                    <w:rPr>
                      <w:sz w:val="21"/>
                      <w:szCs w:val="21"/>
                    </w:rPr>
                  </w:pPr>
                  <w:r>
                    <w:rPr>
                      <w:spacing w:val="-2"/>
                      <w:sz w:val="21"/>
                      <w:szCs w:val="21"/>
                    </w:rPr>
                    <w:t>80.66</w:t>
                  </w:r>
                </w:p>
              </w:tc>
            </w:tr>
            <w:tr w14:paraId="73633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384" w:type="dxa"/>
                  <w:vAlign w:val="top"/>
                </w:tcPr>
                <w:p w14:paraId="5A680DC4">
                  <w:pPr>
                    <w:pStyle w:val="6"/>
                    <w:spacing w:before="56" w:line="194" w:lineRule="auto"/>
                    <w:ind w:left="265" w:right="273" w:firstLine="150"/>
                    <w:rPr>
                      <w:sz w:val="21"/>
                      <w:szCs w:val="21"/>
                    </w:rPr>
                  </w:pPr>
                  <w:r>
                    <w:rPr>
                      <w:spacing w:val="-2"/>
                      <w:sz w:val="21"/>
                      <w:szCs w:val="21"/>
                    </w:rPr>
                    <w:t>0.25&lt;</w:t>
                  </w:r>
                  <w:r>
                    <w:rPr>
                      <w:sz w:val="21"/>
                      <w:szCs w:val="21"/>
                    </w:rPr>
                    <w:t xml:space="preserve">  </w:t>
                  </w:r>
                  <w:r>
                    <w:rPr>
                      <w:spacing w:val="-1"/>
                      <w:sz w:val="21"/>
                      <w:szCs w:val="21"/>
                    </w:rPr>
                    <w:t>FVC≤0.5</w:t>
                  </w:r>
                </w:p>
              </w:tc>
              <w:tc>
                <w:tcPr>
                  <w:tcW w:w="1428" w:type="dxa"/>
                  <w:vAlign w:val="top"/>
                </w:tcPr>
                <w:p w14:paraId="19C34C59">
                  <w:pPr>
                    <w:pStyle w:val="6"/>
                    <w:spacing w:before="155" w:line="220" w:lineRule="auto"/>
                    <w:ind w:left="281"/>
                    <w:rPr>
                      <w:sz w:val="21"/>
                      <w:szCs w:val="21"/>
                    </w:rPr>
                  </w:pPr>
                  <w:r>
                    <w:rPr>
                      <w:spacing w:val="3"/>
                      <w:sz w:val="21"/>
                      <w:szCs w:val="21"/>
                    </w:rPr>
                    <w:t>中覆盖度</w:t>
                  </w:r>
                </w:p>
              </w:tc>
              <w:tc>
                <w:tcPr>
                  <w:tcW w:w="1428" w:type="dxa"/>
                  <w:vAlign w:val="top"/>
                </w:tcPr>
                <w:p w14:paraId="5E6FC19B">
                  <w:pPr>
                    <w:pStyle w:val="6"/>
                    <w:spacing w:before="175" w:line="239" w:lineRule="auto"/>
                    <w:ind w:left="392"/>
                    <w:rPr>
                      <w:sz w:val="21"/>
                      <w:szCs w:val="21"/>
                    </w:rPr>
                  </w:pPr>
                  <w:r>
                    <w:rPr>
                      <w:spacing w:val="-4"/>
                      <w:sz w:val="21"/>
                      <w:szCs w:val="21"/>
                    </w:rPr>
                    <w:t>157.99</w:t>
                  </w:r>
                </w:p>
              </w:tc>
              <w:tc>
                <w:tcPr>
                  <w:tcW w:w="1428" w:type="dxa"/>
                  <w:vAlign w:val="top"/>
                </w:tcPr>
                <w:p w14:paraId="51B89645">
                  <w:pPr>
                    <w:pStyle w:val="6"/>
                    <w:spacing w:before="175" w:line="239" w:lineRule="auto"/>
                    <w:ind w:left="495"/>
                    <w:rPr>
                      <w:sz w:val="21"/>
                      <w:szCs w:val="21"/>
                    </w:rPr>
                  </w:pPr>
                  <w:r>
                    <w:rPr>
                      <w:spacing w:val="-2"/>
                      <w:sz w:val="21"/>
                      <w:szCs w:val="21"/>
                    </w:rPr>
                    <w:t>8.01</w:t>
                  </w:r>
                </w:p>
              </w:tc>
              <w:tc>
                <w:tcPr>
                  <w:tcW w:w="1339" w:type="dxa"/>
                  <w:vAlign w:val="top"/>
                </w:tcPr>
                <w:p w14:paraId="3E061BBD">
                  <w:pPr>
                    <w:pStyle w:val="6"/>
                    <w:spacing w:before="175" w:line="239" w:lineRule="auto"/>
                    <w:ind w:left="297"/>
                    <w:rPr>
                      <w:sz w:val="21"/>
                      <w:szCs w:val="21"/>
                    </w:rPr>
                  </w:pPr>
                  <w:r>
                    <w:rPr>
                      <w:spacing w:val="-2"/>
                      <w:sz w:val="21"/>
                      <w:szCs w:val="21"/>
                    </w:rPr>
                    <w:t>26.3013</w:t>
                  </w:r>
                </w:p>
              </w:tc>
              <w:tc>
                <w:tcPr>
                  <w:tcW w:w="1493" w:type="dxa"/>
                  <w:vAlign w:val="top"/>
                </w:tcPr>
                <w:p w14:paraId="1E8F2083">
                  <w:pPr>
                    <w:pStyle w:val="6"/>
                    <w:spacing w:before="175" w:line="239" w:lineRule="auto"/>
                    <w:ind w:left="477"/>
                    <w:rPr>
                      <w:sz w:val="21"/>
                      <w:szCs w:val="21"/>
                    </w:rPr>
                  </w:pPr>
                  <w:r>
                    <w:rPr>
                      <w:spacing w:val="-4"/>
                      <w:sz w:val="21"/>
                      <w:szCs w:val="21"/>
                    </w:rPr>
                    <w:t>12.59</w:t>
                  </w:r>
                </w:p>
              </w:tc>
            </w:tr>
            <w:tr w14:paraId="61BBA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384" w:type="dxa"/>
                  <w:vAlign w:val="top"/>
                </w:tcPr>
                <w:p w14:paraId="725BD7AE">
                  <w:pPr>
                    <w:pStyle w:val="6"/>
                    <w:spacing w:before="57" w:line="209" w:lineRule="auto"/>
                    <w:ind w:left="474"/>
                    <w:rPr>
                      <w:sz w:val="21"/>
                      <w:szCs w:val="21"/>
                    </w:rPr>
                  </w:pPr>
                  <w:r>
                    <w:rPr>
                      <w:spacing w:val="-1"/>
                      <w:sz w:val="21"/>
                      <w:szCs w:val="21"/>
                    </w:rPr>
                    <w:t>0.5&lt;</w:t>
                  </w:r>
                </w:p>
                <w:p w14:paraId="72B05D05">
                  <w:pPr>
                    <w:pStyle w:val="6"/>
                    <w:spacing w:before="1" w:line="178" w:lineRule="auto"/>
                    <w:ind w:left="204"/>
                    <w:rPr>
                      <w:sz w:val="21"/>
                      <w:szCs w:val="21"/>
                    </w:rPr>
                  </w:pPr>
                  <w:r>
                    <w:rPr>
                      <w:spacing w:val="-1"/>
                      <w:sz w:val="21"/>
                      <w:szCs w:val="21"/>
                    </w:rPr>
                    <w:t>FVC≤0.75</w:t>
                  </w:r>
                </w:p>
              </w:tc>
              <w:tc>
                <w:tcPr>
                  <w:tcW w:w="1428" w:type="dxa"/>
                  <w:vAlign w:val="top"/>
                </w:tcPr>
                <w:p w14:paraId="130F9405">
                  <w:pPr>
                    <w:pStyle w:val="6"/>
                    <w:spacing w:before="156" w:line="219" w:lineRule="auto"/>
                    <w:ind w:left="180"/>
                    <w:rPr>
                      <w:sz w:val="21"/>
                      <w:szCs w:val="21"/>
                    </w:rPr>
                  </w:pPr>
                  <w:r>
                    <w:rPr>
                      <w:spacing w:val="2"/>
                      <w:sz w:val="21"/>
                      <w:szCs w:val="21"/>
                    </w:rPr>
                    <w:t>较高覆盖度</w:t>
                  </w:r>
                </w:p>
              </w:tc>
              <w:tc>
                <w:tcPr>
                  <w:tcW w:w="1428" w:type="dxa"/>
                  <w:vAlign w:val="top"/>
                </w:tcPr>
                <w:p w14:paraId="269C3E13">
                  <w:pPr>
                    <w:pStyle w:val="6"/>
                    <w:spacing w:before="177" w:line="239" w:lineRule="auto"/>
                    <w:ind w:left="392"/>
                    <w:rPr>
                      <w:sz w:val="21"/>
                      <w:szCs w:val="21"/>
                    </w:rPr>
                  </w:pPr>
                  <w:r>
                    <w:rPr>
                      <w:spacing w:val="-2"/>
                      <w:sz w:val="21"/>
                      <w:szCs w:val="21"/>
                    </w:rPr>
                    <w:t>682.32</w:t>
                  </w:r>
                </w:p>
              </w:tc>
              <w:tc>
                <w:tcPr>
                  <w:tcW w:w="1428" w:type="dxa"/>
                  <w:vAlign w:val="top"/>
                </w:tcPr>
                <w:p w14:paraId="4078FF06">
                  <w:pPr>
                    <w:pStyle w:val="6"/>
                    <w:spacing w:before="177" w:line="239" w:lineRule="auto"/>
                    <w:ind w:left="445"/>
                    <w:rPr>
                      <w:sz w:val="21"/>
                      <w:szCs w:val="21"/>
                    </w:rPr>
                  </w:pPr>
                  <w:r>
                    <w:rPr>
                      <w:spacing w:val="-2"/>
                      <w:sz w:val="21"/>
                      <w:szCs w:val="21"/>
                    </w:rPr>
                    <w:t>34.61</w:t>
                  </w:r>
                </w:p>
              </w:tc>
              <w:tc>
                <w:tcPr>
                  <w:tcW w:w="1339" w:type="dxa"/>
                  <w:vAlign w:val="top"/>
                </w:tcPr>
                <w:p w14:paraId="6BC9031A">
                  <w:pPr>
                    <w:pStyle w:val="6"/>
                    <w:spacing w:before="177" w:line="239" w:lineRule="auto"/>
                    <w:ind w:left="347"/>
                    <w:rPr>
                      <w:sz w:val="21"/>
                      <w:szCs w:val="21"/>
                    </w:rPr>
                  </w:pPr>
                  <w:r>
                    <w:rPr>
                      <w:spacing w:val="-2"/>
                      <w:sz w:val="21"/>
                      <w:szCs w:val="21"/>
                    </w:rPr>
                    <w:t>3.4285</w:t>
                  </w:r>
                </w:p>
              </w:tc>
              <w:tc>
                <w:tcPr>
                  <w:tcW w:w="1493" w:type="dxa"/>
                  <w:vAlign w:val="top"/>
                </w:tcPr>
                <w:p w14:paraId="6B4083B2">
                  <w:pPr>
                    <w:pStyle w:val="6"/>
                    <w:spacing w:before="177" w:line="239" w:lineRule="auto"/>
                    <w:ind w:left="527"/>
                    <w:rPr>
                      <w:sz w:val="21"/>
                      <w:szCs w:val="21"/>
                    </w:rPr>
                  </w:pPr>
                  <w:r>
                    <w:rPr>
                      <w:spacing w:val="-5"/>
                      <w:sz w:val="21"/>
                      <w:szCs w:val="21"/>
                    </w:rPr>
                    <w:t>1.64</w:t>
                  </w:r>
                </w:p>
              </w:tc>
            </w:tr>
            <w:tr w14:paraId="418C1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84" w:type="dxa"/>
                  <w:vAlign w:val="top"/>
                </w:tcPr>
                <w:p w14:paraId="4DE20BFA">
                  <w:pPr>
                    <w:pStyle w:val="6"/>
                    <w:spacing w:before="58" w:line="181" w:lineRule="auto"/>
                    <w:ind w:left="265"/>
                    <w:rPr>
                      <w:sz w:val="21"/>
                      <w:szCs w:val="21"/>
                    </w:rPr>
                  </w:pPr>
                  <w:r>
                    <w:rPr>
                      <w:spacing w:val="-1"/>
                      <w:sz w:val="21"/>
                      <w:szCs w:val="21"/>
                    </w:rPr>
                    <w:t>FVC&gt;0.75</w:t>
                  </w:r>
                </w:p>
              </w:tc>
              <w:tc>
                <w:tcPr>
                  <w:tcW w:w="1428" w:type="dxa"/>
                  <w:vAlign w:val="top"/>
                </w:tcPr>
                <w:p w14:paraId="54E3ADA2">
                  <w:pPr>
                    <w:pStyle w:val="6"/>
                    <w:spacing w:before="37" w:line="199" w:lineRule="auto"/>
                    <w:ind w:left="281"/>
                    <w:rPr>
                      <w:sz w:val="21"/>
                      <w:szCs w:val="21"/>
                    </w:rPr>
                  </w:pPr>
                  <w:r>
                    <w:rPr>
                      <w:spacing w:val="3"/>
                      <w:sz w:val="21"/>
                      <w:szCs w:val="21"/>
                    </w:rPr>
                    <w:t>高覆盖度</w:t>
                  </w:r>
                </w:p>
              </w:tc>
              <w:tc>
                <w:tcPr>
                  <w:tcW w:w="1428" w:type="dxa"/>
                  <w:vAlign w:val="top"/>
                </w:tcPr>
                <w:p w14:paraId="2B402B72">
                  <w:pPr>
                    <w:pStyle w:val="6"/>
                    <w:spacing w:before="58" w:line="181" w:lineRule="auto"/>
                    <w:ind w:left="392"/>
                    <w:rPr>
                      <w:sz w:val="21"/>
                      <w:szCs w:val="21"/>
                    </w:rPr>
                  </w:pPr>
                  <w:r>
                    <w:rPr>
                      <w:spacing w:val="-2"/>
                      <w:sz w:val="21"/>
                      <w:szCs w:val="21"/>
                    </w:rPr>
                    <w:t>596.20</w:t>
                  </w:r>
                </w:p>
              </w:tc>
              <w:tc>
                <w:tcPr>
                  <w:tcW w:w="1428" w:type="dxa"/>
                  <w:vAlign w:val="top"/>
                </w:tcPr>
                <w:p w14:paraId="428B58E8">
                  <w:pPr>
                    <w:pStyle w:val="6"/>
                    <w:spacing w:before="58" w:line="181" w:lineRule="auto"/>
                    <w:ind w:left="445"/>
                    <w:rPr>
                      <w:sz w:val="21"/>
                      <w:szCs w:val="21"/>
                    </w:rPr>
                  </w:pPr>
                  <w:r>
                    <w:rPr>
                      <w:spacing w:val="-2"/>
                      <w:sz w:val="21"/>
                      <w:szCs w:val="21"/>
                    </w:rPr>
                    <w:t>30.24</w:t>
                  </w:r>
                </w:p>
              </w:tc>
              <w:tc>
                <w:tcPr>
                  <w:tcW w:w="1339" w:type="dxa"/>
                  <w:vAlign w:val="top"/>
                </w:tcPr>
                <w:p w14:paraId="35F5435B">
                  <w:pPr>
                    <w:pStyle w:val="6"/>
                    <w:spacing w:before="58" w:line="181" w:lineRule="auto"/>
                    <w:ind w:left="397"/>
                    <w:rPr>
                      <w:sz w:val="21"/>
                      <w:szCs w:val="21"/>
                    </w:rPr>
                  </w:pPr>
                  <w:r>
                    <w:rPr>
                      <w:spacing w:val="-2"/>
                      <w:sz w:val="21"/>
                      <w:szCs w:val="21"/>
                    </w:rPr>
                    <w:t>2.757</w:t>
                  </w:r>
                </w:p>
              </w:tc>
              <w:tc>
                <w:tcPr>
                  <w:tcW w:w="1493" w:type="dxa"/>
                  <w:vAlign w:val="top"/>
                </w:tcPr>
                <w:p w14:paraId="30CC02EC">
                  <w:pPr>
                    <w:pStyle w:val="6"/>
                    <w:spacing w:before="58" w:line="181" w:lineRule="auto"/>
                    <w:ind w:left="527"/>
                    <w:rPr>
                      <w:sz w:val="21"/>
                      <w:szCs w:val="21"/>
                    </w:rPr>
                  </w:pPr>
                  <w:r>
                    <w:rPr>
                      <w:spacing w:val="-5"/>
                      <w:sz w:val="21"/>
                      <w:szCs w:val="21"/>
                    </w:rPr>
                    <w:t>1.32</w:t>
                  </w:r>
                </w:p>
              </w:tc>
            </w:tr>
          </w:tbl>
          <w:p w14:paraId="5CC46A72">
            <w:pPr>
              <w:pStyle w:val="6"/>
              <w:spacing w:before="43" w:line="218" w:lineRule="auto"/>
              <w:ind w:right="17"/>
              <w:jc w:val="right"/>
            </w:pPr>
            <w:r>
              <w:rPr>
                <w:spacing w:val="-1"/>
              </w:rPr>
              <w:t>由上表可见，较高覆盖度以上评价区植被覆盖度面积最大，占评价</w:t>
            </w:r>
            <w:r>
              <w:rPr>
                <w:spacing w:val="-2"/>
              </w:rPr>
              <w:t>区总面积的</w:t>
            </w:r>
          </w:p>
        </w:tc>
      </w:tr>
    </w:tbl>
    <w:p w14:paraId="04615242">
      <w:pPr>
        <w:pStyle w:val="2"/>
      </w:pPr>
    </w:p>
    <w:p w14:paraId="3BF9812D">
      <w:pPr>
        <w:sectPr>
          <w:footerReference r:id="rId66" w:type="default"/>
          <w:pgSz w:w="11910" w:h="16840"/>
          <w:pgMar w:top="1431" w:right="1439" w:bottom="1255" w:left="1405" w:header="0" w:footer="1093" w:gutter="0"/>
          <w:cols w:space="720" w:num="1"/>
        </w:sectPr>
      </w:pPr>
    </w:p>
    <w:p w14:paraId="556EBD92">
      <w:pPr>
        <w:spacing w:line="93" w:lineRule="exact"/>
      </w:pPr>
    </w:p>
    <w:tbl>
      <w:tblPr>
        <w:tblStyle w:val="5"/>
        <w:tblW w:w="907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
        <w:gridCol w:w="8742"/>
      </w:tblGrid>
      <w:tr w14:paraId="6083E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334" w:type="dxa"/>
            <w:vAlign w:val="top"/>
          </w:tcPr>
          <w:p w14:paraId="2243991B">
            <w:pPr>
              <w:rPr>
                <w:rFonts w:ascii="Arial"/>
                <w:sz w:val="21"/>
              </w:rPr>
            </w:pPr>
          </w:p>
        </w:tc>
        <w:tc>
          <w:tcPr>
            <w:tcW w:w="8742" w:type="dxa"/>
            <w:vAlign w:val="top"/>
          </w:tcPr>
          <w:p w14:paraId="67C23303">
            <w:pPr>
              <w:pStyle w:val="6"/>
              <w:spacing w:before="20" w:line="358" w:lineRule="auto"/>
              <w:ind w:left="90" w:right="359" w:hanging="10"/>
            </w:pPr>
            <w:r>
              <w:t>64.85%,中覆盖度以下区域占评价区总面积的35.14%。根据植被覆盖度空间分布</w:t>
            </w:r>
            <w:r>
              <w:rPr>
                <w:spacing w:val="10"/>
              </w:rPr>
              <w:t xml:space="preserve"> </w:t>
            </w:r>
            <w:r>
              <w:t>图，项目区周边村庄及附近区域受人为影响较</w:t>
            </w:r>
            <w:r>
              <w:rPr>
                <w:spacing w:val="-1"/>
              </w:rPr>
              <w:t>大。</w:t>
            </w:r>
          </w:p>
          <w:p w14:paraId="40D64FC9">
            <w:pPr>
              <w:pStyle w:val="6"/>
              <w:spacing w:line="219" w:lineRule="auto"/>
              <w:ind w:left="594"/>
            </w:pPr>
            <w:r>
              <w:rPr>
                <w:b/>
                <w:bCs/>
                <w:spacing w:val="-4"/>
              </w:rPr>
              <w:t>4、景观现状调查</w:t>
            </w:r>
          </w:p>
          <w:p w14:paraId="22F4C8D4">
            <w:pPr>
              <w:pStyle w:val="6"/>
              <w:spacing w:before="196" w:line="358" w:lineRule="auto"/>
              <w:ind w:left="90" w:firstLine="499"/>
              <w:jc w:val="both"/>
            </w:pPr>
            <w:r>
              <w:rPr>
                <w:spacing w:val="-1"/>
              </w:rPr>
              <w:t>在植被类型划分的基础上，根据遥感影像的色彩和色调的变化，确定满足评价</w:t>
            </w:r>
            <w:r>
              <w:rPr>
                <w:spacing w:val="14"/>
              </w:rPr>
              <w:t xml:space="preserve"> </w:t>
            </w:r>
            <w:r>
              <w:t>要求的景观上图单元类型，根据评价区生态环境和植被</w:t>
            </w:r>
            <w:r>
              <w:rPr>
                <w:spacing w:val="-1"/>
              </w:rPr>
              <w:t>组成的具体情况，评价区划</w:t>
            </w:r>
            <w:r>
              <w:t xml:space="preserve"> 分为农田景观、森林景观、草地景观、裸地景观和城镇景观5类基于遥感判读的景</w:t>
            </w:r>
            <w:r>
              <w:rPr>
                <w:spacing w:val="5"/>
              </w:rPr>
              <w:t xml:space="preserve">  </w:t>
            </w:r>
            <w:r>
              <w:rPr>
                <w:spacing w:val="-1"/>
              </w:rPr>
              <w:t>观生态类型。</w:t>
            </w:r>
          </w:p>
          <w:p w14:paraId="6E78767C">
            <w:pPr>
              <w:pStyle w:val="6"/>
              <w:spacing w:before="7" w:line="219" w:lineRule="auto"/>
              <w:ind w:left="694"/>
            </w:pPr>
            <w:r>
              <w:rPr>
                <w:b/>
                <w:bCs/>
                <w:spacing w:val="-3"/>
              </w:rPr>
              <w:t>(1)景观结构分析</w:t>
            </w:r>
          </w:p>
          <w:p w14:paraId="58B890F8">
            <w:pPr>
              <w:pStyle w:val="6"/>
              <w:spacing w:before="177" w:line="359" w:lineRule="auto"/>
              <w:ind w:left="90" w:firstLine="483"/>
              <w:jc w:val="both"/>
            </w:pPr>
            <w:r>
              <w:rPr>
                <w:spacing w:val="-3"/>
              </w:rPr>
              <w:t>运用景观生态学原理进行的景观空间结构的格局分析，</w:t>
            </w:r>
            <w:r>
              <w:rPr>
                <w:spacing w:val="-4"/>
              </w:rPr>
              <w:t>可说明各种景观类型的</w:t>
            </w:r>
            <w:r>
              <w:t xml:space="preserve">  </w:t>
            </w:r>
            <w:r>
              <w:rPr>
                <w:spacing w:val="-3"/>
              </w:rPr>
              <w:t>空间分布和空间结构特征，了解人为活动与景观格局之间的关系。在景观的结构单</w:t>
            </w:r>
            <w:r>
              <w:rPr>
                <w:spacing w:val="9"/>
              </w:rPr>
              <w:t xml:space="preserve"> </w:t>
            </w:r>
            <w:r>
              <w:rPr>
                <w:spacing w:val="-2"/>
              </w:rPr>
              <w:t>元中，通常分为三种基本组分，即缀块(patch)、廊道</w:t>
            </w:r>
            <w:r>
              <w:rPr>
                <w:spacing w:val="-3"/>
              </w:rPr>
              <w:t>(corridor)和基底(matrix)。</w:t>
            </w:r>
            <w:r>
              <w:t xml:space="preserve"> </w:t>
            </w:r>
            <w:r>
              <w:rPr>
                <w:spacing w:val="-3"/>
              </w:rPr>
              <w:t>缀块泛指与周围环境在外貌或性质上不同，并具有一定内部均质性的空间单</w:t>
            </w:r>
            <w:r>
              <w:rPr>
                <w:spacing w:val="-4"/>
              </w:rPr>
              <w:t>元，缀</w:t>
            </w:r>
            <w:r>
              <w:t xml:space="preserve">  </w:t>
            </w:r>
            <w:r>
              <w:rPr>
                <w:spacing w:val="-3"/>
              </w:rPr>
              <w:t>块可是植物群落、居民点、农田等等。廊道是指景观中与相邻两边环境不同的线性</w:t>
            </w:r>
            <w:r>
              <w:t xml:space="preserve">  </w:t>
            </w:r>
            <w:r>
              <w:rPr>
                <w:spacing w:val="-3"/>
              </w:rPr>
              <w:t>或条带结构，如河流、道路、峡谷等。基底则是指景观中分布最广、连续性</w:t>
            </w:r>
            <w:r>
              <w:rPr>
                <w:spacing w:val="-4"/>
              </w:rPr>
              <w:t>最大的</w:t>
            </w:r>
            <w:r>
              <w:t xml:space="preserve">  </w:t>
            </w:r>
            <w:r>
              <w:rPr>
                <w:spacing w:val="-3"/>
              </w:rPr>
              <w:t>背景结构，常见如森林基底、农田基底等。基底是景观的背景地域类型，</w:t>
            </w:r>
            <w:r>
              <w:rPr>
                <w:spacing w:val="-4"/>
              </w:rPr>
              <w:t>是一种重</w:t>
            </w:r>
            <w:r>
              <w:t xml:space="preserve">  </w:t>
            </w:r>
            <w:r>
              <w:rPr>
                <w:spacing w:val="-3"/>
              </w:rPr>
              <w:t>要的景观结构单元类型，在很大程度上决定了景观的性质，对景观的动态起着主导</w:t>
            </w:r>
            <w:r>
              <w:t xml:space="preserve">  </w:t>
            </w:r>
            <w:r>
              <w:rPr>
                <w:spacing w:val="-2"/>
              </w:rPr>
              <w:t>作用。</w:t>
            </w:r>
          </w:p>
          <w:p w14:paraId="1746FE98">
            <w:pPr>
              <w:pStyle w:val="6"/>
              <w:spacing w:before="1" w:line="360" w:lineRule="auto"/>
              <w:ind w:left="80" w:firstLine="508"/>
              <w:jc w:val="both"/>
            </w:pPr>
            <w:r>
              <w:rPr>
                <w:spacing w:val="-1"/>
              </w:rPr>
              <w:t>景观结构单元中的缀块类型，采用植被制图中运用的无等级的植被上图单元，</w:t>
            </w:r>
            <w:r>
              <w:rPr>
                <w:spacing w:val="15"/>
              </w:rPr>
              <w:t xml:space="preserve"> </w:t>
            </w:r>
            <w:r>
              <w:t>其中包括了农田、水体、居民区点等非自然植被或非植被</w:t>
            </w:r>
            <w:r>
              <w:rPr>
                <w:spacing w:val="-1"/>
              </w:rPr>
              <w:t>的地面覆盖类型。基底的</w:t>
            </w:r>
            <w:r>
              <w:t xml:space="preserve"> 判定有3个标准，即相对面积大、连通程度高，动态变化中对景观的基本特征具有</w:t>
            </w:r>
            <w:r>
              <w:rPr>
                <w:spacing w:val="6"/>
              </w:rPr>
              <w:t xml:space="preserve">  </w:t>
            </w:r>
            <w:r>
              <w:rPr>
                <w:spacing w:val="-1"/>
              </w:rPr>
              <w:t>控制能力。</w:t>
            </w:r>
          </w:p>
          <w:p w14:paraId="0CB8BDAC">
            <w:pPr>
              <w:pStyle w:val="6"/>
              <w:spacing w:before="16" w:line="355" w:lineRule="auto"/>
              <w:ind w:left="90" w:firstLine="499"/>
            </w:pPr>
            <w:r>
              <w:rPr>
                <w:spacing w:val="-1"/>
              </w:rPr>
              <w:t>由植被类型图进行景观判读，评价区内森林景观连通性好，是评价区的绝对景</w:t>
            </w:r>
            <w:r>
              <w:rPr>
                <w:spacing w:val="14"/>
              </w:rPr>
              <w:t xml:space="preserve"> </w:t>
            </w:r>
            <w:r>
              <w:rPr>
                <w:spacing w:val="-1"/>
              </w:rPr>
              <w:t>观背景。评价区自然植被的分布均较为破碎。</w:t>
            </w:r>
          </w:p>
          <w:p w14:paraId="20BA4CCB">
            <w:pPr>
              <w:pStyle w:val="6"/>
              <w:spacing w:before="5" w:line="219" w:lineRule="auto"/>
              <w:ind w:left="704"/>
            </w:pPr>
            <w:r>
              <w:rPr>
                <w:b/>
                <w:bCs/>
                <w:spacing w:val="-3"/>
              </w:rPr>
              <w:t>(2)景观多样性分析</w:t>
            </w:r>
          </w:p>
          <w:p w14:paraId="2825CCE9">
            <w:pPr>
              <w:pStyle w:val="6"/>
              <w:spacing w:before="176" w:line="362" w:lineRule="auto"/>
              <w:ind w:left="80" w:firstLine="499"/>
              <w:jc w:val="both"/>
            </w:pPr>
            <w:r>
              <w:t>评价区是以农田生态系统、森林生态系统和河流生态</w:t>
            </w:r>
            <w:r>
              <w:rPr>
                <w:spacing w:val="-1"/>
              </w:rPr>
              <w:t>系统等共同组成的复合系</w:t>
            </w:r>
            <w:r>
              <w:t xml:space="preserve"> 统，这些不同的景观系统按其内在的规律整合在一起，形成和评价区内统一的景观</w:t>
            </w:r>
            <w:r>
              <w:rPr>
                <w:spacing w:val="10"/>
              </w:rPr>
              <w:t xml:space="preserve"> </w:t>
            </w:r>
            <w:r>
              <w:t>体系。景观生态系统的稳定性取决于景观生态系统稳定程度和系统干扰程度两大方</w:t>
            </w:r>
            <w:r>
              <w:rPr>
                <w:spacing w:val="8"/>
              </w:rPr>
              <w:t xml:space="preserve"> </w:t>
            </w:r>
            <w:r>
              <w:rPr>
                <w:spacing w:val="-1"/>
              </w:rPr>
              <w:t>面。</w:t>
            </w:r>
          </w:p>
          <w:p w14:paraId="2BA06342">
            <w:pPr>
              <w:pStyle w:val="6"/>
              <w:spacing w:line="219" w:lineRule="auto"/>
              <w:ind w:right="4"/>
              <w:jc w:val="right"/>
            </w:pPr>
            <w:r>
              <w:t>一般而言，稳定性包含抵抗力和恢复力两方</w:t>
            </w:r>
            <w:r>
              <w:rPr>
                <w:spacing w:val="-1"/>
              </w:rPr>
              <w:t>面。景观的稳定性可从景观的多样</w:t>
            </w:r>
          </w:p>
        </w:tc>
      </w:tr>
    </w:tbl>
    <w:p w14:paraId="6D2F5D90">
      <w:pPr>
        <w:pStyle w:val="2"/>
      </w:pPr>
    </w:p>
    <w:p w14:paraId="41DF60AC">
      <w:pPr>
        <w:sectPr>
          <w:footerReference r:id="rId67" w:type="default"/>
          <w:pgSz w:w="11910" w:h="16840"/>
          <w:pgMar w:top="1431" w:right="1418" w:bottom="1255" w:left="1405" w:header="0" w:footer="1093" w:gutter="0"/>
          <w:cols w:space="720" w:num="1"/>
        </w:sectPr>
      </w:pPr>
    </w:p>
    <w:p w14:paraId="6C2EB249">
      <w:pPr>
        <w:spacing w:line="93" w:lineRule="exact"/>
      </w:pPr>
    </w:p>
    <w:tbl>
      <w:tblPr>
        <w:tblStyle w:val="5"/>
        <w:tblW w:w="908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
        <w:gridCol w:w="8751"/>
      </w:tblGrid>
      <w:tr w14:paraId="5AEB5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335" w:type="dxa"/>
            <w:vAlign w:val="top"/>
          </w:tcPr>
          <w:p w14:paraId="7CDF74FE">
            <w:pPr>
              <w:rPr>
                <w:rFonts w:ascii="Arial"/>
                <w:sz w:val="21"/>
              </w:rPr>
            </w:pPr>
          </w:p>
        </w:tc>
        <w:tc>
          <w:tcPr>
            <w:tcW w:w="8751" w:type="dxa"/>
            <w:vAlign w:val="top"/>
          </w:tcPr>
          <w:p w14:paraId="17BE8276">
            <w:pPr>
              <w:pStyle w:val="6"/>
              <w:spacing w:before="25" w:line="341" w:lineRule="auto"/>
              <w:ind w:left="99" w:right="10" w:hanging="20"/>
              <w:rPr>
                <w:sz w:val="25"/>
                <w:szCs w:val="25"/>
              </w:rPr>
            </w:pPr>
            <w:r>
              <w:rPr>
                <w:spacing w:val="-10"/>
                <w:sz w:val="25"/>
                <w:szCs w:val="25"/>
              </w:rPr>
              <w:t>性程度反映出来，单一均质的景观构成不能有效抵御多变干扰因素的作用，同时受</w:t>
            </w:r>
            <w:r>
              <w:rPr>
                <w:spacing w:val="9"/>
                <w:sz w:val="25"/>
                <w:szCs w:val="25"/>
              </w:rPr>
              <w:t xml:space="preserve"> </w:t>
            </w:r>
            <w:r>
              <w:rPr>
                <w:spacing w:val="-1"/>
                <w:sz w:val="25"/>
                <w:szCs w:val="25"/>
              </w:rPr>
              <w:t>干扰后易被彻底损毁。</w:t>
            </w:r>
          </w:p>
          <w:p w14:paraId="70274C6D">
            <w:pPr>
              <w:pStyle w:val="6"/>
              <w:spacing w:before="133" w:line="337" w:lineRule="auto"/>
              <w:ind w:left="119" w:firstLine="464"/>
              <w:jc w:val="both"/>
              <w:rPr>
                <w:sz w:val="25"/>
                <w:szCs w:val="25"/>
              </w:rPr>
            </w:pPr>
            <w:r>
              <w:rPr>
                <w:spacing w:val="-10"/>
                <w:sz w:val="25"/>
                <w:szCs w:val="25"/>
              </w:rPr>
              <w:t>由植被类型图进行景观判读，评价区景观多样性相对不高，分布也</w:t>
            </w:r>
            <w:r>
              <w:rPr>
                <w:spacing w:val="-11"/>
                <w:sz w:val="25"/>
                <w:szCs w:val="25"/>
              </w:rPr>
              <w:t>较不均匀，</w:t>
            </w:r>
            <w:r>
              <w:rPr>
                <w:sz w:val="25"/>
                <w:szCs w:val="25"/>
              </w:rPr>
              <w:t xml:space="preserve"> </w:t>
            </w:r>
            <w:r>
              <w:rPr>
                <w:spacing w:val="-14"/>
                <w:sz w:val="25"/>
                <w:szCs w:val="25"/>
              </w:rPr>
              <w:t>说明评价区由于植被类型不丰富，景观生态体系不高，景观异质性不高，景观生态</w:t>
            </w:r>
            <w:r>
              <w:rPr>
                <w:spacing w:val="6"/>
                <w:sz w:val="25"/>
                <w:szCs w:val="25"/>
              </w:rPr>
              <w:t xml:space="preserve">  </w:t>
            </w:r>
            <w:r>
              <w:rPr>
                <w:spacing w:val="-3"/>
                <w:sz w:val="25"/>
                <w:szCs w:val="25"/>
              </w:rPr>
              <w:t>系统具有一定的稳定性和抗干扰的能力。</w:t>
            </w:r>
          </w:p>
          <w:p w14:paraId="72252FCF">
            <w:pPr>
              <w:pStyle w:val="6"/>
              <w:spacing w:line="219" w:lineRule="auto"/>
              <w:ind w:left="593"/>
              <w:rPr>
                <w:sz w:val="25"/>
                <w:szCs w:val="25"/>
              </w:rPr>
            </w:pPr>
            <w:r>
              <w:rPr>
                <w:b/>
                <w:bCs/>
                <w:spacing w:val="-4"/>
                <w:sz w:val="25"/>
                <w:szCs w:val="25"/>
              </w:rPr>
              <w:t>5、陆生动物现状调查</w:t>
            </w:r>
          </w:p>
          <w:p w14:paraId="580CAD8E">
            <w:pPr>
              <w:pStyle w:val="6"/>
              <w:spacing w:before="185" w:line="362" w:lineRule="auto"/>
              <w:ind w:left="119" w:right="499" w:firstLine="360"/>
              <w:rPr>
                <w:sz w:val="25"/>
                <w:szCs w:val="25"/>
              </w:rPr>
            </w:pPr>
            <w:r>
              <w:rPr>
                <w:sz w:val="25"/>
                <w:szCs w:val="25"/>
              </w:rPr>
              <w:t>项目所在区域由于长期受到人为活动的影响，项目所在区域分布的野生</w:t>
            </w:r>
            <w:r>
              <w:rPr>
                <w:spacing w:val="10"/>
                <w:sz w:val="25"/>
                <w:szCs w:val="25"/>
              </w:rPr>
              <w:t xml:space="preserve"> </w:t>
            </w:r>
            <w:r>
              <w:rPr>
                <w:sz w:val="25"/>
                <w:szCs w:val="25"/>
              </w:rPr>
              <w:t>动物主要是以云南松林、灌草丛为生境的种类，无大</w:t>
            </w:r>
            <w:r>
              <w:rPr>
                <w:spacing w:val="-1"/>
                <w:sz w:val="25"/>
                <w:szCs w:val="25"/>
              </w:rPr>
              <w:t>型兽类分布。</w:t>
            </w:r>
          </w:p>
          <w:p w14:paraId="2D578416">
            <w:pPr>
              <w:pStyle w:val="6"/>
              <w:spacing w:before="2" w:line="355" w:lineRule="auto"/>
              <w:ind w:left="129" w:right="575" w:firstLine="479"/>
              <w:rPr>
                <w:sz w:val="25"/>
                <w:szCs w:val="25"/>
              </w:rPr>
            </w:pPr>
            <w:r>
              <w:rPr>
                <w:spacing w:val="2"/>
                <w:sz w:val="25"/>
                <w:szCs w:val="25"/>
              </w:rPr>
              <w:t>两栖类主要为无尾目，有蟾蜍科、树蟾科(华西蟾蜍</w:t>
            </w:r>
            <w:r>
              <w:rPr>
                <w:sz w:val="25"/>
                <w:szCs w:val="25"/>
              </w:rPr>
              <w:t>Bufo</w:t>
            </w:r>
            <w:r>
              <w:rPr>
                <w:spacing w:val="2"/>
                <w:sz w:val="25"/>
                <w:szCs w:val="25"/>
              </w:rPr>
              <w:t xml:space="preserve"> </w:t>
            </w:r>
            <w:r>
              <w:rPr>
                <w:sz w:val="25"/>
                <w:szCs w:val="25"/>
              </w:rPr>
              <w:t>anderewsi</w:t>
            </w:r>
            <w:r>
              <w:rPr>
                <w:spacing w:val="2"/>
                <w:sz w:val="25"/>
                <w:szCs w:val="25"/>
              </w:rPr>
              <w:t>)</w:t>
            </w:r>
            <w:r>
              <w:rPr>
                <w:spacing w:val="4"/>
                <w:sz w:val="25"/>
                <w:szCs w:val="25"/>
              </w:rPr>
              <w:t xml:space="preserve"> </w:t>
            </w:r>
            <w:r>
              <w:rPr>
                <w:sz w:val="25"/>
                <w:szCs w:val="25"/>
              </w:rPr>
              <w:t>和蛙科(滇蛙Rana pleuraden);爬行类主</w:t>
            </w:r>
            <w:r>
              <w:rPr>
                <w:spacing w:val="-1"/>
                <w:sz w:val="25"/>
                <w:szCs w:val="25"/>
              </w:rPr>
              <w:t>要为蜥蜴目、蛇目，其中蜥</w:t>
            </w:r>
          </w:p>
          <w:p w14:paraId="3FE653FF">
            <w:pPr>
              <w:pStyle w:val="6"/>
              <w:spacing w:before="2" w:line="359" w:lineRule="auto"/>
              <w:ind w:left="109" w:right="724" w:firstLine="10"/>
              <w:rPr>
                <w:sz w:val="25"/>
                <w:szCs w:val="25"/>
              </w:rPr>
            </w:pPr>
            <w:r>
              <w:rPr>
                <w:spacing w:val="1"/>
                <w:sz w:val="25"/>
                <w:szCs w:val="25"/>
              </w:rPr>
              <w:t>蜴目有鬣蜥科(云南攀蜥</w:t>
            </w:r>
            <w:r>
              <w:rPr>
                <w:sz w:val="25"/>
                <w:szCs w:val="25"/>
              </w:rPr>
              <w:t>Japalura</w:t>
            </w:r>
            <w:r>
              <w:rPr>
                <w:spacing w:val="1"/>
                <w:sz w:val="25"/>
                <w:szCs w:val="25"/>
              </w:rPr>
              <w:t xml:space="preserve"> </w:t>
            </w:r>
            <w:r>
              <w:rPr>
                <w:sz w:val="25"/>
                <w:szCs w:val="25"/>
              </w:rPr>
              <w:t>yunnanensis</w:t>
            </w:r>
            <w:r>
              <w:rPr>
                <w:spacing w:val="1"/>
                <w:sz w:val="25"/>
                <w:szCs w:val="25"/>
              </w:rPr>
              <w:t>),蛇目有蜂科</w:t>
            </w:r>
            <w:r>
              <w:rPr>
                <w:sz w:val="25"/>
                <w:szCs w:val="25"/>
              </w:rPr>
              <w:t xml:space="preserve">，(菜花原  </w:t>
            </w:r>
            <w:r>
              <w:rPr>
                <w:spacing w:val="1"/>
                <w:sz w:val="25"/>
                <w:szCs w:val="25"/>
              </w:rPr>
              <w:t>矛头蝮</w:t>
            </w:r>
            <w:r>
              <w:rPr>
                <w:sz w:val="25"/>
                <w:szCs w:val="25"/>
              </w:rPr>
              <w:t>Protobothrops</w:t>
            </w:r>
            <w:r>
              <w:rPr>
                <w:spacing w:val="1"/>
                <w:sz w:val="25"/>
                <w:szCs w:val="25"/>
              </w:rPr>
              <w:t xml:space="preserve"> </w:t>
            </w:r>
            <w:r>
              <w:rPr>
                <w:sz w:val="25"/>
                <w:szCs w:val="25"/>
              </w:rPr>
              <w:t>jerdonii</w:t>
            </w:r>
            <w:r>
              <w:rPr>
                <w:spacing w:val="1"/>
                <w:sz w:val="25"/>
                <w:szCs w:val="25"/>
              </w:rPr>
              <w:t>)等。鸟类主要有鹃形目、雀形目，其中</w:t>
            </w:r>
            <w:r>
              <w:rPr>
                <w:spacing w:val="8"/>
                <w:sz w:val="25"/>
                <w:szCs w:val="25"/>
              </w:rPr>
              <w:t xml:space="preserve"> </w:t>
            </w:r>
            <w:r>
              <w:rPr>
                <w:sz w:val="25"/>
                <w:szCs w:val="25"/>
              </w:rPr>
              <w:t>鹃形目有杜鹃科(大杜鹃Cuculus canorus),雀形目主要有百灵科(小</w:t>
            </w:r>
          </w:p>
          <w:p w14:paraId="2050041E">
            <w:pPr>
              <w:pStyle w:val="6"/>
              <w:spacing w:before="28" w:line="214" w:lineRule="auto"/>
              <w:ind w:left="129"/>
              <w:rPr>
                <w:sz w:val="25"/>
                <w:szCs w:val="25"/>
              </w:rPr>
            </w:pPr>
            <w:r>
              <w:rPr>
                <w:sz w:val="25"/>
                <w:szCs w:val="25"/>
              </w:rPr>
              <w:t xml:space="preserve">云雀Alauda gulgula)、燕科(家燕Hirundo </w:t>
            </w:r>
            <w:r>
              <w:rPr>
                <w:spacing w:val="-1"/>
                <w:sz w:val="25"/>
                <w:szCs w:val="25"/>
              </w:rPr>
              <w:t>rustica)、鸦科(喜鹊Pica</w:t>
            </w:r>
          </w:p>
          <w:p w14:paraId="60368AE1">
            <w:pPr>
              <w:pStyle w:val="6"/>
              <w:spacing w:before="232" w:line="374" w:lineRule="auto"/>
              <w:ind w:left="109" w:right="146" w:hanging="20"/>
              <w:rPr>
                <w:sz w:val="25"/>
                <w:szCs w:val="25"/>
              </w:rPr>
            </w:pPr>
            <w:r>
              <w:rPr>
                <w:sz w:val="25"/>
                <w:szCs w:val="25"/>
              </w:rPr>
              <w:t>pica</w:t>
            </w:r>
            <w:r>
              <w:rPr>
                <w:spacing w:val="3"/>
                <w:sz w:val="25"/>
                <w:szCs w:val="25"/>
              </w:rPr>
              <w:t>、红嘴蓝鹊(</w:t>
            </w:r>
            <w:r>
              <w:rPr>
                <w:sz w:val="25"/>
                <w:szCs w:val="25"/>
              </w:rPr>
              <w:t>Urocissa</w:t>
            </w:r>
            <w:r>
              <w:rPr>
                <w:spacing w:val="3"/>
                <w:sz w:val="25"/>
                <w:szCs w:val="25"/>
              </w:rPr>
              <w:t xml:space="preserve"> </w:t>
            </w:r>
            <w:r>
              <w:rPr>
                <w:sz w:val="25"/>
                <w:szCs w:val="25"/>
              </w:rPr>
              <w:t>erythrorhyncha</w:t>
            </w:r>
            <w:r>
              <w:rPr>
                <w:spacing w:val="3"/>
                <w:sz w:val="25"/>
                <w:szCs w:val="25"/>
              </w:rPr>
              <w:t>),雀科(小鸦</w:t>
            </w:r>
            <w:r>
              <w:rPr>
                <w:sz w:val="25"/>
                <w:szCs w:val="25"/>
              </w:rPr>
              <w:t>Emberiza</w:t>
            </w:r>
            <w:r>
              <w:rPr>
                <w:spacing w:val="3"/>
                <w:sz w:val="25"/>
                <w:szCs w:val="25"/>
              </w:rPr>
              <w:t xml:space="preserve"> </w:t>
            </w:r>
            <w:r>
              <w:rPr>
                <w:sz w:val="25"/>
                <w:szCs w:val="25"/>
              </w:rPr>
              <w:t>pusilla</w:t>
            </w:r>
            <w:r>
              <w:rPr>
                <w:spacing w:val="3"/>
                <w:sz w:val="25"/>
                <w:szCs w:val="25"/>
              </w:rPr>
              <w:t>)</w:t>
            </w:r>
            <w:r>
              <w:rPr>
                <w:spacing w:val="2"/>
                <w:sz w:val="25"/>
                <w:szCs w:val="25"/>
              </w:rPr>
              <w:t xml:space="preserve">  </w:t>
            </w:r>
            <w:r>
              <w:rPr>
                <w:spacing w:val="3"/>
                <w:sz w:val="25"/>
                <w:szCs w:val="25"/>
              </w:rPr>
              <w:t>等。哺乳类主要有兔形目、啮齿目，其中兔形目有兔科(云南兔</w:t>
            </w:r>
            <w:r>
              <w:rPr>
                <w:sz w:val="25"/>
                <w:szCs w:val="25"/>
              </w:rPr>
              <w:t>Lepus</w:t>
            </w:r>
            <w:r>
              <w:rPr>
                <w:spacing w:val="3"/>
                <w:sz w:val="25"/>
                <w:szCs w:val="25"/>
              </w:rPr>
              <w:t xml:space="preserve"> </w:t>
            </w:r>
            <w:r>
              <w:rPr>
                <w:sz w:val="25"/>
                <w:szCs w:val="25"/>
              </w:rPr>
              <w:t>comus</w:t>
            </w:r>
            <w:r>
              <w:rPr>
                <w:spacing w:val="3"/>
                <w:sz w:val="25"/>
                <w:szCs w:val="25"/>
              </w:rPr>
              <w:t>)</w:t>
            </w:r>
            <w:r>
              <w:rPr>
                <w:spacing w:val="18"/>
                <w:sz w:val="25"/>
                <w:szCs w:val="25"/>
              </w:rPr>
              <w:t xml:space="preserve"> </w:t>
            </w:r>
            <w:r>
              <w:rPr>
                <w:sz w:val="25"/>
                <w:szCs w:val="25"/>
              </w:rPr>
              <w:t>啮齿目有鼠科(小家鼠Mus musculus、褐家鼠Rattus norvegicus)等。</w:t>
            </w:r>
          </w:p>
          <w:p w14:paraId="6370068F">
            <w:pPr>
              <w:pStyle w:val="6"/>
              <w:spacing w:before="2" w:line="356" w:lineRule="auto"/>
              <w:ind w:left="95" w:right="295" w:firstLine="484"/>
              <w:rPr>
                <w:sz w:val="25"/>
                <w:szCs w:val="25"/>
              </w:rPr>
            </w:pPr>
            <w:r>
              <w:rPr>
                <w:sz w:val="25"/>
                <w:szCs w:val="25"/>
              </w:rPr>
              <w:t>根据查询，滇蛙(Rana pleuraden)为中国特有种。云南兔L</w:t>
            </w:r>
            <w:r>
              <w:rPr>
                <w:spacing w:val="-1"/>
                <w:sz w:val="25"/>
                <w:szCs w:val="25"/>
              </w:rPr>
              <w:t>epus comus为</w:t>
            </w:r>
            <w:r>
              <w:rPr>
                <w:sz w:val="25"/>
                <w:szCs w:val="25"/>
              </w:rPr>
              <w:t xml:space="preserve"> </w:t>
            </w:r>
            <w:r>
              <w:rPr>
                <w:spacing w:val="-1"/>
                <w:sz w:val="25"/>
                <w:szCs w:val="25"/>
              </w:rPr>
              <w:t>《中国生物多样性红色名录脊椎动物卷》(2020)濒危等级为NT(近危)。根</w:t>
            </w:r>
          </w:p>
          <w:p w14:paraId="79411EA3">
            <w:pPr>
              <w:pStyle w:val="6"/>
              <w:spacing w:before="1" w:line="218" w:lineRule="auto"/>
              <w:jc w:val="right"/>
              <w:rPr>
                <w:sz w:val="25"/>
                <w:szCs w:val="25"/>
              </w:rPr>
            </w:pPr>
            <w:r>
              <w:rPr>
                <w:spacing w:val="-1"/>
                <w:sz w:val="25"/>
                <w:szCs w:val="25"/>
              </w:rPr>
              <w:t>据《云南分布的国家重点保护野生植物名录(2021)》、《国家重点保护野生动物</w:t>
            </w:r>
          </w:p>
          <w:p w14:paraId="78991EC0">
            <w:pPr>
              <w:pStyle w:val="6"/>
              <w:spacing w:before="183" w:line="218" w:lineRule="auto"/>
              <w:ind w:left="169"/>
              <w:rPr>
                <w:sz w:val="25"/>
                <w:szCs w:val="25"/>
              </w:rPr>
            </w:pPr>
            <w:r>
              <w:rPr>
                <w:sz w:val="25"/>
                <w:szCs w:val="25"/>
              </w:rPr>
              <w:t>名录》(2021)、《云南省重点保护野生动物名录》(云南省林业和草原局公告</w:t>
            </w:r>
          </w:p>
          <w:p w14:paraId="5FF56D74">
            <w:pPr>
              <w:pStyle w:val="6"/>
              <w:spacing w:before="167" w:line="219" w:lineRule="auto"/>
              <w:ind w:left="89"/>
              <w:rPr>
                <w:sz w:val="25"/>
                <w:szCs w:val="25"/>
              </w:rPr>
            </w:pPr>
            <w:r>
              <w:rPr>
                <w:spacing w:val="1"/>
                <w:sz w:val="25"/>
                <w:szCs w:val="25"/>
              </w:rPr>
              <w:t>2023年第9号)、《云南省候鸟迁徙通道重</w:t>
            </w:r>
            <w:r>
              <w:rPr>
                <w:sz w:val="25"/>
                <w:szCs w:val="25"/>
              </w:rPr>
              <w:t>点区域范围(第一批)》((云南省</w:t>
            </w:r>
          </w:p>
          <w:p w14:paraId="5FE1B3AE">
            <w:pPr>
              <w:pStyle w:val="6"/>
              <w:spacing w:before="172" w:line="344" w:lineRule="auto"/>
              <w:ind w:left="99" w:firstLine="9"/>
              <w:jc w:val="both"/>
              <w:rPr>
                <w:sz w:val="25"/>
                <w:szCs w:val="25"/>
              </w:rPr>
            </w:pPr>
            <w:r>
              <w:rPr>
                <w:spacing w:val="-2"/>
                <w:sz w:val="25"/>
                <w:szCs w:val="25"/>
              </w:rPr>
              <w:t>林业和草原局公告2023年第10号))、和《</w:t>
            </w:r>
            <w:r>
              <w:rPr>
                <w:spacing w:val="-3"/>
                <w:sz w:val="25"/>
                <w:szCs w:val="25"/>
              </w:rPr>
              <w:t>濒危野生动植物种国际贸易公约》附</w:t>
            </w:r>
            <w:r>
              <w:rPr>
                <w:sz w:val="25"/>
                <w:szCs w:val="25"/>
              </w:rPr>
              <w:t xml:space="preserve">  </w:t>
            </w:r>
            <w:r>
              <w:rPr>
                <w:spacing w:val="-2"/>
                <w:sz w:val="25"/>
                <w:szCs w:val="25"/>
              </w:rPr>
              <w:t>录(CITES),评价范围内未见有国家、云南省省级重点保护野生动物，也</w:t>
            </w:r>
            <w:r>
              <w:rPr>
                <w:spacing w:val="-3"/>
                <w:sz w:val="25"/>
                <w:szCs w:val="25"/>
              </w:rPr>
              <w:t>不涉及</w:t>
            </w:r>
            <w:r>
              <w:rPr>
                <w:sz w:val="25"/>
                <w:szCs w:val="25"/>
              </w:rPr>
              <w:t xml:space="preserve">  </w:t>
            </w:r>
            <w:r>
              <w:rPr>
                <w:spacing w:val="-10"/>
                <w:sz w:val="25"/>
                <w:szCs w:val="25"/>
              </w:rPr>
              <w:t>鸟类迁徙通道及珍稀濒危动物。根据调查，区内野生动物的种类和数量均不丰富。</w:t>
            </w:r>
          </w:p>
          <w:p w14:paraId="571B8938">
            <w:pPr>
              <w:pStyle w:val="6"/>
              <w:spacing w:line="219" w:lineRule="auto"/>
              <w:ind w:left="503"/>
              <w:rPr>
                <w:sz w:val="25"/>
                <w:szCs w:val="25"/>
              </w:rPr>
            </w:pPr>
            <w:r>
              <w:rPr>
                <w:b/>
                <w:bCs/>
                <w:spacing w:val="-4"/>
                <w:sz w:val="25"/>
                <w:szCs w:val="25"/>
              </w:rPr>
              <w:t>6、水土流失现状</w:t>
            </w:r>
          </w:p>
          <w:p w14:paraId="6B5067C8">
            <w:pPr>
              <w:pStyle w:val="6"/>
              <w:spacing w:before="166" w:line="323" w:lineRule="auto"/>
              <w:ind w:left="89" w:firstLine="484"/>
              <w:rPr>
                <w:sz w:val="25"/>
                <w:szCs w:val="25"/>
              </w:rPr>
            </w:pPr>
            <w:r>
              <w:rPr>
                <w:spacing w:val="-10"/>
                <w:sz w:val="25"/>
                <w:szCs w:val="25"/>
              </w:rPr>
              <w:t>根据现场调查，项目区扰动占地类型主要为草地、交通运输用地、其它土地、</w:t>
            </w:r>
            <w:r>
              <w:rPr>
                <w:spacing w:val="5"/>
                <w:sz w:val="25"/>
                <w:szCs w:val="25"/>
              </w:rPr>
              <w:t xml:space="preserve"> </w:t>
            </w:r>
            <w:r>
              <w:rPr>
                <w:spacing w:val="-8"/>
                <w:sz w:val="25"/>
                <w:szCs w:val="25"/>
              </w:rPr>
              <w:t>灌丛。项目区平均原生土壤侵蚀模数通过加权计算为569t/km².a,根据《土壤</w:t>
            </w:r>
            <w:r>
              <w:rPr>
                <w:spacing w:val="-9"/>
                <w:sz w:val="25"/>
                <w:szCs w:val="25"/>
              </w:rPr>
              <w:t>侵蚀</w:t>
            </w:r>
          </w:p>
        </w:tc>
      </w:tr>
    </w:tbl>
    <w:p w14:paraId="1E086282">
      <w:pPr>
        <w:pStyle w:val="2"/>
      </w:pPr>
    </w:p>
    <w:p w14:paraId="33AFC0E7">
      <w:pPr>
        <w:sectPr>
          <w:footerReference r:id="rId68" w:type="default"/>
          <w:pgSz w:w="11910" w:h="16840"/>
          <w:pgMar w:top="1431" w:right="1408" w:bottom="1255" w:left="1405" w:header="0" w:footer="1093" w:gutter="0"/>
          <w:cols w:space="720" w:num="1"/>
        </w:sectPr>
      </w:pPr>
    </w:p>
    <w:p w14:paraId="28FF21CA">
      <w:pPr>
        <w:spacing w:line="93" w:lineRule="exact"/>
      </w:pPr>
    </w:p>
    <w:tbl>
      <w:tblPr>
        <w:tblStyle w:val="5"/>
        <w:tblW w:w="907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
        <w:gridCol w:w="120"/>
        <w:gridCol w:w="1508"/>
        <w:gridCol w:w="1478"/>
        <w:gridCol w:w="1338"/>
        <w:gridCol w:w="1378"/>
        <w:gridCol w:w="1458"/>
        <w:gridCol w:w="1329"/>
        <w:gridCol w:w="152"/>
      </w:tblGrid>
      <w:tr w14:paraId="1BB24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7" w:hRule="atLeast"/>
        </w:trPr>
        <w:tc>
          <w:tcPr>
            <w:tcW w:w="315" w:type="dxa"/>
            <w:vMerge w:val="restart"/>
            <w:tcBorders>
              <w:bottom w:val="nil"/>
            </w:tcBorders>
            <w:vAlign w:val="top"/>
          </w:tcPr>
          <w:p w14:paraId="704B51D1">
            <w:pPr>
              <w:rPr>
                <w:rFonts w:ascii="Arial"/>
                <w:sz w:val="21"/>
              </w:rPr>
            </w:pPr>
          </w:p>
        </w:tc>
        <w:tc>
          <w:tcPr>
            <w:tcW w:w="8761" w:type="dxa"/>
            <w:gridSpan w:val="8"/>
            <w:vAlign w:val="top"/>
          </w:tcPr>
          <w:p w14:paraId="3244D259">
            <w:pPr>
              <w:pStyle w:val="6"/>
              <w:spacing w:before="21" w:line="216" w:lineRule="auto"/>
              <w:ind w:left="99"/>
            </w:pPr>
            <w:r>
              <w:t>分类分级标准》(SL190-2007),区域水土流失强度为轻度。</w:t>
            </w:r>
          </w:p>
          <w:p w14:paraId="14FA2CB1">
            <w:pPr>
              <w:pStyle w:val="6"/>
              <w:spacing w:before="191" w:line="357" w:lineRule="auto"/>
              <w:ind w:left="109" w:right="11" w:firstLine="489"/>
              <w:jc w:val="both"/>
            </w:pPr>
            <w:r>
              <w:t>根据办水保〔2013〕188号“全国水土保持规划国家级水土流失重点预防区和</w:t>
            </w:r>
            <w:r>
              <w:rPr>
                <w:spacing w:val="18"/>
              </w:rPr>
              <w:t xml:space="preserve"> </w:t>
            </w:r>
            <w:r>
              <w:t>重点治理区复核划分成果”和《云南省水利厅关于划分</w:t>
            </w:r>
            <w:r>
              <w:rPr>
                <w:spacing w:val="-1"/>
              </w:rPr>
              <w:t>省级水土流失重点预防区和</w:t>
            </w:r>
            <w:r>
              <w:t xml:space="preserve"> 重点治理区的公告》(云南省水利厅公告第49号，2017</w:t>
            </w:r>
            <w:r>
              <w:rPr>
                <w:spacing w:val="-1"/>
              </w:rPr>
              <w:t>年8月30号),项目所</w:t>
            </w:r>
          </w:p>
          <w:p w14:paraId="0AFBB585">
            <w:pPr>
              <w:pStyle w:val="6"/>
              <w:spacing w:before="19" w:line="358" w:lineRule="auto"/>
              <w:ind w:left="99" w:right="9" w:firstLine="10"/>
              <w:jc w:val="both"/>
            </w:pPr>
            <w:r>
              <w:t>在地马龙区属于滇黔桂岩溶石漠化国家级水土流失重点治理</w:t>
            </w:r>
            <w:r>
              <w:rPr>
                <w:spacing w:val="-1"/>
              </w:rPr>
              <w:t>区，马龙区马鸣乡属于</w:t>
            </w:r>
            <w:r>
              <w:t xml:space="preserve"> 金沙江-珠江分水岭省级水土流失重点预防区。按全国土壤侵蚀类型区划标准，项</w:t>
            </w:r>
            <w:r>
              <w:rPr>
                <w:spacing w:val="6"/>
              </w:rPr>
              <w:t xml:space="preserve">  </w:t>
            </w:r>
            <w:r>
              <w:rPr>
                <w:spacing w:val="2"/>
              </w:rPr>
              <w:t>目区属以水力侵蚀为主的西南土石山区，土壤侵蚀模数允许值为500t/</w:t>
            </w:r>
            <w:r>
              <w:t>km</w:t>
            </w:r>
            <w:r>
              <w:rPr>
                <w:spacing w:val="2"/>
              </w:rPr>
              <w:t>²</w:t>
            </w:r>
            <w:r>
              <w:rPr>
                <w:spacing w:val="-9"/>
              </w:rPr>
              <w:t xml:space="preserve"> </w:t>
            </w:r>
            <w:r>
              <w:rPr>
                <w:spacing w:val="2"/>
              </w:rPr>
              <w:t>·a。</w:t>
            </w:r>
          </w:p>
          <w:p w14:paraId="563B7069">
            <w:pPr>
              <w:pStyle w:val="6"/>
              <w:spacing w:line="219" w:lineRule="auto"/>
              <w:ind w:left="523"/>
            </w:pPr>
            <w:r>
              <w:rPr>
                <w:b/>
                <w:bCs/>
                <w:spacing w:val="-3"/>
              </w:rPr>
              <w:t>7、存在的生态环境现状问题</w:t>
            </w:r>
          </w:p>
          <w:p w14:paraId="594C9A72">
            <w:pPr>
              <w:pStyle w:val="6"/>
              <w:spacing w:before="183" w:line="358" w:lineRule="auto"/>
              <w:ind w:left="109" w:right="13" w:firstLine="479"/>
            </w:pPr>
            <w:r>
              <w:t>根据《云南省生态功能区划》,项目所在Ⅲ4-4牛栏江、南盘江上游岩溶山原</w:t>
            </w:r>
            <w:r>
              <w:rPr>
                <w:spacing w:val="9"/>
              </w:rPr>
              <w:t xml:space="preserve">  </w:t>
            </w:r>
            <w:r>
              <w:t>水源涵养生态功能区主要生态环境问题为土地垦殖</w:t>
            </w:r>
            <w:r>
              <w:rPr>
                <w:spacing w:val="-1"/>
              </w:rPr>
              <w:t>过度、森林退化严重。项目评价</w:t>
            </w:r>
            <w:r>
              <w:t xml:space="preserve"> </w:t>
            </w:r>
            <w:r>
              <w:rPr>
                <w:spacing w:val="-1"/>
              </w:rPr>
              <w:t>范围内林种组成单一，树种以人工种植的云南松、华山松为主，评价区内部分区域</w:t>
            </w:r>
            <w:r>
              <w:rPr>
                <w:spacing w:val="9"/>
              </w:rPr>
              <w:t xml:space="preserve"> </w:t>
            </w:r>
            <w:r>
              <w:rPr>
                <w:spacing w:val="1"/>
              </w:rPr>
              <w:t>无植被覆盖，为裸土地、裸岩石砾地。</w:t>
            </w:r>
          </w:p>
          <w:p w14:paraId="16E941F7">
            <w:pPr>
              <w:pStyle w:val="6"/>
              <w:spacing w:line="219" w:lineRule="auto"/>
              <w:ind w:left="103"/>
            </w:pPr>
            <w:r>
              <w:rPr>
                <w:b/>
                <w:bCs/>
                <w:spacing w:val="-3"/>
              </w:rPr>
              <w:t>四、声环境质量现状</w:t>
            </w:r>
          </w:p>
          <w:p w14:paraId="39245FA6">
            <w:pPr>
              <w:pStyle w:val="6"/>
              <w:spacing w:before="196" w:line="355" w:lineRule="auto"/>
              <w:ind w:left="119" w:firstLine="469"/>
            </w:pPr>
            <w:r>
              <w:rPr>
                <w:spacing w:val="-3"/>
              </w:rPr>
              <w:t>项目位于云南省曲靖市马龙区，声环境执行《声环境质量标准》(GB3096-2008)</w:t>
            </w:r>
            <w:r>
              <w:rPr>
                <w:spacing w:val="3"/>
              </w:rPr>
              <w:t xml:space="preserve"> </w:t>
            </w:r>
            <w:r>
              <w:t>1类标准。本次评价委托云南升环检测技术有限公司于2024年7月16日对</w:t>
            </w:r>
            <w:r>
              <w:rPr>
                <w:spacing w:val="-1"/>
              </w:rPr>
              <w:t>项目所</w:t>
            </w:r>
          </w:p>
          <w:p w14:paraId="4A98BB3A">
            <w:pPr>
              <w:pStyle w:val="6"/>
              <w:spacing w:line="220" w:lineRule="auto"/>
              <w:ind w:left="109"/>
            </w:pPr>
            <w:r>
              <w:rPr>
                <w:spacing w:val="-1"/>
              </w:rPr>
              <w:t>在区域声环境进行了监测。</w:t>
            </w:r>
          </w:p>
          <w:p w14:paraId="236AA912">
            <w:pPr>
              <w:pStyle w:val="6"/>
              <w:spacing w:before="193" w:line="309" w:lineRule="auto"/>
              <w:ind w:left="99" w:right="261" w:firstLine="610"/>
            </w:pPr>
            <w:r>
              <w:t>(1)监测点位：项目场界50m范围内声环境敏感目标及升压站，共设置5个</w:t>
            </w:r>
            <w:r>
              <w:rPr>
                <w:spacing w:val="4"/>
              </w:rPr>
              <w:t xml:space="preserve">  </w:t>
            </w:r>
            <w:r>
              <w:t>监测点位，分别为1#升压站中心、2#上南屯、3#小村、4#</w:t>
            </w:r>
            <w:r>
              <w:rPr>
                <w:spacing w:val="-1"/>
              </w:rPr>
              <w:t>下南屯、5#照合铺、6#</w:t>
            </w:r>
            <w:r>
              <w:t xml:space="preserve"> 杨梅沟散户。</w:t>
            </w:r>
          </w:p>
          <w:p w14:paraId="205CF4C7">
            <w:pPr>
              <w:pStyle w:val="6"/>
              <w:spacing w:before="188" w:line="214" w:lineRule="auto"/>
              <w:ind w:left="709"/>
            </w:pPr>
            <w:r>
              <w:rPr>
                <w:spacing w:val="4"/>
              </w:rPr>
              <w:t>(2)监测指标：</w:t>
            </w:r>
            <w:r>
              <w:t>Leq</w:t>
            </w:r>
            <w:r>
              <w:rPr>
                <w:spacing w:val="4"/>
              </w:rPr>
              <w:t>(A)</w:t>
            </w:r>
          </w:p>
          <w:p w14:paraId="0D12343E">
            <w:pPr>
              <w:pStyle w:val="6"/>
              <w:spacing w:before="189" w:line="219" w:lineRule="auto"/>
              <w:ind w:left="709"/>
            </w:pPr>
            <w:r>
              <w:t>(3)监测频率及时段：监测1天，昼间和夜间各监测一次。</w:t>
            </w:r>
          </w:p>
          <w:p w14:paraId="06F63F9D">
            <w:pPr>
              <w:pStyle w:val="6"/>
              <w:spacing w:before="186" w:line="220" w:lineRule="auto"/>
              <w:ind w:left="689"/>
            </w:pPr>
            <w:r>
              <w:rPr>
                <w:spacing w:val="2"/>
              </w:rPr>
              <w:t>(4)监测结果</w:t>
            </w:r>
          </w:p>
          <w:p w14:paraId="7432CF4F">
            <w:pPr>
              <w:pStyle w:val="6"/>
              <w:spacing w:before="182" w:line="219" w:lineRule="auto"/>
              <w:ind w:left="599"/>
            </w:pPr>
            <w:r>
              <w:rPr>
                <w:spacing w:val="1"/>
              </w:rPr>
              <w:t>本次声环境质量现状监测结果见表3-5。</w:t>
            </w:r>
          </w:p>
          <w:p w14:paraId="3F06DA90">
            <w:pPr>
              <w:pStyle w:val="6"/>
              <w:spacing w:before="173" w:line="204" w:lineRule="auto"/>
              <w:ind w:left="1233"/>
            </w:pPr>
            <w:r>
              <w:rPr>
                <w:b/>
                <w:bCs/>
                <w:spacing w:val="-1"/>
              </w:rPr>
              <w:t>表3-5声环境质量现状监测结果一览表</w:t>
            </w:r>
            <w:r>
              <w:rPr>
                <w:spacing w:val="-1"/>
              </w:rPr>
              <w:t xml:space="preserve">  </w:t>
            </w:r>
            <w:r>
              <w:rPr>
                <w:b/>
                <w:bCs/>
                <w:spacing w:val="-1"/>
              </w:rPr>
              <w:t>单位：dB(A)</w:t>
            </w:r>
          </w:p>
        </w:tc>
      </w:tr>
      <w:tr w14:paraId="17BA9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15" w:type="dxa"/>
            <w:vMerge w:val="continue"/>
            <w:tcBorders>
              <w:top w:val="nil"/>
              <w:bottom w:val="nil"/>
            </w:tcBorders>
            <w:vAlign w:val="top"/>
          </w:tcPr>
          <w:p w14:paraId="72EE2F13">
            <w:pPr>
              <w:rPr>
                <w:rFonts w:ascii="Arial"/>
                <w:sz w:val="21"/>
              </w:rPr>
            </w:pPr>
          </w:p>
        </w:tc>
        <w:tc>
          <w:tcPr>
            <w:tcW w:w="120" w:type="dxa"/>
            <w:tcBorders>
              <w:bottom w:val="nil"/>
            </w:tcBorders>
            <w:vAlign w:val="top"/>
          </w:tcPr>
          <w:p w14:paraId="1C187C16">
            <w:pPr>
              <w:rPr>
                <w:rFonts w:ascii="Arial"/>
                <w:sz w:val="21"/>
              </w:rPr>
            </w:pPr>
          </w:p>
        </w:tc>
        <w:tc>
          <w:tcPr>
            <w:tcW w:w="1508" w:type="dxa"/>
            <w:vAlign w:val="top"/>
          </w:tcPr>
          <w:p w14:paraId="6DCA7EA1">
            <w:pPr>
              <w:pStyle w:val="6"/>
              <w:spacing w:before="29" w:line="185" w:lineRule="auto"/>
              <w:ind w:left="259"/>
            </w:pPr>
            <w:r>
              <w:rPr>
                <w:spacing w:val="-2"/>
              </w:rPr>
              <w:t>监测点位</w:t>
            </w:r>
          </w:p>
        </w:tc>
        <w:tc>
          <w:tcPr>
            <w:tcW w:w="2816" w:type="dxa"/>
            <w:gridSpan w:val="2"/>
            <w:vAlign w:val="top"/>
          </w:tcPr>
          <w:p w14:paraId="52E71DC5">
            <w:pPr>
              <w:pStyle w:val="6"/>
              <w:spacing w:before="29" w:line="185" w:lineRule="auto"/>
              <w:ind w:left="981"/>
            </w:pPr>
            <w:r>
              <w:rPr>
                <w:spacing w:val="5"/>
              </w:rPr>
              <w:t>监测时间</w:t>
            </w:r>
          </w:p>
        </w:tc>
        <w:tc>
          <w:tcPr>
            <w:tcW w:w="1378" w:type="dxa"/>
            <w:vAlign w:val="top"/>
          </w:tcPr>
          <w:p w14:paraId="3F965ACE">
            <w:pPr>
              <w:pStyle w:val="6"/>
              <w:spacing w:before="26" w:line="187" w:lineRule="auto"/>
              <w:ind w:left="325"/>
            </w:pPr>
            <w:r>
              <w:rPr>
                <w:spacing w:val="-3"/>
              </w:rPr>
              <w:t>检测值</w:t>
            </w:r>
          </w:p>
        </w:tc>
        <w:tc>
          <w:tcPr>
            <w:tcW w:w="1458" w:type="dxa"/>
            <w:vAlign w:val="top"/>
          </w:tcPr>
          <w:p w14:paraId="6F118101">
            <w:pPr>
              <w:pStyle w:val="6"/>
              <w:spacing w:before="26" w:line="187" w:lineRule="auto"/>
              <w:ind w:left="368"/>
            </w:pPr>
            <w:r>
              <w:rPr>
                <w:spacing w:val="-3"/>
              </w:rPr>
              <w:t>标准值</w:t>
            </w:r>
          </w:p>
        </w:tc>
        <w:tc>
          <w:tcPr>
            <w:tcW w:w="1329" w:type="dxa"/>
            <w:vAlign w:val="top"/>
          </w:tcPr>
          <w:p w14:paraId="78DEF1BA">
            <w:pPr>
              <w:pStyle w:val="6"/>
              <w:spacing w:before="28" w:line="186" w:lineRule="auto"/>
              <w:ind w:left="179"/>
            </w:pPr>
            <w:r>
              <w:rPr>
                <w:spacing w:val="-2"/>
              </w:rPr>
              <w:t>达标情况</w:t>
            </w:r>
          </w:p>
        </w:tc>
        <w:tc>
          <w:tcPr>
            <w:tcW w:w="152" w:type="dxa"/>
            <w:tcBorders>
              <w:bottom w:val="nil"/>
            </w:tcBorders>
            <w:vAlign w:val="top"/>
          </w:tcPr>
          <w:p w14:paraId="038E66A4">
            <w:pPr>
              <w:rPr>
                <w:rFonts w:ascii="Arial"/>
                <w:sz w:val="21"/>
              </w:rPr>
            </w:pPr>
          </w:p>
        </w:tc>
      </w:tr>
      <w:tr w14:paraId="1D3D7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15" w:type="dxa"/>
            <w:vMerge w:val="continue"/>
            <w:tcBorders>
              <w:top w:val="nil"/>
              <w:bottom w:val="nil"/>
            </w:tcBorders>
            <w:vAlign w:val="top"/>
          </w:tcPr>
          <w:p w14:paraId="112829C4">
            <w:pPr>
              <w:rPr>
                <w:rFonts w:ascii="Arial"/>
                <w:sz w:val="21"/>
              </w:rPr>
            </w:pPr>
          </w:p>
        </w:tc>
        <w:tc>
          <w:tcPr>
            <w:tcW w:w="120" w:type="dxa"/>
            <w:tcBorders>
              <w:top w:val="nil"/>
              <w:bottom w:val="nil"/>
            </w:tcBorders>
            <w:vAlign w:val="top"/>
          </w:tcPr>
          <w:p w14:paraId="18979FCC">
            <w:pPr>
              <w:rPr>
                <w:rFonts w:ascii="Arial"/>
                <w:sz w:val="21"/>
              </w:rPr>
            </w:pPr>
          </w:p>
        </w:tc>
        <w:tc>
          <w:tcPr>
            <w:tcW w:w="1508" w:type="dxa"/>
            <w:vMerge w:val="restart"/>
            <w:tcBorders>
              <w:bottom w:val="nil"/>
            </w:tcBorders>
            <w:vAlign w:val="top"/>
          </w:tcPr>
          <w:p w14:paraId="4A2A1AEE">
            <w:pPr>
              <w:pStyle w:val="6"/>
              <w:spacing w:before="88" w:line="200" w:lineRule="auto"/>
              <w:ind w:left="379" w:right="84" w:hanging="300"/>
            </w:pPr>
            <w:r>
              <w:rPr>
                <w:spacing w:val="1"/>
              </w:rPr>
              <w:t>1#:升压站站</w:t>
            </w:r>
            <w:r>
              <w:rPr>
                <w:spacing w:val="5"/>
              </w:rPr>
              <w:t xml:space="preserve"> 址中心</w:t>
            </w:r>
          </w:p>
        </w:tc>
        <w:tc>
          <w:tcPr>
            <w:tcW w:w="1478" w:type="dxa"/>
            <w:vMerge w:val="restart"/>
            <w:tcBorders>
              <w:bottom w:val="nil"/>
            </w:tcBorders>
            <w:vAlign w:val="top"/>
          </w:tcPr>
          <w:p w14:paraId="690A3546">
            <w:pPr>
              <w:pStyle w:val="6"/>
              <w:spacing w:before="221" w:line="239" w:lineRule="auto"/>
              <w:ind w:left="131"/>
            </w:pPr>
            <w:r>
              <w:rPr>
                <w:spacing w:val="-2"/>
              </w:rPr>
              <w:t>2024.07.16</w:t>
            </w:r>
          </w:p>
        </w:tc>
        <w:tc>
          <w:tcPr>
            <w:tcW w:w="1338" w:type="dxa"/>
            <w:vAlign w:val="top"/>
          </w:tcPr>
          <w:p w14:paraId="39B9B46D">
            <w:pPr>
              <w:pStyle w:val="6"/>
              <w:spacing w:before="41" w:line="187" w:lineRule="auto"/>
              <w:ind w:left="424"/>
            </w:pPr>
            <w:r>
              <w:rPr>
                <w:spacing w:val="11"/>
              </w:rPr>
              <w:t>昼间</w:t>
            </w:r>
          </w:p>
        </w:tc>
        <w:tc>
          <w:tcPr>
            <w:tcW w:w="1378" w:type="dxa"/>
            <w:vAlign w:val="top"/>
          </w:tcPr>
          <w:p w14:paraId="3AFD9C80">
            <w:pPr>
              <w:pStyle w:val="6"/>
              <w:spacing w:before="61" w:line="172" w:lineRule="auto"/>
              <w:ind w:left="565"/>
            </w:pPr>
            <w:r>
              <w:rPr>
                <w:spacing w:val="-3"/>
              </w:rPr>
              <w:t>46</w:t>
            </w:r>
          </w:p>
        </w:tc>
        <w:tc>
          <w:tcPr>
            <w:tcW w:w="1458" w:type="dxa"/>
            <w:vAlign w:val="top"/>
          </w:tcPr>
          <w:p w14:paraId="572C4A88">
            <w:pPr>
              <w:pStyle w:val="6"/>
              <w:spacing w:before="61" w:line="172" w:lineRule="auto"/>
              <w:ind w:left="607"/>
            </w:pPr>
            <w:r>
              <w:rPr>
                <w:spacing w:val="-4"/>
              </w:rPr>
              <w:t>55</w:t>
            </w:r>
          </w:p>
        </w:tc>
        <w:tc>
          <w:tcPr>
            <w:tcW w:w="1329" w:type="dxa"/>
            <w:vAlign w:val="top"/>
          </w:tcPr>
          <w:p w14:paraId="6C8FA864">
            <w:pPr>
              <w:pStyle w:val="6"/>
              <w:spacing w:before="38" w:line="190" w:lineRule="auto"/>
              <w:ind w:left="419"/>
            </w:pPr>
            <w:r>
              <w:rPr>
                <w:spacing w:val="-3"/>
              </w:rPr>
              <w:t>达标</w:t>
            </w:r>
          </w:p>
        </w:tc>
        <w:tc>
          <w:tcPr>
            <w:tcW w:w="152" w:type="dxa"/>
            <w:tcBorders>
              <w:top w:val="nil"/>
              <w:bottom w:val="nil"/>
            </w:tcBorders>
            <w:vAlign w:val="top"/>
          </w:tcPr>
          <w:p w14:paraId="58BDB259">
            <w:pPr>
              <w:rPr>
                <w:rFonts w:ascii="Arial"/>
                <w:sz w:val="21"/>
              </w:rPr>
            </w:pPr>
          </w:p>
        </w:tc>
      </w:tr>
      <w:tr w14:paraId="3637C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15" w:type="dxa"/>
            <w:vMerge w:val="continue"/>
            <w:tcBorders>
              <w:top w:val="nil"/>
              <w:bottom w:val="nil"/>
            </w:tcBorders>
            <w:vAlign w:val="top"/>
          </w:tcPr>
          <w:p w14:paraId="54280B43">
            <w:pPr>
              <w:rPr>
                <w:rFonts w:ascii="Arial"/>
                <w:sz w:val="21"/>
              </w:rPr>
            </w:pPr>
          </w:p>
        </w:tc>
        <w:tc>
          <w:tcPr>
            <w:tcW w:w="120" w:type="dxa"/>
            <w:tcBorders>
              <w:top w:val="nil"/>
              <w:bottom w:val="nil"/>
            </w:tcBorders>
            <w:vAlign w:val="top"/>
          </w:tcPr>
          <w:p w14:paraId="11A18796">
            <w:pPr>
              <w:rPr>
                <w:rFonts w:ascii="Arial"/>
                <w:sz w:val="21"/>
              </w:rPr>
            </w:pPr>
          </w:p>
        </w:tc>
        <w:tc>
          <w:tcPr>
            <w:tcW w:w="1508" w:type="dxa"/>
            <w:vMerge w:val="continue"/>
            <w:tcBorders>
              <w:top w:val="nil"/>
            </w:tcBorders>
            <w:vAlign w:val="top"/>
          </w:tcPr>
          <w:p w14:paraId="077F2F5A">
            <w:pPr>
              <w:rPr>
                <w:rFonts w:ascii="Arial"/>
                <w:sz w:val="21"/>
              </w:rPr>
            </w:pPr>
          </w:p>
        </w:tc>
        <w:tc>
          <w:tcPr>
            <w:tcW w:w="1478" w:type="dxa"/>
            <w:vMerge w:val="continue"/>
            <w:tcBorders>
              <w:top w:val="nil"/>
            </w:tcBorders>
            <w:vAlign w:val="top"/>
          </w:tcPr>
          <w:p w14:paraId="67784994">
            <w:pPr>
              <w:rPr>
                <w:rFonts w:ascii="Arial"/>
                <w:sz w:val="21"/>
              </w:rPr>
            </w:pPr>
          </w:p>
        </w:tc>
        <w:tc>
          <w:tcPr>
            <w:tcW w:w="1338" w:type="dxa"/>
            <w:vAlign w:val="top"/>
          </w:tcPr>
          <w:p w14:paraId="46E3FB70">
            <w:pPr>
              <w:pStyle w:val="6"/>
              <w:spacing w:before="53" w:line="193" w:lineRule="auto"/>
              <w:ind w:left="424"/>
            </w:pPr>
            <w:r>
              <w:rPr>
                <w:spacing w:val="11"/>
              </w:rPr>
              <w:t>夜间</w:t>
            </w:r>
          </w:p>
        </w:tc>
        <w:tc>
          <w:tcPr>
            <w:tcW w:w="1378" w:type="dxa"/>
            <w:vAlign w:val="top"/>
          </w:tcPr>
          <w:p w14:paraId="78297E57">
            <w:pPr>
              <w:pStyle w:val="6"/>
              <w:spacing w:before="76" w:line="175" w:lineRule="auto"/>
              <w:ind w:left="565"/>
            </w:pPr>
            <w:r>
              <w:rPr>
                <w:spacing w:val="-4"/>
              </w:rPr>
              <w:t>38</w:t>
            </w:r>
          </w:p>
        </w:tc>
        <w:tc>
          <w:tcPr>
            <w:tcW w:w="1458" w:type="dxa"/>
            <w:vAlign w:val="top"/>
          </w:tcPr>
          <w:p w14:paraId="32B42057">
            <w:pPr>
              <w:pStyle w:val="6"/>
              <w:spacing w:before="76" w:line="175" w:lineRule="auto"/>
              <w:ind w:left="607"/>
            </w:pPr>
            <w:r>
              <w:rPr>
                <w:spacing w:val="-3"/>
              </w:rPr>
              <w:t>45</w:t>
            </w:r>
          </w:p>
        </w:tc>
        <w:tc>
          <w:tcPr>
            <w:tcW w:w="1329" w:type="dxa"/>
            <w:vAlign w:val="top"/>
          </w:tcPr>
          <w:p w14:paraId="66CDE9DA">
            <w:pPr>
              <w:pStyle w:val="6"/>
              <w:spacing w:before="53" w:line="193" w:lineRule="auto"/>
              <w:ind w:left="419"/>
            </w:pPr>
            <w:r>
              <w:rPr>
                <w:spacing w:val="-3"/>
              </w:rPr>
              <w:t>达标</w:t>
            </w:r>
          </w:p>
        </w:tc>
        <w:tc>
          <w:tcPr>
            <w:tcW w:w="152" w:type="dxa"/>
            <w:tcBorders>
              <w:top w:val="nil"/>
              <w:bottom w:val="nil"/>
            </w:tcBorders>
            <w:vAlign w:val="top"/>
          </w:tcPr>
          <w:p w14:paraId="1A0FF3DC">
            <w:pPr>
              <w:rPr>
                <w:rFonts w:ascii="Arial"/>
                <w:sz w:val="21"/>
              </w:rPr>
            </w:pPr>
          </w:p>
        </w:tc>
      </w:tr>
      <w:tr w14:paraId="764D4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15" w:type="dxa"/>
            <w:vMerge w:val="continue"/>
            <w:tcBorders>
              <w:top w:val="nil"/>
              <w:bottom w:val="nil"/>
            </w:tcBorders>
            <w:vAlign w:val="top"/>
          </w:tcPr>
          <w:p w14:paraId="19678259">
            <w:pPr>
              <w:rPr>
                <w:rFonts w:ascii="Arial"/>
                <w:sz w:val="21"/>
              </w:rPr>
            </w:pPr>
          </w:p>
        </w:tc>
        <w:tc>
          <w:tcPr>
            <w:tcW w:w="120" w:type="dxa"/>
            <w:tcBorders>
              <w:top w:val="nil"/>
              <w:bottom w:val="nil"/>
            </w:tcBorders>
            <w:vAlign w:val="top"/>
          </w:tcPr>
          <w:p w14:paraId="2B8F689A">
            <w:pPr>
              <w:rPr>
                <w:rFonts w:ascii="Arial"/>
                <w:sz w:val="21"/>
              </w:rPr>
            </w:pPr>
          </w:p>
        </w:tc>
        <w:tc>
          <w:tcPr>
            <w:tcW w:w="1508" w:type="dxa"/>
            <w:vMerge w:val="restart"/>
            <w:tcBorders>
              <w:bottom w:val="nil"/>
            </w:tcBorders>
            <w:vAlign w:val="top"/>
          </w:tcPr>
          <w:p w14:paraId="01153474">
            <w:pPr>
              <w:pStyle w:val="6"/>
              <w:spacing w:before="162" w:line="221" w:lineRule="auto"/>
              <w:ind w:left="259"/>
            </w:pPr>
            <w:r>
              <w:rPr>
                <w:spacing w:val="2"/>
              </w:rPr>
              <w:t>2#上南屯</w:t>
            </w:r>
          </w:p>
        </w:tc>
        <w:tc>
          <w:tcPr>
            <w:tcW w:w="1478" w:type="dxa"/>
            <w:vMerge w:val="restart"/>
            <w:tcBorders>
              <w:bottom w:val="nil"/>
            </w:tcBorders>
            <w:vAlign w:val="top"/>
          </w:tcPr>
          <w:p w14:paraId="3CB11AB5">
            <w:pPr>
              <w:pStyle w:val="6"/>
              <w:spacing w:before="182" w:line="239" w:lineRule="auto"/>
              <w:ind w:left="131"/>
            </w:pPr>
            <w:r>
              <w:rPr>
                <w:spacing w:val="-2"/>
              </w:rPr>
              <w:t>2024.07.16</w:t>
            </w:r>
          </w:p>
        </w:tc>
        <w:tc>
          <w:tcPr>
            <w:tcW w:w="1338" w:type="dxa"/>
            <w:vAlign w:val="top"/>
          </w:tcPr>
          <w:p w14:paraId="4636EE6E">
            <w:pPr>
              <w:pStyle w:val="6"/>
              <w:spacing w:before="32" w:line="171" w:lineRule="auto"/>
              <w:ind w:left="424"/>
            </w:pPr>
            <w:r>
              <w:rPr>
                <w:spacing w:val="11"/>
              </w:rPr>
              <w:t>昼间</w:t>
            </w:r>
          </w:p>
        </w:tc>
        <w:tc>
          <w:tcPr>
            <w:tcW w:w="1378" w:type="dxa"/>
            <w:vAlign w:val="top"/>
          </w:tcPr>
          <w:p w14:paraId="4071ED09">
            <w:pPr>
              <w:pStyle w:val="6"/>
              <w:spacing w:before="52" w:line="202" w:lineRule="exact"/>
              <w:ind w:left="565"/>
            </w:pPr>
            <w:r>
              <w:rPr>
                <w:spacing w:val="-3"/>
                <w:position w:val="-2"/>
              </w:rPr>
              <w:t>45</w:t>
            </w:r>
          </w:p>
        </w:tc>
        <w:tc>
          <w:tcPr>
            <w:tcW w:w="1458" w:type="dxa"/>
            <w:vAlign w:val="top"/>
          </w:tcPr>
          <w:p w14:paraId="2A883FB5">
            <w:pPr>
              <w:pStyle w:val="6"/>
              <w:spacing w:before="52" w:line="202" w:lineRule="exact"/>
              <w:ind w:left="607"/>
            </w:pPr>
            <w:r>
              <w:rPr>
                <w:spacing w:val="-4"/>
                <w:position w:val="-2"/>
              </w:rPr>
              <w:t>55</w:t>
            </w:r>
          </w:p>
        </w:tc>
        <w:tc>
          <w:tcPr>
            <w:tcW w:w="1329" w:type="dxa"/>
            <w:vAlign w:val="top"/>
          </w:tcPr>
          <w:p w14:paraId="33EC8E72">
            <w:pPr>
              <w:pStyle w:val="6"/>
              <w:spacing w:before="30" w:line="173" w:lineRule="auto"/>
              <w:ind w:left="419"/>
            </w:pPr>
            <w:r>
              <w:rPr>
                <w:spacing w:val="-3"/>
              </w:rPr>
              <w:t>达标</w:t>
            </w:r>
          </w:p>
        </w:tc>
        <w:tc>
          <w:tcPr>
            <w:tcW w:w="152" w:type="dxa"/>
            <w:tcBorders>
              <w:top w:val="nil"/>
              <w:bottom w:val="nil"/>
            </w:tcBorders>
            <w:vAlign w:val="top"/>
          </w:tcPr>
          <w:p w14:paraId="53EB20B9">
            <w:pPr>
              <w:rPr>
                <w:rFonts w:ascii="Arial"/>
                <w:sz w:val="21"/>
              </w:rPr>
            </w:pPr>
          </w:p>
        </w:tc>
      </w:tr>
      <w:tr w14:paraId="7693E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315" w:type="dxa"/>
            <w:vMerge w:val="continue"/>
            <w:tcBorders>
              <w:top w:val="nil"/>
              <w:bottom w:val="nil"/>
            </w:tcBorders>
            <w:vAlign w:val="top"/>
          </w:tcPr>
          <w:p w14:paraId="4FE2A4CE">
            <w:pPr>
              <w:rPr>
                <w:rFonts w:ascii="Arial"/>
                <w:sz w:val="21"/>
              </w:rPr>
            </w:pPr>
          </w:p>
        </w:tc>
        <w:tc>
          <w:tcPr>
            <w:tcW w:w="120" w:type="dxa"/>
            <w:tcBorders>
              <w:top w:val="nil"/>
              <w:bottom w:val="nil"/>
            </w:tcBorders>
            <w:vAlign w:val="top"/>
          </w:tcPr>
          <w:p w14:paraId="29EEA6D7">
            <w:pPr>
              <w:rPr>
                <w:rFonts w:ascii="Arial"/>
                <w:sz w:val="21"/>
              </w:rPr>
            </w:pPr>
          </w:p>
        </w:tc>
        <w:tc>
          <w:tcPr>
            <w:tcW w:w="1508" w:type="dxa"/>
            <w:vMerge w:val="continue"/>
            <w:tcBorders>
              <w:top w:val="nil"/>
            </w:tcBorders>
            <w:vAlign w:val="top"/>
          </w:tcPr>
          <w:p w14:paraId="3C871BA4">
            <w:pPr>
              <w:rPr>
                <w:rFonts w:ascii="Arial"/>
                <w:sz w:val="21"/>
              </w:rPr>
            </w:pPr>
          </w:p>
        </w:tc>
        <w:tc>
          <w:tcPr>
            <w:tcW w:w="1478" w:type="dxa"/>
            <w:vMerge w:val="continue"/>
            <w:tcBorders>
              <w:top w:val="nil"/>
            </w:tcBorders>
            <w:vAlign w:val="top"/>
          </w:tcPr>
          <w:p w14:paraId="002F0003">
            <w:pPr>
              <w:rPr>
                <w:rFonts w:ascii="Arial"/>
                <w:sz w:val="21"/>
              </w:rPr>
            </w:pPr>
          </w:p>
        </w:tc>
        <w:tc>
          <w:tcPr>
            <w:tcW w:w="1338" w:type="dxa"/>
            <w:vAlign w:val="top"/>
          </w:tcPr>
          <w:p w14:paraId="26056C9F">
            <w:pPr>
              <w:pStyle w:val="6"/>
              <w:spacing w:before="43" w:line="162" w:lineRule="auto"/>
              <w:ind w:left="424"/>
            </w:pPr>
            <w:r>
              <w:rPr>
                <w:spacing w:val="11"/>
              </w:rPr>
              <w:t>夜间</w:t>
            </w:r>
          </w:p>
        </w:tc>
        <w:tc>
          <w:tcPr>
            <w:tcW w:w="1378" w:type="dxa"/>
            <w:vAlign w:val="top"/>
          </w:tcPr>
          <w:p w14:paraId="6C88CF50">
            <w:pPr>
              <w:pStyle w:val="6"/>
              <w:spacing w:before="67" w:line="186" w:lineRule="exact"/>
              <w:ind w:left="565"/>
            </w:pPr>
            <w:r>
              <w:rPr>
                <w:spacing w:val="-4"/>
                <w:position w:val="-3"/>
              </w:rPr>
              <w:t>36</w:t>
            </w:r>
          </w:p>
        </w:tc>
        <w:tc>
          <w:tcPr>
            <w:tcW w:w="1458" w:type="dxa"/>
            <w:vAlign w:val="top"/>
          </w:tcPr>
          <w:p w14:paraId="19F4B102">
            <w:pPr>
              <w:pStyle w:val="6"/>
              <w:spacing w:before="67" w:line="186" w:lineRule="exact"/>
              <w:ind w:left="607"/>
            </w:pPr>
            <w:r>
              <w:rPr>
                <w:spacing w:val="-3"/>
                <w:position w:val="-3"/>
              </w:rPr>
              <w:t>45</w:t>
            </w:r>
          </w:p>
        </w:tc>
        <w:tc>
          <w:tcPr>
            <w:tcW w:w="1329" w:type="dxa"/>
            <w:vAlign w:val="top"/>
          </w:tcPr>
          <w:p w14:paraId="184E9650">
            <w:pPr>
              <w:pStyle w:val="6"/>
              <w:spacing w:before="44" w:line="161" w:lineRule="auto"/>
              <w:ind w:left="419"/>
            </w:pPr>
            <w:r>
              <w:rPr>
                <w:spacing w:val="-3"/>
              </w:rPr>
              <w:t>达标</w:t>
            </w:r>
          </w:p>
        </w:tc>
        <w:tc>
          <w:tcPr>
            <w:tcW w:w="152" w:type="dxa"/>
            <w:tcBorders>
              <w:top w:val="nil"/>
              <w:bottom w:val="nil"/>
            </w:tcBorders>
            <w:vAlign w:val="top"/>
          </w:tcPr>
          <w:p w14:paraId="3B90D95F">
            <w:pPr>
              <w:rPr>
                <w:rFonts w:ascii="Arial"/>
                <w:sz w:val="21"/>
              </w:rPr>
            </w:pPr>
          </w:p>
        </w:tc>
      </w:tr>
      <w:tr w14:paraId="40264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15" w:type="dxa"/>
            <w:vMerge w:val="continue"/>
            <w:tcBorders>
              <w:top w:val="nil"/>
              <w:bottom w:val="nil"/>
            </w:tcBorders>
            <w:vAlign w:val="top"/>
          </w:tcPr>
          <w:p w14:paraId="2729D25D">
            <w:pPr>
              <w:rPr>
                <w:rFonts w:ascii="Arial"/>
                <w:sz w:val="21"/>
              </w:rPr>
            </w:pPr>
          </w:p>
        </w:tc>
        <w:tc>
          <w:tcPr>
            <w:tcW w:w="120" w:type="dxa"/>
            <w:tcBorders>
              <w:top w:val="nil"/>
              <w:bottom w:val="nil"/>
            </w:tcBorders>
            <w:vAlign w:val="top"/>
          </w:tcPr>
          <w:p w14:paraId="73864727">
            <w:pPr>
              <w:rPr>
                <w:rFonts w:ascii="Arial"/>
                <w:sz w:val="21"/>
              </w:rPr>
            </w:pPr>
          </w:p>
        </w:tc>
        <w:tc>
          <w:tcPr>
            <w:tcW w:w="1508" w:type="dxa"/>
            <w:vMerge w:val="restart"/>
            <w:tcBorders>
              <w:bottom w:val="nil"/>
            </w:tcBorders>
            <w:vAlign w:val="top"/>
          </w:tcPr>
          <w:p w14:paraId="679958E3">
            <w:pPr>
              <w:pStyle w:val="6"/>
              <w:spacing w:before="178" w:line="219" w:lineRule="auto"/>
              <w:ind w:left="380"/>
            </w:pPr>
            <w:r>
              <w:rPr>
                <w:spacing w:val="2"/>
              </w:rPr>
              <w:t>3#小村</w:t>
            </w:r>
          </w:p>
        </w:tc>
        <w:tc>
          <w:tcPr>
            <w:tcW w:w="1478" w:type="dxa"/>
            <w:vMerge w:val="restart"/>
            <w:tcBorders>
              <w:bottom w:val="nil"/>
            </w:tcBorders>
            <w:vAlign w:val="top"/>
          </w:tcPr>
          <w:p w14:paraId="5B1A76B8">
            <w:pPr>
              <w:pStyle w:val="6"/>
              <w:spacing w:before="203" w:line="239" w:lineRule="auto"/>
              <w:ind w:left="131"/>
            </w:pPr>
            <w:r>
              <w:rPr>
                <w:spacing w:val="-2"/>
              </w:rPr>
              <w:t>2024.07.16</w:t>
            </w:r>
          </w:p>
        </w:tc>
        <w:tc>
          <w:tcPr>
            <w:tcW w:w="1338" w:type="dxa"/>
            <w:vAlign w:val="top"/>
          </w:tcPr>
          <w:p w14:paraId="3CE9208D">
            <w:pPr>
              <w:pStyle w:val="6"/>
              <w:spacing w:before="42" w:line="167" w:lineRule="auto"/>
              <w:ind w:left="424"/>
            </w:pPr>
            <w:r>
              <w:rPr>
                <w:spacing w:val="11"/>
              </w:rPr>
              <w:t>昼间</w:t>
            </w:r>
          </w:p>
        </w:tc>
        <w:tc>
          <w:tcPr>
            <w:tcW w:w="1378" w:type="dxa"/>
            <w:vAlign w:val="top"/>
          </w:tcPr>
          <w:p w14:paraId="428BB30B">
            <w:pPr>
              <w:pStyle w:val="6"/>
              <w:spacing w:before="63" w:line="197" w:lineRule="exact"/>
              <w:ind w:left="565"/>
            </w:pPr>
            <w:r>
              <w:rPr>
                <w:spacing w:val="-3"/>
                <w:position w:val="-3"/>
              </w:rPr>
              <w:t>45</w:t>
            </w:r>
          </w:p>
        </w:tc>
        <w:tc>
          <w:tcPr>
            <w:tcW w:w="1458" w:type="dxa"/>
            <w:vAlign w:val="top"/>
          </w:tcPr>
          <w:p w14:paraId="7B81F760">
            <w:pPr>
              <w:pStyle w:val="6"/>
              <w:spacing w:before="63" w:line="197" w:lineRule="exact"/>
              <w:ind w:left="607"/>
            </w:pPr>
            <w:r>
              <w:rPr>
                <w:spacing w:val="-4"/>
                <w:position w:val="-2"/>
              </w:rPr>
              <w:t>55</w:t>
            </w:r>
          </w:p>
        </w:tc>
        <w:tc>
          <w:tcPr>
            <w:tcW w:w="1329" w:type="dxa"/>
            <w:vAlign w:val="top"/>
          </w:tcPr>
          <w:p w14:paraId="2F461D66">
            <w:pPr>
              <w:pStyle w:val="6"/>
              <w:spacing w:before="40" w:line="169" w:lineRule="auto"/>
              <w:ind w:left="419"/>
            </w:pPr>
            <w:r>
              <w:rPr>
                <w:spacing w:val="-3"/>
              </w:rPr>
              <w:t>达标</w:t>
            </w:r>
          </w:p>
        </w:tc>
        <w:tc>
          <w:tcPr>
            <w:tcW w:w="152" w:type="dxa"/>
            <w:tcBorders>
              <w:top w:val="nil"/>
              <w:bottom w:val="nil"/>
            </w:tcBorders>
            <w:vAlign w:val="top"/>
          </w:tcPr>
          <w:p w14:paraId="63D4A661">
            <w:pPr>
              <w:rPr>
                <w:rFonts w:ascii="Arial"/>
                <w:sz w:val="21"/>
              </w:rPr>
            </w:pPr>
          </w:p>
        </w:tc>
      </w:tr>
      <w:tr w14:paraId="27A0A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315" w:type="dxa"/>
            <w:vMerge w:val="continue"/>
            <w:tcBorders>
              <w:top w:val="nil"/>
              <w:bottom w:val="nil"/>
            </w:tcBorders>
            <w:vAlign w:val="top"/>
          </w:tcPr>
          <w:p w14:paraId="7FD249F9">
            <w:pPr>
              <w:rPr>
                <w:rFonts w:ascii="Arial"/>
                <w:sz w:val="21"/>
              </w:rPr>
            </w:pPr>
          </w:p>
        </w:tc>
        <w:tc>
          <w:tcPr>
            <w:tcW w:w="120" w:type="dxa"/>
            <w:tcBorders>
              <w:top w:val="nil"/>
              <w:bottom w:val="nil"/>
            </w:tcBorders>
            <w:vAlign w:val="top"/>
          </w:tcPr>
          <w:p w14:paraId="3444EE3D">
            <w:pPr>
              <w:rPr>
                <w:rFonts w:ascii="Arial"/>
                <w:sz w:val="21"/>
              </w:rPr>
            </w:pPr>
          </w:p>
        </w:tc>
        <w:tc>
          <w:tcPr>
            <w:tcW w:w="1508" w:type="dxa"/>
            <w:vMerge w:val="continue"/>
            <w:tcBorders>
              <w:top w:val="nil"/>
            </w:tcBorders>
            <w:vAlign w:val="top"/>
          </w:tcPr>
          <w:p w14:paraId="78A9D410">
            <w:pPr>
              <w:rPr>
                <w:rFonts w:ascii="Arial"/>
                <w:sz w:val="21"/>
              </w:rPr>
            </w:pPr>
          </w:p>
        </w:tc>
        <w:tc>
          <w:tcPr>
            <w:tcW w:w="1478" w:type="dxa"/>
            <w:vMerge w:val="continue"/>
            <w:tcBorders>
              <w:top w:val="nil"/>
            </w:tcBorders>
            <w:vAlign w:val="top"/>
          </w:tcPr>
          <w:p w14:paraId="10853A34">
            <w:pPr>
              <w:rPr>
                <w:rFonts w:ascii="Arial"/>
                <w:sz w:val="21"/>
              </w:rPr>
            </w:pPr>
          </w:p>
        </w:tc>
        <w:tc>
          <w:tcPr>
            <w:tcW w:w="1338" w:type="dxa"/>
            <w:vAlign w:val="top"/>
          </w:tcPr>
          <w:p w14:paraId="3A4FDF5D">
            <w:pPr>
              <w:pStyle w:val="6"/>
              <w:spacing w:before="48" w:line="177" w:lineRule="auto"/>
              <w:ind w:left="424"/>
            </w:pPr>
            <w:r>
              <w:rPr>
                <w:spacing w:val="11"/>
              </w:rPr>
              <w:t>夜间</w:t>
            </w:r>
          </w:p>
        </w:tc>
        <w:tc>
          <w:tcPr>
            <w:tcW w:w="1378" w:type="dxa"/>
            <w:vAlign w:val="top"/>
          </w:tcPr>
          <w:p w14:paraId="6FE60D0C">
            <w:pPr>
              <w:pStyle w:val="6"/>
              <w:spacing w:before="73" w:line="158" w:lineRule="auto"/>
              <w:ind w:left="565"/>
            </w:pPr>
            <w:r>
              <w:rPr>
                <w:spacing w:val="-4"/>
              </w:rPr>
              <w:t>37</w:t>
            </w:r>
          </w:p>
        </w:tc>
        <w:tc>
          <w:tcPr>
            <w:tcW w:w="1458" w:type="dxa"/>
            <w:vAlign w:val="top"/>
          </w:tcPr>
          <w:p w14:paraId="466E94F4">
            <w:pPr>
              <w:pStyle w:val="6"/>
              <w:spacing w:before="73" w:line="158" w:lineRule="auto"/>
              <w:ind w:left="607"/>
            </w:pPr>
            <w:r>
              <w:rPr>
                <w:spacing w:val="-3"/>
              </w:rPr>
              <w:t>45</w:t>
            </w:r>
          </w:p>
        </w:tc>
        <w:tc>
          <w:tcPr>
            <w:tcW w:w="1329" w:type="dxa"/>
            <w:vAlign w:val="top"/>
          </w:tcPr>
          <w:p w14:paraId="19CE2F54">
            <w:pPr>
              <w:pStyle w:val="6"/>
              <w:spacing w:before="50" w:line="176" w:lineRule="auto"/>
              <w:ind w:left="419"/>
            </w:pPr>
            <w:r>
              <w:rPr>
                <w:spacing w:val="-3"/>
              </w:rPr>
              <w:t>达标</w:t>
            </w:r>
          </w:p>
        </w:tc>
        <w:tc>
          <w:tcPr>
            <w:tcW w:w="152" w:type="dxa"/>
            <w:tcBorders>
              <w:top w:val="nil"/>
              <w:bottom w:val="nil"/>
            </w:tcBorders>
            <w:vAlign w:val="top"/>
          </w:tcPr>
          <w:p w14:paraId="6ED34119">
            <w:pPr>
              <w:rPr>
                <w:rFonts w:ascii="Arial"/>
                <w:sz w:val="21"/>
              </w:rPr>
            </w:pPr>
          </w:p>
        </w:tc>
      </w:tr>
      <w:tr w14:paraId="131E5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315" w:type="dxa"/>
            <w:vMerge w:val="continue"/>
            <w:tcBorders>
              <w:top w:val="nil"/>
              <w:bottom w:val="nil"/>
            </w:tcBorders>
            <w:vAlign w:val="top"/>
          </w:tcPr>
          <w:p w14:paraId="4CC551A5">
            <w:pPr>
              <w:rPr>
                <w:rFonts w:ascii="Arial"/>
                <w:sz w:val="21"/>
              </w:rPr>
            </w:pPr>
          </w:p>
        </w:tc>
        <w:tc>
          <w:tcPr>
            <w:tcW w:w="120" w:type="dxa"/>
            <w:tcBorders>
              <w:top w:val="nil"/>
              <w:bottom w:val="nil"/>
            </w:tcBorders>
            <w:vAlign w:val="top"/>
          </w:tcPr>
          <w:p w14:paraId="488E49C0">
            <w:pPr>
              <w:rPr>
                <w:rFonts w:ascii="Arial"/>
                <w:sz w:val="21"/>
              </w:rPr>
            </w:pPr>
          </w:p>
        </w:tc>
        <w:tc>
          <w:tcPr>
            <w:tcW w:w="1508" w:type="dxa"/>
            <w:vMerge w:val="restart"/>
            <w:tcBorders>
              <w:bottom w:val="nil"/>
            </w:tcBorders>
            <w:vAlign w:val="top"/>
          </w:tcPr>
          <w:p w14:paraId="76E6F7EA">
            <w:pPr>
              <w:pStyle w:val="6"/>
              <w:spacing w:before="172" w:line="221" w:lineRule="auto"/>
              <w:ind w:left="259"/>
            </w:pPr>
            <w:r>
              <w:rPr>
                <w:spacing w:val="2"/>
              </w:rPr>
              <w:t>4#下南屯</w:t>
            </w:r>
          </w:p>
        </w:tc>
        <w:tc>
          <w:tcPr>
            <w:tcW w:w="1478" w:type="dxa"/>
            <w:vMerge w:val="restart"/>
            <w:tcBorders>
              <w:bottom w:val="nil"/>
            </w:tcBorders>
            <w:vAlign w:val="top"/>
          </w:tcPr>
          <w:p w14:paraId="0902EFBA">
            <w:pPr>
              <w:pStyle w:val="6"/>
              <w:spacing w:before="194" w:line="239" w:lineRule="auto"/>
              <w:ind w:left="131"/>
            </w:pPr>
            <w:r>
              <w:rPr>
                <w:spacing w:val="-2"/>
              </w:rPr>
              <w:t>2024.07.16</w:t>
            </w:r>
          </w:p>
        </w:tc>
        <w:tc>
          <w:tcPr>
            <w:tcW w:w="1338" w:type="dxa"/>
            <w:vAlign w:val="top"/>
          </w:tcPr>
          <w:p w14:paraId="58D847C2">
            <w:pPr>
              <w:pStyle w:val="6"/>
              <w:spacing w:before="44" w:line="169" w:lineRule="auto"/>
              <w:ind w:left="424"/>
            </w:pPr>
            <w:r>
              <w:rPr>
                <w:spacing w:val="11"/>
              </w:rPr>
              <w:t>昼间</w:t>
            </w:r>
          </w:p>
        </w:tc>
        <w:tc>
          <w:tcPr>
            <w:tcW w:w="1378" w:type="dxa"/>
            <w:vAlign w:val="top"/>
          </w:tcPr>
          <w:p w14:paraId="64C6520F">
            <w:pPr>
              <w:pStyle w:val="6"/>
              <w:spacing w:before="64" w:line="199" w:lineRule="exact"/>
              <w:ind w:left="565"/>
            </w:pPr>
            <w:r>
              <w:rPr>
                <w:spacing w:val="-3"/>
                <w:position w:val="-2"/>
              </w:rPr>
              <w:t>46</w:t>
            </w:r>
          </w:p>
        </w:tc>
        <w:tc>
          <w:tcPr>
            <w:tcW w:w="1458" w:type="dxa"/>
            <w:vAlign w:val="top"/>
          </w:tcPr>
          <w:p w14:paraId="63D592CC">
            <w:pPr>
              <w:pStyle w:val="6"/>
              <w:spacing w:before="64" w:line="199" w:lineRule="exact"/>
              <w:ind w:left="607"/>
            </w:pPr>
            <w:r>
              <w:rPr>
                <w:spacing w:val="-4"/>
                <w:position w:val="-2"/>
              </w:rPr>
              <w:t>55</w:t>
            </w:r>
          </w:p>
        </w:tc>
        <w:tc>
          <w:tcPr>
            <w:tcW w:w="1329" w:type="dxa"/>
            <w:vAlign w:val="top"/>
          </w:tcPr>
          <w:p w14:paraId="543C8153">
            <w:pPr>
              <w:pStyle w:val="6"/>
              <w:spacing w:before="41" w:line="171" w:lineRule="auto"/>
              <w:ind w:left="419"/>
            </w:pPr>
            <w:r>
              <w:rPr>
                <w:spacing w:val="-3"/>
              </w:rPr>
              <w:t>达标</w:t>
            </w:r>
          </w:p>
        </w:tc>
        <w:tc>
          <w:tcPr>
            <w:tcW w:w="152" w:type="dxa"/>
            <w:tcBorders>
              <w:top w:val="nil"/>
              <w:bottom w:val="nil"/>
            </w:tcBorders>
            <w:vAlign w:val="top"/>
          </w:tcPr>
          <w:p w14:paraId="31C6CE11">
            <w:pPr>
              <w:rPr>
                <w:rFonts w:ascii="Arial"/>
                <w:sz w:val="21"/>
              </w:rPr>
            </w:pPr>
          </w:p>
        </w:tc>
      </w:tr>
      <w:tr w14:paraId="39B66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315" w:type="dxa"/>
            <w:vMerge w:val="continue"/>
            <w:tcBorders>
              <w:top w:val="nil"/>
            </w:tcBorders>
            <w:vAlign w:val="top"/>
          </w:tcPr>
          <w:p w14:paraId="6FC41280">
            <w:pPr>
              <w:rPr>
                <w:rFonts w:ascii="Arial"/>
                <w:sz w:val="21"/>
              </w:rPr>
            </w:pPr>
          </w:p>
        </w:tc>
        <w:tc>
          <w:tcPr>
            <w:tcW w:w="120" w:type="dxa"/>
            <w:tcBorders>
              <w:top w:val="nil"/>
            </w:tcBorders>
            <w:vAlign w:val="top"/>
          </w:tcPr>
          <w:p w14:paraId="445091CD">
            <w:pPr>
              <w:rPr>
                <w:rFonts w:ascii="Arial"/>
                <w:sz w:val="21"/>
              </w:rPr>
            </w:pPr>
          </w:p>
        </w:tc>
        <w:tc>
          <w:tcPr>
            <w:tcW w:w="1508" w:type="dxa"/>
            <w:vMerge w:val="continue"/>
            <w:tcBorders>
              <w:top w:val="nil"/>
            </w:tcBorders>
            <w:vAlign w:val="top"/>
          </w:tcPr>
          <w:p w14:paraId="0CA606A2">
            <w:pPr>
              <w:rPr>
                <w:rFonts w:ascii="Arial"/>
                <w:sz w:val="21"/>
              </w:rPr>
            </w:pPr>
          </w:p>
        </w:tc>
        <w:tc>
          <w:tcPr>
            <w:tcW w:w="1478" w:type="dxa"/>
            <w:vMerge w:val="continue"/>
            <w:tcBorders>
              <w:top w:val="nil"/>
            </w:tcBorders>
            <w:vAlign w:val="top"/>
          </w:tcPr>
          <w:p w14:paraId="693240AA">
            <w:pPr>
              <w:rPr>
                <w:rFonts w:ascii="Arial"/>
                <w:sz w:val="21"/>
              </w:rPr>
            </w:pPr>
          </w:p>
        </w:tc>
        <w:tc>
          <w:tcPr>
            <w:tcW w:w="1338" w:type="dxa"/>
            <w:vAlign w:val="top"/>
          </w:tcPr>
          <w:p w14:paraId="64925024">
            <w:pPr>
              <w:pStyle w:val="6"/>
              <w:spacing w:before="56" w:line="165" w:lineRule="auto"/>
              <w:ind w:left="424"/>
            </w:pPr>
            <w:r>
              <w:rPr>
                <w:spacing w:val="11"/>
              </w:rPr>
              <w:t>夜间</w:t>
            </w:r>
          </w:p>
        </w:tc>
        <w:tc>
          <w:tcPr>
            <w:tcW w:w="1378" w:type="dxa"/>
            <w:vAlign w:val="top"/>
          </w:tcPr>
          <w:p w14:paraId="01FA28BC">
            <w:pPr>
              <w:pStyle w:val="6"/>
              <w:spacing w:before="80" w:line="191" w:lineRule="exact"/>
              <w:ind w:left="565"/>
            </w:pPr>
            <w:r>
              <w:rPr>
                <w:spacing w:val="-4"/>
                <w:position w:val="-3"/>
              </w:rPr>
              <w:t>35</w:t>
            </w:r>
          </w:p>
        </w:tc>
        <w:tc>
          <w:tcPr>
            <w:tcW w:w="1458" w:type="dxa"/>
            <w:vAlign w:val="top"/>
          </w:tcPr>
          <w:p w14:paraId="14FBEDA3">
            <w:pPr>
              <w:pStyle w:val="6"/>
              <w:spacing w:before="80" w:line="191" w:lineRule="exact"/>
              <w:ind w:left="607"/>
            </w:pPr>
            <w:r>
              <w:rPr>
                <w:spacing w:val="-3"/>
                <w:position w:val="-3"/>
              </w:rPr>
              <w:t>45</w:t>
            </w:r>
          </w:p>
        </w:tc>
        <w:tc>
          <w:tcPr>
            <w:tcW w:w="1329" w:type="dxa"/>
            <w:vAlign w:val="top"/>
          </w:tcPr>
          <w:p w14:paraId="305B7A54">
            <w:pPr>
              <w:pStyle w:val="6"/>
              <w:spacing w:before="57" w:line="164" w:lineRule="auto"/>
              <w:ind w:left="419"/>
            </w:pPr>
            <w:r>
              <w:rPr>
                <w:spacing w:val="-3"/>
              </w:rPr>
              <w:t>达标</w:t>
            </w:r>
          </w:p>
        </w:tc>
        <w:tc>
          <w:tcPr>
            <w:tcW w:w="152" w:type="dxa"/>
            <w:tcBorders>
              <w:top w:val="nil"/>
            </w:tcBorders>
            <w:vAlign w:val="top"/>
          </w:tcPr>
          <w:p w14:paraId="60AC5965">
            <w:pPr>
              <w:rPr>
                <w:rFonts w:ascii="Arial"/>
                <w:sz w:val="21"/>
              </w:rPr>
            </w:pPr>
          </w:p>
        </w:tc>
      </w:tr>
    </w:tbl>
    <w:p w14:paraId="4694E0A5">
      <w:pPr>
        <w:pStyle w:val="2"/>
      </w:pPr>
    </w:p>
    <w:p w14:paraId="50FB4A38">
      <w:pPr>
        <w:sectPr>
          <w:footerReference r:id="rId69" w:type="default"/>
          <w:pgSz w:w="11910" w:h="16840"/>
          <w:pgMar w:top="1431" w:right="1418" w:bottom="1234" w:left="1405" w:header="0" w:footer="1099" w:gutter="0"/>
          <w:cols w:space="720" w:num="1"/>
        </w:sectPr>
      </w:pPr>
    </w:p>
    <w:p w14:paraId="2132BB97">
      <w:pPr>
        <w:spacing w:line="93" w:lineRule="exact"/>
      </w:pPr>
    </w:p>
    <w:tbl>
      <w:tblPr>
        <w:tblStyle w:val="5"/>
        <w:tblW w:w="90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
        <w:gridCol w:w="110"/>
        <w:gridCol w:w="1478"/>
        <w:gridCol w:w="1458"/>
        <w:gridCol w:w="1359"/>
        <w:gridCol w:w="1418"/>
        <w:gridCol w:w="1458"/>
        <w:gridCol w:w="1309"/>
        <w:gridCol w:w="157"/>
      </w:tblGrid>
      <w:tr w14:paraId="26EAB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25" w:type="dxa"/>
            <w:vMerge w:val="restart"/>
            <w:tcBorders>
              <w:bottom w:val="nil"/>
            </w:tcBorders>
            <w:vAlign w:val="top"/>
          </w:tcPr>
          <w:p w14:paraId="7EB8154E">
            <w:pPr>
              <w:rPr>
                <w:rFonts w:ascii="Arial"/>
                <w:sz w:val="21"/>
              </w:rPr>
            </w:pPr>
          </w:p>
        </w:tc>
        <w:tc>
          <w:tcPr>
            <w:tcW w:w="110" w:type="dxa"/>
            <w:tcBorders>
              <w:bottom w:val="nil"/>
            </w:tcBorders>
            <w:vAlign w:val="top"/>
          </w:tcPr>
          <w:p w14:paraId="29853946">
            <w:pPr>
              <w:rPr>
                <w:rFonts w:ascii="Arial"/>
                <w:sz w:val="21"/>
              </w:rPr>
            </w:pPr>
          </w:p>
        </w:tc>
        <w:tc>
          <w:tcPr>
            <w:tcW w:w="1478" w:type="dxa"/>
            <w:vMerge w:val="restart"/>
            <w:tcBorders>
              <w:bottom w:val="nil"/>
            </w:tcBorders>
            <w:vAlign w:val="top"/>
          </w:tcPr>
          <w:p w14:paraId="6BB55909">
            <w:pPr>
              <w:pStyle w:val="6"/>
              <w:spacing w:before="178" w:line="221" w:lineRule="auto"/>
              <w:ind w:left="249"/>
            </w:pPr>
            <w:r>
              <w:rPr>
                <w:spacing w:val="2"/>
              </w:rPr>
              <w:t>5#照合铺</w:t>
            </w:r>
          </w:p>
        </w:tc>
        <w:tc>
          <w:tcPr>
            <w:tcW w:w="1458" w:type="dxa"/>
            <w:vMerge w:val="restart"/>
            <w:tcBorders>
              <w:bottom w:val="nil"/>
            </w:tcBorders>
            <w:vAlign w:val="top"/>
          </w:tcPr>
          <w:p w14:paraId="2B6CB554">
            <w:pPr>
              <w:pStyle w:val="6"/>
              <w:spacing w:before="198" w:line="239" w:lineRule="auto"/>
              <w:ind w:left="121"/>
            </w:pPr>
            <w:r>
              <w:rPr>
                <w:spacing w:val="-2"/>
              </w:rPr>
              <w:t>2024.07.16</w:t>
            </w:r>
          </w:p>
        </w:tc>
        <w:tc>
          <w:tcPr>
            <w:tcW w:w="1359" w:type="dxa"/>
            <w:vAlign w:val="top"/>
          </w:tcPr>
          <w:p w14:paraId="70265540">
            <w:pPr>
              <w:pStyle w:val="6"/>
              <w:spacing w:before="27" w:line="181" w:lineRule="auto"/>
              <w:ind w:left="434"/>
            </w:pPr>
            <w:r>
              <w:rPr>
                <w:spacing w:val="11"/>
              </w:rPr>
              <w:t>昼间</w:t>
            </w:r>
          </w:p>
        </w:tc>
        <w:tc>
          <w:tcPr>
            <w:tcW w:w="1418" w:type="dxa"/>
            <w:vAlign w:val="top"/>
          </w:tcPr>
          <w:p w14:paraId="41A99F23">
            <w:pPr>
              <w:pStyle w:val="6"/>
              <w:spacing w:before="48" w:line="165" w:lineRule="auto"/>
              <w:ind w:left="584"/>
            </w:pPr>
            <w:r>
              <w:rPr>
                <w:spacing w:val="-3"/>
              </w:rPr>
              <w:t>47</w:t>
            </w:r>
          </w:p>
        </w:tc>
        <w:tc>
          <w:tcPr>
            <w:tcW w:w="1458" w:type="dxa"/>
            <w:vAlign w:val="top"/>
          </w:tcPr>
          <w:p w14:paraId="5E23F766">
            <w:pPr>
              <w:pStyle w:val="6"/>
              <w:spacing w:before="48" w:line="165" w:lineRule="auto"/>
              <w:ind w:left="606"/>
            </w:pPr>
            <w:r>
              <w:rPr>
                <w:spacing w:val="-4"/>
              </w:rPr>
              <w:t>55</w:t>
            </w:r>
          </w:p>
        </w:tc>
        <w:tc>
          <w:tcPr>
            <w:tcW w:w="1309" w:type="dxa"/>
            <w:vAlign w:val="top"/>
          </w:tcPr>
          <w:p w14:paraId="290B74C7">
            <w:pPr>
              <w:pStyle w:val="6"/>
              <w:spacing w:before="25" w:line="183" w:lineRule="auto"/>
              <w:ind w:left="408"/>
            </w:pPr>
            <w:r>
              <w:rPr>
                <w:spacing w:val="-3"/>
              </w:rPr>
              <w:t>达标</w:t>
            </w:r>
          </w:p>
        </w:tc>
        <w:tc>
          <w:tcPr>
            <w:tcW w:w="157" w:type="dxa"/>
            <w:vMerge w:val="restart"/>
            <w:tcBorders>
              <w:bottom w:val="nil"/>
            </w:tcBorders>
            <w:vAlign w:val="top"/>
          </w:tcPr>
          <w:p w14:paraId="5062C530">
            <w:pPr>
              <w:rPr>
                <w:rFonts w:ascii="Arial"/>
                <w:sz w:val="21"/>
              </w:rPr>
            </w:pPr>
          </w:p>
        </w:tc>
      </w:tr>
      <w:tr w14:paraId="77E43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25" w:type="dxa"/>
            <w:vMerge w:val="continue"/>
            <w:tcBorders>
              <w:top w:val="nil"/>
              <w:bottom w:val="nil"/>
            </w:tcBorders>
            <w:vAlign w:val="top"/>
          </w:tcPr>
          <w:p w14:paraId="2B789058">
            <w:pPr>
              <w:rPr>
                <w:rFonts w:ascii="Arial"/>
                <w:sz w:val="21"/>
              </w:rPr>
            </w:pPr>
          </w:p>
        </w:tc>
        <w:tc>
          <w:tcPr>
            <w:tcW w:w="110" w:type="dxa"/>
            <w:tcBorders>
              <w:top w:val="nil"/>
              <w:bottom w:val="nil"/>
            </w:tcBorders>
            <w:vAlign w:val="top"/>
          </w:tcPr>
          <w:p w14:paraId="3A7C8EE3">
            <w:pPr>
              <w:rPr>
                <w:rFonts w:ascii="Arial"/>
                <w:sz w:val="21"/>
              </w:rPr>
            </w:pPr>
          </w:p>
        </w:tc>
        <w:tc>
          <w:tcPr>
            <w:tcW w:w="1478" w:type="dxa"/>
            <w:vMerge w:val="continue"/>
            <w:tcBorders>
              <w:top w:val="nil"/>
            </w:tcBorders>
            <w:vAlign w:val="top"/>
          </w:tcPr>
          <w:p w14:paraId="0C3CB113">
            <w:pPr>
              <w:rPr>
                <w:rFonts w:ascii="Arial"/>
                <w:sz w:val="21"/>
              </w:rPr>
            </w:pPr>
          </w:p>
        </w:tc>
        <w:tc>
          <w:tcPr>
            <w:tcW w:w="1458" w:type="dxa"/>
            <w:vMerge w:val="continue"/>
            <w:tcBorders>
              <w:top w:val="nil"/>
            </w:tcBorders>
            <w:vAlign w:val="top"/>
          </w:tcPr>
          <w:p w14:paraId="5B3DB416">
            <w:pPr>
              <w:rPr>
                <w:rFonts w:ascii="Arial"/>
                <w:sz w:val="21"/>
              </w:rPr>
            </w:pPr>
          </w:p>
        </w:tc>
        <w:tc>
          <w:tcPr>
            <w:tcW w:w="1359" w:type="dxa"/>
            <w:vAlign w:val="top"/>
          </w:tcPr>
          <w:p w14:paraId="6F981522">
            <w:pPr>
              <w:pStyle w:val="6"/>
              <w:spacing w:before="41" w:line="193" w:lineRule="auto"/>
              <w:ind w:left="434"/>
            </w:pPr>
            <w:r>
              <w:rPr>
                <w:spacing w:val="11"/>
              </w:rPr>
              <w:t>夜间</w:t>
            </w:r>
          </w:p>
        </w:tc>
        <w:tc>
          <w:tcPr>
            <w:tcW w:w="1418" w:type="dxa"/>
            <w:vAlign w:val="top"/>
          </w:tcPr>
          <w:p w14:paraId="3F2EB7C9">
            <w:pPr>
              <w:pStyle w:val="6"/>
              <w:spacing w:before="65" w:line="174" w:lineRule="auto"/>
              <w:ind w:left="584"/>
            </w:pPr>
            <w:r>
              <w:rPr>
                <w:spacing w:val="-4"/>
              </w:rPr>
              <w:t>37</w:t>
            </w:r>
          </w:p>
        </w:tc>
        <w:tc>
          <w:tcPr>
            <w:tcW w:w="1458" w:type="dxa"/>
            <w:vAlign w:val="top"/>
          </w:tcPr>
          <w:p w14:paraId="6065160E">
            <w:pPr>
              <w:pStyle w:val="6"/>
              <w:spacing w:before="65" w:line="174" w:lineRule="auto"/>
              <w:ind w:left="606"/>
            </w:pPr>
            <w:r>
              <w:rPr>
                <w:spacing w:val="-3"/>
              </w:rPr>
              <w:t>45</w:t>
            </w:r>
          </w:p>
        </w:tc>
        <w:tc>
          <w:tcPr>
            <w:tcW w:w="1309" w:type="dxa"/>
            <w:vAlign w:val="top"/>
          </w:tcPr>
          <w:p w14:paraId="51588D62">
            <w:pPr>
              <w:pStyle w:val="6"/>
              <w:spacing w:before="42" w:line="192" w:lineRule="auto"/>
              <w:ind w:left="408"/>
            </w:pPr>
            <w:r>
              <w:rPr>
                <w:spacing w:val="-3"/>
              </w:rPr>
              <w:t>达标</w:t>
            </w:r>
          </w:p>
        </w:tc>
        <w:tc>
          <w:tcPr>
            <w:tcW w:w="157" w:type="dxa"/>
            <w:vMerge w:val="continue"/>
            <w:tcBorders>
              <w:top w:val="nil"/>
              <w:bottom w:val="nil"/>
            </w:tcBorders>
            <w:vAlign w:val="top"/>
          </w:tcPr>
          <w:p w14:paraId="7CC84B47">
            <w:pPr>
              <w:rPr>
                <w:rFonts w:ascii="Arial"/>
                <w:sz w:val="21"/>
              </w:rPr>
            </w:pPr>
          </w:p>
        </w:tc>
      </w:tr>
      <w:tr w14:paraId="3713E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25" w:type="dxa"/>
            <w:vMerge w:val="continue"/>
            <w:tcBorders>
              <w:top w:val="nil"/>
              <w:bottom w:val="nil"/>
            </w:tcBorders>
            <w:vAlign w:val="top"/>
          </w:tcPr>
          <w:p w14:paraId="66400C34">
            <w:pPr>
              <w:rPr>
                <w:rFonts w:ascii="Arial"/>
                <w:sz w:val="21"/>
              </w:rPr>
            </w:pPr>
          </w:p>
        </w:tc>
        <w:tc>
          <w:tcPr>
            <w:tcW w:w="110" w:type="dxa"/>
            <w:tcBorders>
              <w:top w:val="nil"/>
              <w:bottom w:val="nil"/>
            </w:tcBorders>
            <w:vAlign w:val="top"/>
          </w:tcPr>
          <w:p w14:paraId="4BE24F42">
            <w:pPr>
              <w:spacing w:line="240" w:lineRule="exact"/>
              <w:rPr>
                <w:rFonts w:ascii="Arial"/>
                <w:sz w:val="20"/>
              </w:rPr>
            </w:pPr>
          </w:p>
        </w:tc>
        <w:tc>
          <w:tcPr>
            <w:tcW w:w="1478" w:type="dxa"/>
            <w:vMerge w:val="restart"/>
            <w:tcBorders>
              <w:bottom w:val="nil"/>
            </w:tcBorders>
            <w:vAlign w:val="top"/>
          </w:tcPr>
          <w:p w14:paraId="51441EA1">
            <w:pPr>
              <w:pStyle w:val="6"/>
              <w:spacing w:before="159" w:line="219" w:lineRule="auto"/>
              <w:jc w:val="right"/>
            </w:pPr>
            <w:r>
              <w:rPr>
                <w:spacing w:val="2"/>
              </w:rPr>
              <w:t>6#杨梅沟散户</w:t>
            </w:r>
          </w:p>
        </w:tc>
        <w:tc>
          <w:tcPr>
            <w:tcW w:w="1458" w:type="dxa"/>
            <w:vMerge w:val="restart"/>
            <w:tcBorders>
              <w:bottom w:val="nil"/>
            </w:tcBorders>
            <w:vAlign w:val="top"/>
          </w:tcPr>
          <w:p w14:paraId="54A24F82">
            <w:pPr>
              <w:pStyle w:val="6"/>
              <w:spacing w:before="183" w:line="239" w:lineRule="auto"/>
              <w:ind w:left="121"/>
            </w:pPr>
            <w:r>
              <w:rPr>
                <w:spacing w:val="-2"/>
              </w:rPr>
              <w:t>2024.07.16</w:t>
            </w:r>
          </w:p>
        </w:tc>
        <w:tc>
          <w:tcPr>
            <w:tcW w:w="1359" w:type="dxa"/>
            <w:vAlign w:val="top"/>
          </w:tcPr>
          <w:p w14:paraId="3A7351B3">
            <w:pPr>
              <w:pStyle w:val="6"/>
              <w:spacing w:before="32" w:line="160" w:lineRule="auto"/>
              <w:ind w:left="434"/>
            </w:pPr>
            <w:r>
              <w:rPr>
                <w:spacing w:val="11"/>
              </w:rPr>
              <w:t>昼间</w:t>
            </w:r>
          </w:p>
        </w:tc>
        <w:tc>
          <w:tcPr>
            <w:tcW w:w="1418" w:type="dxa"/>
            <w:vAlign w:val="top"/>
          </w:tcPr>
          <w:p w14:paraId="42AA7D7F">
            <w:pPr>
              <w:pStyle w:val="6"/>
              <w:spacing w:before="53" w:line="187" w:lineRule="exact"/>
              <w:ind w:left="584"/>
            </w:pPr>
            <w:r>
              <w:rPr>
                <w:spacing w:val="-3"/>
                <w:position w:val="-3"/>
              </w:rPr>
              <w:t>45</w:t>
            </w:r>
          </w:p>
        </w:tc>
        <w:tc>
          <w:tcPr>
            <w:tcW w:w="1458" w:type="dxa"/>
            <w:vAlign w:val="top"/>
          </w:tcPr>
          <w:p w14:paraId="445E9C5A">
            <w:pPr>
              <w:pStyle w:val="6"/>
              <w:spacing w:before="53" w:line="187" w:lineRule="exact"/>
              <w:ind w:left="606"/>
            </w:pPr>
            <w:r>
              <w:rPr>
                <w:spacing w:val="-4"/>
                <w:position w:val="-3"/>
              </w:rPr>
              <w:t>55</w:t>
            </w:r>
          </w:p>
        </w:tc>
        <w:tc>
          <w:tcPr>
            <w:tcW w:w="1309" w:type="dxa"/>
            <w:vAlign w:val="top"/>
          </w:tcPr>
          <w:p w14:paraId="642230E0">
            <w:pPr>
              <w:pStyle w:val="6"/>
              <w:spacing w:before="30" w:line="162" w:lineRule="auto"/>
              <w:ind w:left="408"/>
            </w:pPr>
            <w:r>
              <w:rPr>
                <w:spacing w:val="-3"/>
              </w:rPr>
              <w:t>达标</w:t>
            </w:r>
          </w:p>
        </w:tc>
        <w:tc>
          <w:tcPr>
            <w:tcW w:w="157" w:type="dxa"/>
            <w:vMerge w:val="continue"/>
            <w:tcBorders>
              <w:top w:val="nil"/>
              <w:bottom w:val="nil"/>
            </w:tcBorders>
            <w:vAlign w:val="top"/>
          </w:tcPr>
          <w:p w14:paraId="45B0A0F3">
            <w:pPr>
              <w:rPr>
                <w:rFonts w:ascii="Arial"/>
                <w:sz w:val="21"/>
              </w:rPr>
            </w:pPr>
          </w:p>
        </w:tc>
      </w:tr>
      <w:tr w14:paraId="22453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325" w:type="dxa"/>
            <w:vMerge w:val="continue"/>
            <w:tcBorders>
              <w:top w:val="nil"/>
              <w:bottom w:val="nil"/>
            </w:tcBorders>
            <w:vAlign w:val="top"/>
          </w:tcPr>
          <w:p w14:paraId="09138851">
            <w:pPr>
              <w:rPr>
                <w:rFonts w:ascii="Arial"/>
                <w:sz w:val="21"/>
              </w:rPr>
            </w:pPr>
          </w:p>
        </w:tc>
        <w:tc>
          <w:tcPr>
            <w:tcW w:w="110" w:type="dxa"/>
            <w:tcBorders>
              <w:top w:val="nil"/>
            </w:tcBorders>
            <w:vAlign w:val="top"/>
          </w:tcPr>
          <w:p w14:paraId="6973B480">
            <w:pPr>
              <w:rPr>
                <w:rFonts w:ascii="Arial"/>
                <w:sz w:val="21"/>
              </w:rPr>
            </w:pPr>
          </w:p>
        </w:tc>
        <w:tc>
          <w:tcPr>
            <w:tcW w:w="1478" w:type="dxa"/>
            <w:vMerge w:val="continue"/>
            <w:tcBorders>
              <w:top w:val="nil"/>
            </w:tcBorders>
            <w:vAlign w:val="top"/>
          </w:tcPr>
          <w:p w14:paraId="1C70D516">
            <w:pPr>
              <w:rPr>
                <w:rFonts w:ascii="Arial"/>
                <w:sz w:val="21"/>
              </w:rPr>
            </w:pPr>
          </w:p>
        </w:tc>
        <w:tc>
          <w:tcPr>
            <w:tcW w:w="1458" w:type="dxa"/>
            <w:vMerge w:val="continue"/>
            <w:tcBorders>
              <w:top w:val="nil"/>
            </w:tcBorders>
            <w:vAlign w:val="top"/>
          </w:tcPr>
          <w:p w14:paraId="235C2186">
            <w:pPr>
              <w:rPr>
                <w:rFonts w:ascii="Arial"/>
                <w:sz w:val="21"/>
              </w:rPr>
            </w:pPr>
          </w:p>
        </w:tc>
        <w:tc>
          <w:tcPr>
            <w:tcW w:w="1359" w:type="dxa"/>
            <w:vAlign w:val="top"/>
          </w:tcPr>
          <w:p w14:paraId="79262F4F">
            <w:pPr>
              <w:pStyle w:val="6"/>
              <w:spacing w:before="28" w:line="192" w:lineRule="auto"/>
              <w:ind w:left="434"/>
            </w:pPr>
            <w:r>
              <w:rPr>
                <w:spacing w:val="11"/>
              </w:rPr>
              <w:t>夜间</w:t>
            </w:r>
          </w:p>
        </w:tc>
        <w:tc>
          <w:tcPr>
            <w:tcW w:w="1418" w:type="dxa"/>
            <w:vAlign w:val="top"/>
          </w:tcPr>
          <w:p w14:paraId="381F7D2E">
            <w:pPr>
              <w:pStyle w:val="6"/>
              <w:spacing w:before="53" w:line="173" w:lineRule="auto"/>
              <w:ind w:left="584"/>
            </w:pPr>
            <w:r>
              <w:rPr>
                <w:spacing w:val="-4"/>
              </w:rPr>
              <w:t>36</w:t>
            </w:r>
          </w:p>
        </w:tc>
        <w:tc>
          <w:tcPr>
            <w:tcW w:w="1458" w:type="dxa"/>
            <w:vAlign w:val="top"/>
          </w:tcPr>
          <w:p w14:paraId="21628015">
            <w:pPr>
              <w:pStyle w:val="6"/>
              <w:spacing w:before="53" w:line="173" w:lineRule="auto"/>
              <w:ind w:left="606"/>
            </w:pPr>
            <w:r>
              <w:rPr>
                <w:spacing w:val="-3"/>
              </w:rPr>
              <w:t>45</w:t>
            </w:r>
          </w:p>
        </w:tc>
        <w:tc>
          <w:tcPr>
            <w:tcW w:w="1309" w:type="dxa"/>
            <w:vAlign w:val="top"/>
          </w:tcPr>
          <w:p w14:paraId="64A925CD">
            <w:pPr>
              <w:pStyle w:val="6"/>
              <w:spacing w:before="29" w:line="191" w:lineRule="auto"/>
              <w:ind w:left="408"/>
            </w:pPr>
            <w:r>
              <w:rPr>
                <w:spacing w:val="-3"/>
              </w:rPr>
              <w:t>达标</w:t>
            </w:r>
          </w:p>
        </w:tc>
        <w:tc>
          <w:tcPr>
            <w:tcW w:w="157" w:type="dxa"/>
            <w:vMerge w:val="continue"/>
            <w:tcBorders>
              <w:top w:val="nil"/>
            </w:tcBorders>
            <w:vAlign w:val="top"/>
          </w:tcPr>
          <w:p w14:paraId="4FDD3965">
            <w:pPr>
              <w:rPr>
                <w:rFonts w:ascii="Arial"/>
                <w:sz w:val="21"/>
              </w:rPr>
            </w:pPr>
          </w:p>
        </w:tc>
      </w:tr>
      <w:tr w14:paraId="7FE7E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7" w:hRule="atLeast"/>
        </w:trPr>
        <w:tc>
          <w:tcPr>
            <w:tcW w:w="325" w:type="dxa"/>
            <w:vMerge w:val="continue"/>
            <w:tcBorders>
              <w:top w:val="nil"/>
              <w:bottom w:val="nil"/>
            </w:tcBorders>
            <w:vAlign w:val="top"/>
          </w:tcPr>
          <w:p w14:paraId="62EEFBFD">
            <w:pPr>
              <w:rPr>
                <w:rFonts w:ascii="Arial"/>
                <w:sz w:val="21"/>
              </w:rPr>
            </w:pPr>
          </w:p>
        </w:tc>
        <w:tc>
          <w:tcPr>
            <w:tcW w:w="8747" w:type="dxa"/>
            <w:gridSpan w:val="8"/>
            <w:vAlign w:val="top"/>
          </w:tcPr>
          <w:p w14:paraId="53083E71">
            <w:pPr>
              <w:pStyle w:val="6"/>
              <w:spacing w:before="161" w:line="360" w:lineRule="auto"/>
              <w:ind w:left="240" w:right="87" w:firstLine="369"/>
            </w:pPr>
            <w:r>
              <w:t>由表3-2可知，项目区域昼间、夜声环境现状值均能满足《声环境质量标</w:t>
            </w:r>
            <w:r>
              <w:rPr>
                <w:spacing w:val="-1"/>
              </w:rPr>
              <w:t>准》</w:t>
            </w:r>
            <w:r>
              <w:t xml:space="preserve"> </w:t>
            </w:r>
            <w:r>
              <w:rPr>
                <w:spacing w:val="-1"/>
              </w:rPr>
              <w:t>(GB3096-2008)1类标准要求。</w:t>
            </w:r>
          </w:p>
          <w:p w14:paraId="65C01279">
            <w:pPr>
              <w:pStyle w:val="6"/>
              <w:spacing w:line="219" w:lineRule="auto"/>
              <w:ind w:left="103"/>
            </w:pPr>
            <w:r>
              <w:rPr>
                <w:b/>
                <w:bCs/>
                <w:spacing w:val="-4"/>
              </w:rPr>
              <w:t>五、环境空气质量现状</w:t>
            </w:r>
          </w:p>
          <w:p w14:paraId="0769E697">
            <w:pPr>
              <w:pStyle w:val="6"/>
              <w:spacing w:before="176" w:line="357" w:lineRule="auto"/>
              <w:ind w:left="100" w:right="94" w:firstLine="609"/>
            </w:pPr>
            <w:r>
              <w:t>项目位于云南省曲靖市马龙区，地处农村地区，属于环境空气二类区，执行</w:t>
            </w:r>
            <w:r>
              <w:rPr>
                <w:spacing w:val="11"/>
              </w:rPr>
              <w:t xml:space="preserve"> </w:t>
            </w:r>
            <w:r>
              <w:t>《空气环境质量标准》(GB3095-2012)及其修改单二级标准。根据《曲靖市环境</w:t>
            </w:r>
          </w:p>
          <w:p w14:paraId="59A3986C">
            <w:pPr>
              <w:pStyle w:val="6"/>
              <w:spacing w:line="361" w:lineRule="auto"/>
              <w:ind w:left="99" w:right="586"/>
            </w:pPr>
            <w:r>
              <w:t>质量年报(2023年)》,2023年，曲靖市中心城区环境空气质量自动监测有效天</w:t>
            </w:r>
            <w:r>
              <w:rPr>
                <w:spacing w:val="9"/>
              </w:rPr>
              <w:t xml:space="preserve"> </w:t>
            </w:r>
            <w:r>
              <w:t>数365天，优181天，良174天，轻度污染10天，环境空气质量优良率97.26</w:t>
            </w:r>
            <w:r>
              <w:rPr>
                <w:spacing w:val="-1"/>
              </w:rPr>
              <w:t>%。</w:t>
            </w:r>
          </w:p>
          <w:p w14:paraId="75B3AAE6">
            <w:pPr>
              <w:pStyle w:val="6"/>
              <w:spacing w:line="169" w:lineRule="auto"/>
              <w:ind w:left="2493"/>
            </w:pPr>
            <w:r>
              <w:rPr>
                <w:b/>
                <w:bCs/>
                <w:spacing w:val="-3"/>
              </w:rPr>
              <w:t>表3-6曲靖市中心城区环境空气质量统计</w:t>
            </w:r>
          </w:p>
        </w:tc>
      </w:tr>
      <w:tr w14:paraId="03F16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325" w:type="dxa"/>
            <w:vMerge w:val="continue"/>
            <w:tcBorders>
              <w:top w:val="nil"/>
              <w:bottom w:val="nil"/>
            </w:tcBorders>
            <w:vAlign w:val="top"/>
          </w:tcPr>
          <w:p w14:paraId="4F4DE9AB">
            <w:pPr>
              <w:rPr>
                <w:rFonts w:ascii="Arial"/>
                <w:sz w:val="21"/>
              </w:rPr>
            </w:pPr>
          </w:p>
        </w:tc>
        <w:tc>
          <w:tcPr>
            <w:tcW w:w="110" w:type="dxa"/>
            <w:tcBorders>
              <w:top w:val="nil"/>
              <w:bottom w:val="nil"/>
            </w:tcBorders>
            <w:vAlign w:val="top"/>
          </w:tcPr>
          <w:p w14:paraId="3AB21428">
            <w:pPr>
              <w:rPr>
                <w:rFonts w:ascii="Arial"/>
                <w:sz w:val="21"/>
              </w:rPr>
            </w:pPr>
          </w:p>
        </w:tc>
        <w:tc>
          <w:tcPr>
            <w:tcW w:w="1478" w:type="dxa"/>
            <w:vAlign w:val="top"/>
          </w:tcPr>
          <w:p w14:paraId="4AA9EB5F">
            <w:pPr>
              <w:pStyle w:val="6"/>
              <w:spacing w:before="302" w:line="214" w:lineRule="auto"/>
              <w:ind w:left="42"/>
              <w:rPr>
                <w:sz w:val="21"/>
                <w:szCs w:val="21"/>
              </w:rPr>
            </w:pPr>
            <w:r>
              <w:rPr>
                <w:b/>
                <w:bCs/>
                <w:spacing w:val="-7"/>
                <w:sz w:val="21"/>
                <w:szCs w:val="21"/>
              </w:rPr>
              <w:t>SO</w:t>
            </w:r>
            <w:r>
              <w:rPr>
                <w:rFonts w:ascii="Calibri" w:hAnsi="Calibri" w:eastAsia="Calibri" w:cs="Calibri"/>
                <w:b/>
                <w:bCs/>
                <w:spacing w:val="-7"/>
                <w:sz w:val="21"/>
                <w:szCs w:val="21"/>
              </w:rPr>
              <w:t xml:space="preserve">₂ </w:t>
            </w:r>
            <w:r>
              <w:rPr>
                <w:b/>
                <w:bCs/>
                <w:spacing w:val="-7"/>
                <w:sz w:val="21"/>
                <w:szCs w:val="21"/>
              </w:rPr>
              <w:t>(μg/m³)</w:t>
            </w:r>
          </w:p>
        </w:tc>
        <w:tc>
          <w:tcPr>
            <w:tcW w:w="1458" w:type="dxa"/>
            <w:vAlign w:val="top"/>
          </w:tcPr>
          <w:p w14:paraId="3BD30348">
            <w:pPr>
              <w:pStyle w:val="6"/>
              <w:spacing w:before="302" w:line="214" w:lineRule="auto"/>
              <w:ind w:left="25"/>
              <w:rPr>
                <w:sz w:val="21"/>
                <w:szCs w:val="21"/>
              </w:rPr>
            </w:pPr>
            <w:r>
              <w:rPr>
                <w:b/>
                <w:bCs/>
                <w:spacing w:val="-6"/>
                <w:sz w:val="21"/>
                <w:szCs w:val="21"/>
              </w:rPr>
              <w:t>NO</w:t>
            </w:r>
            <w:r>
              <w:rPr>
                <w:rFonts w:ascii="Calibri" w:hAnsi="Calibri" w:eastAsia="Calibri" w:cs="Calibri"/>
                <w:b/>
                <w:bCs/>
                <w:spacing w:val="-6"/>
                <w:sz w:val="21"/>
                <w:szCs w:val="21"/>
              </w:rPr>
              <w:t xml:space="preserve">₂ </w:t>
            </w:r>
            <w:r>
              <w:rPr>
                <w:b/>
                <w:bCs/>
                <w:spacing w:val="-6"/>
                <w:sz w:val="21"/>
                <w:szCs w:val="21"/>
              </w:rPr>
              <w:t>(μg/m³)</w:t>
            </w:r>
          </w:p>
        </w:tc>
        <w:tc>
          <w:tcPr>
            <w:tcW w:w="1359" w:type="dxa"/>
            <w:vAlign w:val="top"/>
          </w:tcPr>
          <w:p w14:paraId="221C0C08">
            <w:pPr>
              <w:pStyle w:val="6"/>
              <w:spacing w:before="171" w:line="203" w:lineRule="auto"/>
              <w:ind w:left="406"/>
              <w:rPr>
                <w:sz w:val="21"/>
                <w:szCs w:val="21"/>
              </w:rPr>
            </w:pPr>
            <w:r>
              <w:rPr>
                <w:b/>
                <w:bCs/>
                <w:spacing w:val="-3"/>
                <w:sz w:val="21"/>
                <w:szCs w:val="21"/>
              </w:rPr>
              <w:t>PM</w:t>
            </w:r>
            <w:r>
              <w:rPr>
                <w:rFonts w:ascii="Calibri" w:hAnsi="Calibri" w:eastAsia="Calibri" w:cs="Calibri"/>
                <w:b/>
                <w:bCs/>
                <w:spacing w:val="-3"/>
                <w:sz w:val="21"/>
                <w:szCs w:val="21"/>
              </w:rPr>
              <w:t>₁</w:t>
            </w:r>
            <w:r>
              <w:rPr>
                <w:b/>
                <w:bCs/>
                <w:spacing w:val="-3"/>
                <w:sz w:val="21"/>
                <w:szCs w:val="21"/>
              </w:rPr>
              <w:t>0</w:t>
            </w:r>
          </w:p>
          <w:p w14:paraId="043B4F9C">
            <w:pPr>
              <w:pStyle w:val="6"/>
              <w:spacing w:line="213" w:lineRule="auto"/>
              <w:ind w:left="197"/>
              <w:rPr>
                <w:sz w:val="21"/>
                <w:szCs w:val="21"/>
              </w:rPr>
            </w:pPr>
            <w:r>
              <w:rPr>
                <w:b/>
                <w:bCs/>
                <w:spacing w:val="-8"/>
                <w:sz w:val="21"/>
                <w:szCs w:val="21"/>
              </w:rPr>
              <w:t>(μg/m³)</w:t>
            </w:r>
          </w:p>
        </w:tc>
        <w:tc>
          <w:tcPr>
            <w:tcW w:w="1418" w:type="dxa"/>
            <w:vAlign w:val="top"/>
          </w:tcPr>
          <w:p w14:paraId="7597D2F7">
            <w:pPr>
              <w:pStyle w:val="6"/>
              <w:spacing w:before="302" w:line="214" w:lineRule="auto"/>
              <w:ind w:left="17"/>
              <w:rPr>
                <w:sz w:val="21"/>
                <w:szCs w:val="21"/>
              </w:rPr>
            </w:pPr>
            <w:r>
              <w:rPr>
                <w:b/>
                <w:bCs/>
                <w:spacing w:val="-3"/>
                <w:sz w:val="21"/>
                <w:szCs w:val="21"/>
              </w:rPr>
              <w:t>PM2s(μg/m³)</w:t>
            </w:r>
          </w:p>
        </w:tc>
        <w:tc>
          <w:tcPr>
            <w:tcW w:w="1458" w:type="dxa"/>
            <w:vAlign w:val="top"/>
          </w:tcPr>
          <w:p w14:paraId="3401CAB5">
            <w:pPr>
              <w:pStyle w:val="6"/>
              <w:spacing w:before="168" w:line="214" w:lineRule="auto"/>
              <w:ind w:left="100" w:right="48"/>
              <w:rPr>
                <w:sz w:val="21"/>
                <w:szCs w:val="21"/>
              </w:rPr>
            </w:pPr>
            <w:r>
              <w:rPr>
                <w:b/>
                <w:bCs/>
                <w:sz w:val="21"/>
                <w:szCs w:val="21"/>
              </w:rPr>
              <w:t>CO</w:t>
            </w:r>
            <w:r>
              <w:rPr>
                <w:b/>
                <w:bCs/>
                <w:spacing w:val="39"/>
                <w:sz w:val="21"/>
                <w:szCs w:val="21"/>
              </w:rPr>
              <w:t>第95百分</w:t>
            </w:r>
            <w:r>
              <w:rPr>
                <w:spacing w:val="1"/>
                <w:sz w:val="21"/>
                <w:szCs w:val="21"/>
              </w:rPr>
              <w:t xml:space="preserve"> </w:t>
            </w:r>
            <w:r>
              <w:rPr>
                <w:b/>
                <w:bCs/>
                <w:spacing w:val="17"/>
                <w:sz w:val="21"/>
                <w:szCs w:val="21"/>
              </w:rPr>
              <w:t>位数(</w:t>
            </w:r>
            <w:r>
              <w:rPr>
                <w:b/>
                <w:bCs/>
                <w:sz w:val="21"/>
                <w:szCs w:val="21"/>
              </w:rPr>
              <w:t>mg</w:t>
            </w:r>
            <w:r>
              <w:rPr>
                <w:b/>
                <w:bCs/>
                <w:spacing w:val="17"/>
                <w:sz w:val="21"/>
                <w:szCs w:val="21"/>
              </w:rPr>
              <w:t>/m³)</w:t>
            </w:r>
          </w:p>
        </w:tc>
        <w:tc>
          <w:tcPr>
            <w:tcW w:w="1309" w:type="dxa"/>
            <w:vAlign w:val="top"/>
          </w:tcPr>
          <w:p w14:paraId="33695C98">
            <w:pPr>
              <w:pStyle w:val="6"/>
              <w:spacing w:before="30" w:line="228" w:lineRule="auto"/>
              <w:ind w:left="181" w:right="179"/>
              <w:jc w:val="both"/>
              <w:rPr>
                <w:sz w:val="21"/>
                <w:szCs w:val="21"/>
              </w:rPr>
            </w:pPr>
            <w:r>
              <w:rPr>
                <w:b/>
                <w:bCs/>
                <w:spacing w:val="-4"/>
                <w:sz w:val="21"/>
                <w:szCs w:val="21"/>
              </w:rPr>
              <w:t>O3-8h第90</w:t>
            </w:r>
            <w:r>
              <w:rPr>
                <w:spacing w:val="6"/>
                <w:sz w:val="21"/>
                <w:szCs w:val="21"/>
              </w:rPr>
              <w:t xml:space="preserve"> </w:t>
            </w:r>
            <w:r>
              <w:rPr>
                <w:b/>
                <w:bCs/>
                <w:spacing w:val="6"/>
                <w:sz w:val="21"/>
                <w:szCs w:val="21"/>
              </w:rPr>
              <w:t>百分位数</w:t>
            </w:r>
            <w:r>
              <w:rPr>
                <w:sz w:val="21"/>
                <w:szCs w:val="21"/>
              </w:rPr>
              <w:t xml:space="preserve"> </w:t>
            </w:r>
            <w:r>
              <w:rPr>
                <w:b/>
                <w:bCs/>
                <w:spacing w:val="-8"/>
                <w:sz w:val="21"/>
                <w:szCs w:val="21"/>
              </w:rPr>
              <w:t>(μg/m³)</w:t>
            </w:r>
          </w:p>
        </w:tc>
        <w:tc>
          <w:tcPr>
            <w:tcW w:w="157" w:type="dxa"/>
            <w:vMerge w:val="restart"/>
            <w:tcBorders>
              <w:top w:val="nil"/>
              <w:bottom w:val="nil"/>
            </w:tcBorders>
            <w:vAlign w:val="top"/>
          </w:tcPr>
          <w:p w14:paraId="3069D112">
            <w:pPr>
              <w:rPr>
                <w:rFonts w:ascii="Arial"/>
                <w:sz w:val="21"/>
              </w:rPr>
            </w:pPr>
          </w:p>
        </w:tc>
      </w:tr>
      <w:tr w14:paraId="72E97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25" w:type="dxa"/>
            <w:vMerge w:val="continue"/>
            <w:tcBorders>
              <w:top w:val="nil"/>
              <w:bottom w:val="nil"/>
            </w:tcBorders>
            <w:vAlign w:val="top"/>
          </w:tcPr>
          <w:p w14:paraId="3DC6640A">
            <w:pPr>
              <w:rPr>
                <w:rFonts w:ascii="Arial"/>
                <w:sz w:val="21"/>
              </w:rPr>
            </w:pPr>
          </w:p>
        </w:tc>
        <w:tc>
          <w:tcPr>
            <w:tcW w:w="110" w:type="dxa"/>
            <w:tcBorders>
              <w:top w:val="nil"/>
              <w:bottom w:val="nil"/>
            </w:tcBorders>
            <w:vAlign w:val="top"/>
          </w:tcPr>
          <w:p w14:paraId="7E090B62">
            <w:pPr>
              <w:rPr>
                <w:rFonts w:ascii="Arial"/>
                <w:sz w:val="21"/>
              </w:rPr>
            </w:pPr>
          </w:p>
        </w:tc>
        <w:tc>
          <w:tcPr>
            <w:tcW w:w="1478" w:type="dxa"/>
            <w:vAlign w:val="top"/>
          </w:tcPr>
          <w:p w14:paraId="187C2804">
            <w:pPr>
              <w:pStyle w:val="6"/>
              <w:spacing w:before="262"/>
              <w:ind w:left="673"/>
              <w:rPr>
                <w:sz w:val="21"/>
                <w:szCs w:val="21"/>
              </w:rPr>
            </w:pPr>
            <w:r>
              <w:rPr>
                <w:b/>
                <w:bCs/>
                <w:spacing w:val="-3"/>
                <w:sz w:val="21"/>
                <w:szCs w:val="21"/>
              </w:rPr>
              <w:t>8</w:t>
            </w:r>
          </w:p>
        </w:tc>
        <w:tc>
          <w:tcPr>
            <w:tcW w:w="1458" w:type="dxa"/>
            <w:vAlign w:val="top"/>
          </w:tcPr>
          <w:p w14:paraId="27DE0AE8">
            <w:pPr>
              <w:pStyle w:val="6"/>
              <w:spacing w:before="262"/>
              <w:ind w:left="654"/>
              <w:rPr>
                <w:sz w:val="21"/>
                <w:szCs w:val="21"/>
              </w:rPr>
            </w:pPr>
            <w:r>
              <w:rPr>
                <w:b/>
                <w:bCs/>
                <w:spacing w:val="-9"/>
                <w:sz w:val="21"/>
                <w:szCs w:val="21"/>
              </w:rPr>
              <w:t>18</w:t>
            </w:r>
          </w:p>
        </w:tc>
        <w:tc>
          <w:tcPr>
            <w:tcW w:w="1359" w:type="dxa"/>
            <w:vAlign w:val="top"/>
          </w:tcPr>
          <w:p w14:paraId="4F349FF2">
            <w:pPr>
              <w:pStyle w:val="6"/>
              <w:spacing w:before="262"/>
              <w:ind w:left="566"/>
              <w:rPr>
                <w:sz w:val="21"/>
                <w:szCs w:val="21"/>
              </w:rPr>
            </w:pPr>
            <w:r>
              <w:rPr>
                <w:b/>
                <w:bCs/>
                <w:spacing w:val="-6"/>
                <w:sz w:val="21"/>
                <w:szCs w:val="21"/>
              </w:rPr>
              <w:t>36</w:t>
            </w:r>
          </w:p>
        </w:tc>
        <w:tc>
          <w:tcPr>
            <w:tcW w:w="1418" w:type="dxa"/>
            <w:vAlign w:val="top"/>
          </w:tcPr>
          <w:p w14:paraId="32F48A78">
            <w:pPr>
              <w:pStyle w:val="6"/>
              <w:spacing w:before="264" w:line="241" w:lineRule="auto"/>
              <w:ind w:left="597"/>
              <w:rPr>
                <w:sz w:val="21"/>
                <w:szCs w:val="21"/>
              </w:rPr>
            </w:pPr>
            <w:r>
              <w:rPr>
                <w:b/>
                <w:bCs/>
                <w:spacing w:val="-5"/>
                <w:sz w:val="21"/>
                <w:szCs w:val="21"/>
              </w:rPr>
              <w:t>22</w:t>
            </w:r>
          </w:p>
        </w:tc>
        <w:tc>
          <w:tcPr>
            <w:tcW w:w="1458" w:type="dxa"/>
            <w:vAlign w:val="top"/>
          </w:tcPr>
          <w:p w14:paraId="550524A1">
            <w:pPr>
              <w:pStyle w:val="6"/>
              <w:spacing w:before="262" w:line="239" w:lineRule="auto"/>
              <w:ind w:left="569"/>
              <w:rPr>
                <w:sz w:val="21"/>
                <w:szCs w:val="21"/>
              </w:rPr>
            </w:pPr>
            <w:r>
              <w:rPr>
                <w:b/>
                <w:bCs/>
                <w:spacing w:val="-5"/>
                <w:sz w:val="21"/>
                <w:szCs w:val="21"/>
              </w:rPr>
              <w:t>0.8</w:t>
            </w:r>
          </w:p>
        </w:tc>
        <w:tc>
          <w:tcPr>
            <w:tcW w:w="1309" w:type="dxa"/>
            <w:vAlign w:val="top"/>
          </w:tcPr>
          <w:p w14:paraId="170F6970">
            <w:pPr>
              <w:pStyle w:val="6"/>
              <w:spacing w:before="262"/>
              <w:ind w:left="552"/>
              <w:rPr>
                <w:sz w:val="21"/>
                <w:szCs w:val="21"/>
              </w:rPr>
            </w:pPr>
            <w:r>
              <w:rPr>
                <w:b/>
                <w:bCs/>
                <w:spacing w:val="-5"/>
                <w:sz w:val="21"/>
                <w:szCs w:val="21"/>
              </w:rPr>
              <w:t>85</w:t>
            </w:r>
          </w:p>
        </w:tc>
        <w:tc>
          <w:tcPr>
            <w:tcW w:w="157" w:type="dxa"/>
            <w:vMerge w:val="continue"/>
            <w:tcBorders>
              <w:top w:val="nil"/>
              <w:bottom w:val="nil"/>
            </w:tcBorders>
            <w:vAlign w:val="top"/>
          </w:tcPr>
          <w:p w14:paraId="18D11F67">
            <w:pPr>
              <w:rPr>
                <w:rFonts w:ascii="Arial"/>
                <w:sz w:val="21"/>
              </w:rPr>
            </w:pPr>
          </w:p>
        </w:tc>
      </w:tr>
      <w:tr w14:paraId="7BB0E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0" w:hRule="atLeast"/>
        </w:trPr>
        <w:tc>
          <w:tcPr>
            <w:tcW w:w="325" w:type="dxa"/>
            <w:vMerge w:val="continue"/>
            <w:tcBorders>
              <w:top w:val="nil"/>
            </w:tcBorders>
            <w:vAlign w:val="top"/>
          </w:tcPr>
          <w:p w14:paraId="065B755B">
            <w:pPr>
              <w:rPr>
                <w:rFonts w:ascii="Arial"/>
                <w:sz w:val="21"/>
              </w:rPr>
            </w:pPr>
          </w:p>
        </w:tc>
        <w:tc>
          <w:tcPr>
            <w:tcW w:w="8747" w:type="dxa"/>
            <w:gridSpan w:val="8"/>
            <w:vAlign w:val="top"/>
          </w:tcPr>
          <w:p w14:paraId="45F9EF42">
            <w:pPr>
              <w:pStyle w:val="6"/>
              <w:spacing w:before="62" w:line="216" w:lineRule="auto"/>
              <w:ind w:left="579"/>
            </w:pPr>
            <w:r>
              <w:t>根据《曲靖市环境质量年报》(2023年),曲靖市城区环境空气基本污染物</w:t>
            </w:r>
          </w:p>
          <w:p w14:paraId="07B4FB35">
            <w:pPr>
              <w:pStyle w:val="6"/>
              <w:spacing w:before="181" w:line="219" w:lineRule="auto"/>
              <w:ind w:left="89"/>
            </w:pPr>
            <w:r>
              <w:t>SO</w:t>
            </w:r>
            <w:r>
              <w:rPr>
                <w:rFonts w:ascii="Calibri" w:hAnsi="Calibri" w:eastAsia="Calibri" w:cs="Calibri"/>
                <w:spacing w:val="10"/>
              </w:rPr>
              <w:t>₂</w:t>
            </w:r>
            <w:r>
              <w:rPr>
                <w:rFonts w:ascii="Calibri" w:hAnsi="Calibri" w:eastAsia="Calibri" w:cs="Calibri"/>
                <w:spacing w:val="-28"/>
              </w:rPr>
              <w:t xml:space="preserve"> </w:t>
            </w:r>
            <w:r>
              <w:rPr>
                <w:spacing w:val="10"/>
              </w:rPr>
              <w:t>、</w:t>
            </w:r>
            <w:r>
              <w:t>NO</w:t>
            </w:r>
            <w:r>
              <w:rPr>
                <w:rFonts w:ascii="Calibri" w:hAnsi="Calibri" w:eastAsia="Calibri" w:cs="Calibri"/>
                <w:spacing w:val="10"/>
              </w:rPr>
              <w:t>₂</w:t>
            </w:r>
            <w:r>
              <w:rPr>
                <w:rFonts w:ascii="Calibri" w:hAnsi="Calibri" w:eastAsia="Calibri" w:cs="Calibri"/>
                <w:spacing w:val="-28"/>
              </w:rPr>
              <w:t xml:space="preserve"> </w:t>
            </w:r>
            <w:r>
              <w:rPr>
                <w:spacing w:val="10"/>
              </w:rPr>
              <w:t>、</w:t>
            </w:r>
            <w:r>
              <w:t>CO</w:t>
            </w:r>
            <w:r>
              <w:rPr>
                <w:spacing w:val="10"/>
              </w:rPr>
              <w:t>、O</w:t>
            </w:r>
            <w:r>
              <w:rPr>
                <w:rFonts w:ascii="Calibri" w:hAnsi="Calibri" w:eastAsia="Calibri" w:cs="Calibri"/>
                <w:spacing w:val="10"/>
              </w:rPr>
              <w:t>₃</w:t>
            </w:r>
            <w:r>
              <w:rPr>
                <w:rFonts w:ascii="Calibri" w:hAnsi="Calibri" w:eastAsia="Calibri" w:cs="Calibri"/>
                <w:spacing w:val="-29"/>
              </w:rPr>
              <w:t xml:space="preserve"> </w:t>
            </w:r>
            <w:r>
              <w:rPr>
                <w:spacing w:val="10"/>
              </w:rPr>
              <w:t>、</w:t>
            </w:r>
            <w:r>
              <w:t>PM</w:t>
            </w:r>
            <w:r>
              <w:rPr>
                <w:spacing w:val="10"/>
              </w:rPr>
              <w:t>10和</w:t>
            </w:r>
            <w:r>
              <w:t>PM</w:t>
            </w:r>
            <w:r>
              <w:rPr>
                <w:spacing w:val="10"/>
              </w:rPr>
              <w:t>25年平均质量和相应百</w:t>
            </w:r>
            <w:r>
              <w:rPr>
                <w:spacing w:val="9"/>
              </w:rPr>
              <w:t>分位24h平均或8h平均</w:t>
            </w:r>
          </w:p>
          <w:p w14:paraId="4E598FC4">
            <w:pPr>
              <w:pStyle w:val="6"/>
              <w:spacing w:before="185" w:line="358" w:lineRule="auto"/>
              <w:ind w:left="89" w:right="311" w:firstLine="10"/>
            </w:pPr>
            <w:r>
              <w:rPr>
                <w:spacing w:val="1"/>
              </w:rPr>
              <w:t>质量浓度均能达到《环境空气质量标准》(</w:t>
            </w:r>
            <w:r>
              <w:t>GB</w:t>
            </w:r>
            <w:r>
              <w:rPr>
                <w:spacing w:val="1"/>
              </w:rPr>
              <w:t>3095-2012)二级标准要求，本项目</w:t>
            </w:r>
            <w:r>
              <w:rPr>
                <w:spacing w:val="5"/>
              </w:rPr>
              <w:t xml:space="preserve"> </w:t>
            </w:r>
            <w:r>
              <w:rPr>
                <w:spacing w:val="-1"/>
              </w:rPr>
              <w:t>所在区域为环境空气质量达标区域。</w:t>
            </w:r>
          </w:p>
          <w:p w14:paraId="1DE816DD">
            <w:pPr>
              <w:pStyle w:val="6"/>
              <w:spacing w:line="357" w:lineRule="auto"/>
              <w:ind w:left="99" w:right="462" w:firstLine="479"/>
            </w:pPr>
            <w:r>
              <w:t>根据马龙区2023年环境空气质量统计，有效监测天数363天，优良天数357</w:t>
            </w:r>
            <w:r>
              <w:rPr>
                <w:spacing w:val="13"/>
              </w:rPr>
              <w:t xml:space="preserve"> </w:t>
            </w:r>
            <w:r>
              <w:rPr>
                <w:spacing w:val="1"/>
              </w:rPr>
              <w:t>天，轻污染6天，优良率98.3%。</w:t>
            </w:r>
          </w:p>
          <w:p w14:paraId="4421628D">
            <w:pPr>
              <w:pStyle w:val="6"/>
              <w:spacing w:before="1" w:line="359" w:lineRule="auto"/>
              <w:ind w:left="99" w:right="6" w:firstLine="479"/>
            </w:pPr>
            <w:r>
              <w:t>根据现场调查，项目区地势开阔，且周边无大型工矿</w:t>
            </w:r>
            <w:r>
              <w:rPr>
                <w:spacing w:val="-1"/>
              </w:rPr>
              <w:t>企业分布，项目所在区域</w:t>
            </w:r>
            <w:r>
              <w:t xml:space="preserve"> 主要受村民日常生活及周边道路过往汽车产生的废气</w:t>
            </w:r>
            <w:r>
              <w:rPr>
                <w:spacing w:val="-1"/>
              </w:rPr>
              <w:t>所影响，总体来说，项目所在</w:t>
            </w:r>
            <w:r>
              <w:t xml:space="preserve"> 区域大气环境质量状况良好，可达到《环境空气质量标准》(GB3095-2012)及修</w:t>
            </w:r>
          </w:p>
          <w:p w14:paraId="0E614C22">
            <w:pPr>
              <w:pStyle w:val="6"/>
              <w:spacing w:before="10" w:line="219" w:lineRule="auto"/>
              <w:ind w:left="99"/>
            </w:pPr>
            <w:r>
              <w:t>改单中二级标准要求。项目区域判定为达标</w:t>
            </w:r>
            <w:r>
              <w:rPr>
                <w:spacing w:val="-1"/>
              </w:rPr>
              <w:t>区。</w:t>
            </w:r>
          </w:p>
          <w:p w14:paraId="7CAAD7E8">
            <w:pPr>
              <w:pStyle w:val="6"/>
              <w:spacing w:before="182" w:line="219" w:lineRule="auto"/>
              <w:ind w:left="93"/>
            </w:pPr>
            <w:r>
              <w:rPr>
                <w:b/>
                <w:bCs/>
                <w:spacing w:val="-4"/>
              </w:rPr>
              <w:t>六、地表水环境质量现状</w:t>
            </w:r>
          </w:p>
          <w:p w14:paraId="400F21B5">
            <w:pPr>
              <w:pStyle w:val="6"/>
              <w:spacing w:before="178" w:line="349" w:lineRule="auto"/>
              <w:ind w:left="189" w:firstLine="499"/>
            </w:pPr>
            <w:r>
              <w:t>根据生态环境分区管控查询，项目五号地块南部属于南盘江沾益-宜良开发利</w:t>
            </w:r>
            <w:r>
              <w:rPr>
                <w:spacing w:val="6"/>
              </w:rPr>
              <w:t xml:space="preserve"> </w:t>
            </w:r>
            <w:r>
              <w:t>用区马龙区控制单元，项目地块五无明显河流汇入南盘江。其它属于马龙河马龙</w:t>
            </w:r>
            <w:r>
              <w:rPr>
                <w:spacing w:val="4"/>
              </w:rPr>
              <w:t xml:space="preserve">  </w:t>
            </w:r>
            <w:r>
              <w:t>保留区马龙区控制单元。项目选址区域附近农灌沟和山箐沟汇入中寨河。中寨河  在车马碧水库下游汇入马龙河。根据云南省水利厅《云南省水</w:t>
            </w:r>
            <w:r>
              <w:rPr>
                <w:spacing w:val="-1"/>
              </w:rPr>
              <w:t>功能区划(2014年</w:t>
            </w:r>
          </w:p>
        </w:tc>
      </w:tr>
    </w:tbl>
    <w:p w14:paraId="53A47877">
      <w:pPr>
        <w:pStyle w:val="2"/>
      </w:pPr>
    </w:p>
    <w:p w14:paraId="3737405F">
      <w:pPr>
        <w:sectPr>
          <w:footerReference r:id="rId70" w:type="default"/>
          <w:pgSz w:w="11910" w:h="16840"/>
          <w:pgMar w:top="1431" w:right="1422" w:bottom="1234" w:left="1405" w:header="0" w:footer="1099" w:gutter="0"/>
          <w:cols w:space="720" w:num="1"/>
        </w:sectPr>
      </w:pPr>
    </w:p>
    <w:p w14:paraId="2F85B420">
      <w:pPr>
        <w:spacing w:line="58" w:lineRule="exact"/>
      </w:pPr>
    </w:p>
    <w:tbl>
      <w:tblPr>
        <w:tblStyle w:val="5"/>
        <w:tblW w:w="91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4"/>
        <w:gridCol w:w="8765"/>
      </w:tblGrid>
      <w:tr w14:paraId="09D33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0" w:hRule="atLeast"/>
        </w:trPr>
        <w:tc>
          <w:tcPr>
            <w:tcW w:w="344" w:type="dxa"/>
            <w:vAlign w:val="top"/>
          </w:tcPr>
          <w:p w14:paraId="749EF604">
            <w:pPr>
              <w:rPr>
                <w:rFonts w:ascii="Arial"/>
                <w:sz w:val="21"/>
              </w:rPr>
            </w:pPr>
          </w:p>
        </w:tc>
        <w:tc>
          <w:tcPr>
            <w:tcW w:w="8765" w:type="dxa"/>
            <w:vAlign w:val="top"/>
          </w:tcPr>
          <w:p w14:paraId="387CC4E7">
            <w:pPr>
              <w:pStyle w:val="6"/>
              <w:spacing w:before="76" w:line="216" w:lineRule="auto"/>
              <w:ind w:left="196"/>
            </w:pPr>
            <w:bookmarkStart w:id="5" w:name="bookmark10"/>
            <w:bookmarkEnd w:id="5"/>
            <w:r>
              <w:rPr>
                <w:spacing w:val="16"/>
              </w:rPr>
              <w:t>修订)》(云政复【2014】27号),该河段属于</w:t>
            </w:r>
            <w:r>
              <w:rPr>
                <w:spacing w:val="15"/>
              </w:rPr>
              <w:t>马龙河马龙保留区。</w:t>
            </w:r>
          </w:p>
          <w:p w14:paraId="584921F2">
            <w:pPr>
              <w:pStyle w:val="6"/>
              <w:tabs>
                <w:tab w:val="left" w:pos="335"/>
              </w:tabs>
              <w:spacing w:before="182" w:line="353" w:lineRule="auto"/>
              <w:ind w:left="196" w:right="155" w:firstLine="499"/>
              <w:jc w:val="both"/>
            </w:pPr>
            <w:r>
              <w:rPr>
                <w:spacing w:val="-1"/>
              </w:rPr>
              <w:t>马龙河马龙保留区：由东光厂至凤龙湾水库库尾，现状水质为Ⅲ类，规划水</w:t>
            </w:r>
            <w:r>
              <w:rPr>
                <w:spacing w:val="15"/>
              </w:rPr>
              <w:t xml:space="preserve"> </w:t>
            </w:r>
            <w:r>
              <w:rPr>
                <w:spacing w:val="-1"/>
              </w:rPr>
              <w:t>平年水质目标为Ⅲ类。项目区中寨河水环境质量应执行《地表水环境质量标准》</w:t>
            </w:r>
            <w:r>
              <w:rPr>
                <w:spacing w:val="16"/>
              </w:rPr>
              <w:t xml:space="preserve"> </w:t>
            </w:r>
            <w:r>
              <w:tab/>
            </w:r>
            <w:r>
              <w:rPr>
                <w:spacing w:val="12"/>
              </w:rPr>
              <w:t>(</w:t>
            </w:r>
            <w:r>
              <w:rPr>
                <w:rFonts w:ascii="Times New Roman" w:hAnsi="Times New Roman" w:eastAsia="Times New Roman" w:cs="Times New Roman"/>
              </w:rPr>
              <w:t>GB</w:t>
            </w:r>
            <w:r>
              <w:rPr>
                <w:rFonts w:ascii="Times New Roman" w:hAnsi="Times New Roman" w:eastAsia="Times New Roman" w:cs="Times New Roman"/>
                <w:spacing w:val="12"/>
              </w:rPr>
              <w:t xml:space="preserve">3838-2002)Ⅲ     </w:t>
            </w:r>
            <w:r>
              <w:rPr>
                <w:spacing w:val="12"/>
              </w:rPr>
              <w:t>类标准。根据《曲靖市环境质量</w:t>
            </w:r>
            <w:r>
              <w:rPr>
                <w:spacing w:val="11"/>
              </w:rPr>
              <w:t>年报(2023年)》,马过</w:t>
            </w:r>
            <w:r>
              <w:t xml:space="preserve"> 河国控断面水功能类别Ⅲ类，水质类别Ⅲ类，上年水质类</w:t>
            </w:r>
            <w:r>
              <w:rPr>
                <w:spacing w:val="-1"/>
              </w:rPr>
              <w:t>别Ⅲ类，与上年无明显</w:t>
            </w:r>
            <w:r>
              <w:t xml:space="preserve"> </w:t>
            </w:r>
            <w:r>
              <w:rPr>
                <w:spacing w:val="-2"/>
              </w:rPr>
              <w:t>变化。据此判定，本项目所在的中寨河属水功能达标区。</w:t>
            </w:r>
          </w:p>
          <w:p w14:paraId="55988389">
            <w:pPr>
              <w:pStyle w:val="6"/>
              <w:spacing w:before="22" w:line="219" w:lineRule="auto"/>
              <w:ind w:left="99"/>
              <w:rPr>
                <w:sz w:val="26"/>
                <w:szCs w:val="26"/>
              </w:rPr>
            </w:pPr>
            <w:r>
              <w:rPr>
                <w:b/>
                <w:bCs/>
                <w:spacing w:val="-19"/>
                <w:sz w:val="26"/>
                <w:szCs w:val="26"/>
              </w:rPr>
              <w:t>七、地下水环境质量现状</w:t>
            </w:r>
          </w:p>
          <w:p w14:paraId="742C3564">
            <w:pPr>
              <w:pStyle w:val="6"/>
              <w:spacing w:before="269" w:line="360" w:lineRule="auto"/>
              <w:ind w:left="95" w:right="150" w:firstLine="479"/>
              <w:jc w:val="both"/>
            </w:pPr>
            <w:r>
              <w:rPr>
                <w:spacing w:val="3"/>
              </w:rPr>
              <w:t>根据《环境影响评价技术导则地下水环境)》(</w:t>
            </w:r>
            <w:r>
              <w:rPr>
                <w:rFonts w:ascii="Times New Roman" w:hAnsi="Times New Roman" w:eastAsia="Times New Roman" w:cs="Times New Roman"/>
              </w:rPr>
              <w:t>HJ</w:t>
            </w:r>
            <w:r>
              <w:rPr>
                <w:rFonts w:ascii="Times New Roman" w:hAnsi="Times New Roman" w:eastAsia="Times New Roman" w:cs="Times New Roman"/>
                <w:spacing w:val="3"/>
              </w:rPr>
              <w:t>610-2</w:t>
            </w:r>
            <w:r>
              <w:rPr>
                <w:rFonts w:ascii="Times New Roman" w:hAnsi="Times New Roman" w:eastAsia="Times New Roman" w:cs="Times New Roman"/>
                <w:spacing w:val="2"/>
              </w:rPr>
              <w:t>016)</w:t>
            </w:r>
            <w:r>
              <w:rPr>
                <w:rFonts w:ascii="Times New Roman" w:hAnsi="Times New Roman" w:eastAsia="Times New Roman" w:cs="Times New Roman"/>
                <w:spacing w:val="29"/>
              </w:rPr>
              <w:t xml:space="preserve">  </w:t>
            </w:r>
            <w:r>
              <w:rPr>
                <w:spacing w:val="2"/>
              </w:rPr>
              <w:t>附录</w:t>
            </w:r>
            <w:r>
              <w:rPr>
                <w:rFonts w:ascii="Times New Roman" w:hAnsi="Times New Roman" w:eastAsia="Times New Roman" w:cs="Times New Roman"/>
                <w:spacing w:val="2"/>
              </w:rPr>
              <w:t xml:space="preserve">A </w:t>
            </w:r>
            <w:r>
              <w:rPr>
                <w:spacing w:val="2"/>
              </w:rPr>
              <w:t>可知，本</w:t>
            </w:r>
            <w:r>
              <w:t xml:space="preserve"> </w:t>
            </w:r>
            <w:r>
              <w:rPr>
                <w:spacing w:val="-15"/>
              </w:rPr>
              <w:t>项目属于“</w:t>
            </w:r>
            <w:r>
              <w:rPr>
                <w:rFonts w:ascii="Times New Roman" w:hAnsi="Times New Roman" w:eastAsia="Times New Roman" w:cs="Times New Roman"/>
                <w:spacing w:val="-15"/>
              </w:rPr>
              <w:t>E</w:t>
            </w:r>
            <w:r>
              <w:rPr>
                <w:rFonts w:ascii="Times New Roman" w:hAnsi="Times New Roman" w:eastAsia="Times New Roman" w:cs="Times New Roman"/>
                <w:spacing w:val="19"/>
              </w:rPr>
              <w:t xml:space="preserve"> </w:t>
            </w:r>
            <w:r>
              <w:rPr>
                <w:spacing w:val="-15"/>
              </w:rPr>
              <w:t>电力”大类中“34其他能源发电—并网光伏</w:t>
            </w:r>
            <w:r>
              <w:rPr>
                <w:spacing w:val="-16"/>
              </w:rPr>
              <w:t>发电”小类，地下水环境影响</w:t>
            </w:r>
            <w:r>
              <w:t xml:space="preserve"> 评价项目类别均为</w:t>
            </w:r>
            <w:r>
              <w:rPr>
                <w:rFonts w:ascii="Times New Roman" w:hAnsi="Times New Roman" w:eastAsia="Times New Roman" w:cs="Times New Roman"/>
              </w:rPr>
              <w:t>IV</w:t>
            </w:r>
            <w:r>
              <w:t>类。</w:t>
            </w:r>
            <w:r>
              <w:rPr>
                <w:rFonts w:ascii="Times New Roman" w:hAnsi="Times New Roman" w:eastAsia="Times New Roman" w:cs="Times New Roman"/>
              </w:rPr>
              <w:t>IV</w:t>
            </w:r>
            <w:r>
              <w:t>类建设项目不开展地下水环境影响评</w:t>
            </w:r>
            <w:r>
              <w:rPr>
                <w:spacing w:val="-1"/>
              </w:rPr>
              <w:t>价。因此，本次</w:t>
            </w:r>
            <w:r>
              <w:t xml:space="preserve"> </w:t>
            </w:r>
            <w:r>
              <w:rPr>
                <w:spacing w:val="-4"/>
              </w:rPr>
              <w:t>未对地下水环境进行现状评价。</w:t>
            </w:r>
          </w:p>
          <w:p w14:paraId="14BC61A8">
            <w:pPr>
              <w:pStyle w:val="6"/>
              <w:spacing w:line="219" w:lineRule="auto"/>
              <w:ind w:left="99"/>
              <w:rPr>
                <w:sz w:val="26"/>
                <w:szCs w:val="26"/>
              </w:rPr>
            </w:pPr>
            <w:r>
              <w:rPr>
                <w:b/>
                <w:bCs/>
                <w:spacing w:val="-20"/>
                <w:sz w:val="26"/>
                <w:szCs w:val="26"/>
              </w:rPr>
              <w:t>八、土壤环境质量现状</w:t>
            </w:r>
          </w:p>
          <w:p w14:paraId="18743B2E">
            <w:pPr>
              <w:pStyle w:val="6"/>
              <w:spacing w:before="277" w:line="364" w:lineRule="auto"/>
              <w:ind w:left="95" w:right="269" w:firstLine="479"/>
            </w:pPr>
            <w:r>
              <w:rPr>
                <w:spacing w:val="2"/>
              </w:rPr>
              <w:t>根据《环境影响评价技术导则土壤环境(试行)》(</w:t>
            </w:r>
            <w:r>
              <w:rPr>
                <w:rFonts w:ascii="Times New Roman" w:hAnsi="Times New Roman" w:eastAsia="Times New Roman" w:cs="Times New Roman"/>
              </w:rPr>
              <w:t>HJ</w:t>
            </w:r>
            <w:r>
              <w:rPr>
                <w:rFonts w:ascii="Times New Roman" w:hAnsi="Times New Roman" w:eastAsia="Times New Roman" w:cs="Times New Roman"/>
                <w:spacing w:val="2"/>
              </w:rPr>
              <w:t xml:space="preserve">964-2018)   </w:t>
            </w:r>
            <w:r>
              <w:rPr>
                <w:spacing w:val="2"/>
              </w:rPr>
              <w:t>附</w:t>
            </w:r>
            <w:r>
              <w:rPr>
                <w:spacing w:val="-38"/>
              </w:rPr>
              <w:t xml:space="preserve"> </w:t>
            </w:r>
            <w:r>
              <w:rPr>
                <w:spacing w:val="2"/>
              </w:rPr>
              <w:t>录</w:t>
            </w:r>
            <w:r>
              <w:rPr>
                <w:rFonts w:ascii="Times New Roman" w:hAnsi="Times New Roman" w:eastAsia="Times New Roman" w:cs="Times New Roman"/>
                <w:spacing w:val="2"/>
              </w:rPr>
              <w:t xml:space="preserve">A,   </w:t>
            </w:r>
            <w:r>
              <w:rPr>
                <w:spacing w:val="2"/>
              </w:rPr>
              <w:t>本</w:t>
            </w:r>
            <w:r>
              <w:t xml:space="preserve"> </w:t>
            </w:r>
            <w:r>
              <w:rPr>
                <w:spacing w:val="-5"/>
              </w:rPr>
              <w:t>项目属于土壤环境影响评价项目类别中的“电力热力燃气及水生产和供应业-其</w:t>
            </w:r>
          </w:p>
          <w:p w14:paraId="3CE7D34D">
            <w:pPr>
              <w:pStyle w:val="6"/>
              <w:spacing w:before="7" w:line="354" w:lineRule="auto"/>
              <w:ind w:left="95" w:right="138"/>
            </w:pPr>
            <w:r>
              <w:rPr>
                <w:spacing w:val="-1"/>
              </w:rPr>
              <w:t>他”,为</w:t>
            </w:r>
            <w:r>
              <w:rPr>
                <w:rFonts w:ascii="Times New Roman" w:hAnsi="Times New Roman" w:eastAsia="Times New Roman" w:cs="Times New Roman"/>
                <w:spacing w:val="-1"/>
              </w:rPr>
              <w:t>IV</w:t>
            </w:r>
            <w:r>
              <w:rPr>
                <w:spacing w:val="-1"/>
              </w:rPr>
              <w:t>类建设项目，</w:t>
            </w:r>
            <w:r>
              <w:rPr>
                <w:rFonts w:ascii="Times New Roman" w:hAnsi="Times New Roman" w:eastAsia="Times New Roman" w:cs="Times New Roman"/>
                <w:spacing w:val="-1"/>
              </w:rPr>
              <w:t>IV</w:t>
            </w:r>
            <w:r>
              <w:rPr>
                <w:spacing w:val="-1"/>
              </w:rPr>
              <w:t>类建设项目可不开展土壤环境影响评价。因此，本次未</w:t>
            </w:r>
            <w:r>
              <w:rPr>
                <w:spacing w:val="11"/>
              </w:rPr>
              <w:t xml:space="preserve"> </w:t>
            </w:r>
            <w:r>
              <w:rPr>
                <w:spacing w:val="-4"/>
              </w:rPr>
              <w:t>对土壤环境进行现状评价。</w:t>
            </w:r>
          </w:p>
          <w:p w14:paraId="059F3720">
            <w:pPr>
              <w:pStyle w:val="6"/>
              <w:spacing w:before="1" w:line="223" w:lineRule="auto"/>
              <w:ind w:left="95"/>
              <w:rPr>
                <w:sz w:val="26"/>
                <w:szCs w:val="26"/>
              </w:rPr>
            </w:pPr>
            <w:r>
              <w:rPr>
                <w:rFonts w:ascii="仿宋" w:hAnsi="仿宋" w:eastAsia="仿宋" w:cs="仿宋"/>
                <w:spacing w:val="-18"/>
                <w:sz w:val="26"/>
                <w:szCs w:val="26"/>
              </w:rPr>
              <w:t>九、</w:t>
            </w:r>
            <w:r>
              <w:rPr>
                <w:b/>
                <w:bCs/>
                <w:spacing w:val="-18"/>
                <w:sz w:val="26"/>
                <w:szCs w:val="26"/>
              </w:rPr>
              <w:t>电磁环境质量现状</w:t>
            </w:r>
          </w:p>
          <w:p w14:paraId="5497CC73">
            <w:pPr>
              <w:pStyle w:val="6"/>
              <w:spacing w:before="166" w:line="361" w:lineRule="auto"/>
              <w:ind w:left="95" w:right="139" w:firstLine="450"/>
            </w:pPr>
            <w:r>
              <w:rPr>
                <w:spacing w:val="-10"/>
              </w:rPr>
              <w:t>为了解项目所在区域的电磁环境现状，本评价委托云南升环检测技术有限公司对</w:t>
            </w:r>
            <w:r>
              <w:rPr>
                <w:spacing w:val="18"/>
              </w:rPr>
              <w:t xml:space="preserve"> </w:t>
            </w:r>
            <w:r>
              <w:rPr>
                <w:spacing w:val="-7"/>
              </w:rPr>
              <w:t>拟建升压站厂址工频电场强度和磁感应强度进行监测，监测结果见表3-7。</w:t>
            </w:r>
          </w:p>
          <w:p w14:paraId="6596B0EB">
            <w:pPr>
              <w:pStyle w:val="6"/>
              <w:spacing w:line="206" w:lineRule="auto"/>
              <w:ind w:left="1949"/>
              <w:rPr>
                <w:sz w:val="25"/>
                <w:szCs w:val="25"/>
              </w:rPr>
            </w:pPr>
            <w:r>
              <w:rPr>
                <w:b/>
                <w:bCs/>
                <w:spacing w:val="-4"/>
                <w:sz w:val="25"/>
                <w:szCs w:val="25"/>
              </w:rPr>
              <w:t>表3-7拟建升压站区域电磁环境质量监测值</w:t>
            </w:r>
          </w:p>
          <w:tbl>
            <w:tblPr>
              <w:tblStyle w:val="5"/>
              <w:tblW w:w="8000" w:type="dxa"/>
              <w:tblInd w:w="3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3"/>
              <w:gridCol w:w="1708"/>
              <w:gridCol w:w="2597"/>
              <w:gridCol w:w="2232"/>
            </w:tblGrid>
            <w:tr w14:paraId="268BC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463" w:type="dxa"/>
                  <w:vAlign w:val="top"/>
                </w:tcPr>
                <w:p w14:paraId="136EA9C9">
                  <w:pPr>
                    <w:pStyle w:val="6"/>
                    <w:spacing w:before="65" w:line="218" w:lineRule="auto"/>
                    <w:ind w:left="305"/>
                    <w:rPr>
                      <w:sz w:val="21"/>
                      <w:szCs w:val="21"/>
                    </w:rPr>
                  </w:pPr>
                  <w:r>
                    <w:rPr>
                      <w:spacing w:val="5"/>
                      <w:sz w:val="21"/>
                      <w:szCs w:val="21"/>
                    </w:rPr>
                    <w:t>监测时间</w:t>
                  </w:r>
                </w:p>
              </w:tc>
              <w:tc>
                <w:tcPr>
                  <w:tcW w:w="1708" w:type="dxa"/>
                  <w:vAlign w:val="top"/>
                </w:tcPr>
                <w:p w14:paraId="0644CF28">
                  <w:pPr>
                    <w:pStyle w:val="6"/>
                    <w:spacing w:before="65" w:line="218" w:lineRule="auto"/>
                    <w:ind w:left="421"/>
                    <w:rPr>
                      <w:sz w:val="21"/>
                      <w:szCs w:val="21"/>
                    </w:rPr>
                  </w:pPr>
                  <w:r>
                    <w:rPr>
                      <w:spacing w:val="-2"/>
                      <w:sz w:val="21"/>
                      <w:szCs w:val="21"/>
                    </w:rPr>
                    <w:t>监测点位</w:t>
                  </w:r>
                </w:p>
              </w:tc>
              <w:tc>
                <w:tcPr>
                  <w:tcW w:w="2597" w:type="dxa"/>
                  <w:vAlign w:val="top"/>
                </w:tcPr>
                <w:p w14:paraId="20692E13">
                  <w:pPr>
                    <w:pStyle w:val="6"/>
                    <w:spacing w:before="63" w:line="219" w:lineRule="auto"/>
                    <w:ind w:left="394"/>
                    <w:rPr>
                      <w:sz w:val="21"/>
                      <w:szCs w:val="21"/>
                    </w:rPr>
                  </w:pPr>
                  <w:r>
                    <w:rPr>
                      <w:spacing w:val="4"/>
                      <w:sz w:val="21"/>
                      <w:szCs w:val="21"/>
                    </w:rPr>
                    <w:t>工频电场强度(V/m)</w:t>
                  </w:r>
                </w:p>
              </w:tc>
              <w:tc>
                <w:tcPr>
                  <w:tcW w:w="2232" w:type="dxa"/>
                  <w:vAlign w:val="top"/>
                </w:tcPr>
                <w:p w14:paraId="64605D6C">
                  <w:pPr>
                    <w:pStyle w:val="6"/>
                    <w:spacing w:before="63" w:line="219" w:lineRule="auto"/>
                    <w:ind w:left="317"/>
                    <w:rPr>
                      <w:sz w:val="21"/>
                      <w:szCs w:val="21"/>
                    </w:rPr>
                  </w:pPr>
                  <w:r>
                    <w:rPr>
                      <w:spacing w:val="5"/>
                      <w:sz w:val="21"/>
                      <w:szCs w:val="21"/>
                    </w:rPr>
                    <w:t>磁感应强度(μT)</w:t>
                  </w:r>
                </w:p>
              </w:tc>
            </w:tr>
            <w:tr w14:paraId="4194B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1463" w:type="dxa"/>
                  <w:vAlign w:val="top"/>
                </w:tcPr>
                <w:p w14:paraId="53A9507A">
                  <w:pPr>
                    <w:pStyle w:val="6"/>
                    <w:spacing w:before="71" w:line="190" w:lineRule="auto"/>
                    <w:ind w:left="244"/>
                    <w:rPr>
                      <w:sz w:val="21"/>
                      <w:szCs w:val="21"/>
                    </w:rPr>
                  </w:pPr>
                  <w:r>
                    <w:rPr>
                      <w:spacing w:val="-2"/>
                      <w:sz w:val="21"/>
                      <w:szCs w:val="21"/>
                    </w:rPr>
                    <w:t>2024.7.16</w:t>
                  </w:r>
                </w:p>
              </w:tc>
              <w:tc>
                <w:tcPr>
                  <w:tcW w:w="1708" w:type="dxa"/>
                  <w:vAlign w:val="top"/>
                </w:tcPr>
                <w:p w14:paraId="3A9F0064">
                  <w:pPr>
                    <w:pStyle w:val="6"/>
                    <w:spacing w:before="52" w:line="207" w:lineRule="auto"/>
                    <w:ind w:left="212"/>
                    <w:rPr>
                      <w:sz w:val="21"/>
                      <w:szCs w:val="21"/>
                    </w:rPr>
                  </w:pPr>
                  <w:r>
                    <w:rPr>
                      <w:spacing w:val="2"/>
                      <w:sz w:val="21"/>
                      <w:szCs w:val="21"/>
                    </w:rPr>
                    <w:t>升压站主变电</w:t>
                  </w:r>
                </w:p>
              </w:tc>
              <w:tc>
                <w:tcPr>
                  <w:tcW w:w="2597" w:type="dxa"/>
                  <w:vAlign w:val="top"/>
                </w:tcPr>
                <w:p w14:paraId="15C87D20">
                  <w:pPr>
                    <w:pStyle w:val="6"/>
                    <w:spacing w:before="71" w:line="190" w:lineRule="auto"/>
                    <w:ind w:left="1083"/>
                    <w:rPr>
                      <w:sz w:val="21"/>
                      <w:szCs w:val="21"/>
                    </w:rPr>
                  </w:pPr>
                  <w:r>
                    <w:rPr>
                      <w:spacing w:val="-2"/>
                      <w:sz w:val="21"/>
                      <w:szCs w:val="21"/>
                    </w:rPr>
                    <w:t>0.63</w:t>
                  </w:r>
                </w:p>
              </w:tc>
              <w:tc>
                <w:tcPr>
                  <w:tcW w:w="2232" w:type="dxa"/>
                  <w:vAlign w:val="top"/>
                </w:tcPr>
                <w:p w14:paraId="61C49D79">
                  <w:pPr>
                    <w:pStyle w:val="6"/>
                    <w:spacing w:before="71" w:line="190" w:lineRule="auto"/>
                    <w:ind w:left="897"/>
                    <w:rPr>
                      <w:sz w:val="21"/>
                      <w:szCs w:val="21"/>
                    </w:rPr>
                  </w:pPr>
                  <w:r>
                    <w:rPr>
                      <w:spacing w:val="-2"/>
                      <w:sz w:val="21"/>
                      <w:szCs w:val="21"/>
                    </w:rPr>
                    <w:t>0.06</w:t>
                  </w:r>
                </w:p>
              </w:tc>
            </w:tr>
            <w:tr w14:paraId="74A7F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3171" w:type="dxa"/>
                  <w:gridSpan w:val="2"/>
                  <w:vAlign w:val="top"/>
                </w:tcPr>
                <w:p w14:paraId="4D6DED33">
                  <w:pPr>
                    <w:pStyle w:val="6"/>
                    <w:spacing w:before="22" w:line="219" w:lineRule="auto"/>
                    <w:ind w:left="155"/>
                    <w:rPr>
                      <w:sz w:val="21"/>
                      <w:szCs w:val="21"/>
                    </w:rPr>
                  </w:pPr>
                  <w:r>
                    <w:rPr>
                      <w:sz w:val="21"/>
                      <w:szCs w:val="21"/>
                    </w:rPr>
                    <w:t>标准限值《电磁环境控制限值》</w:t>
                  </w:r>
                </w:p>
                <w:p w14:paraId="41F29994">
                  <w:pPr>
                    <w:pStyle w:val="6"/>
                    <w:spacing w:before="23" w:line="177" w:lineRule="auto"/>
                    <w:ind w:left="895"/>
                    <w:rPr>
                      <w:sz w:val="21"/>
                      <w:szCs w:val="21"/>
                    </w:rPr>
                  </w:pPr>
                  <w:r>
                    <w:rPr>
                      <w:spacing w:val="-4"/>
                      <w:sz w:val="21"/>
                      <w:szCs w:val="21"/>
                    </w:rPr>
                    <w:t>(GB8702-2014)</w:t>
                  </w:r>
                </w:p>
              </w:tc>
              <w:tc>
                <w:tcPr>
                  <w:tcW w:w="2597" w:type="dxa"/>
                  <w:vAlign w:val="top"/>
                </w:tcPr>
                <w:p w14:paraId="7C76C0CA">
                  <w:pPr>
                    <w:pStyle w:val="6"/>
                    <w:spacing w:before="173"/>
                    <w:ind w:left="1083"/>
                    <w:rPr>
                      <w:sz w:val="21"/>
                      <w:szCs w:val="21"/>
                    </w:rPr>
                  </w:pPr>
                  <w:r>
                    <w:rPr>
                      <w:spacing w:val="-2"/>
                      <w:sz w:val="21"/>
                      <w:szCs w:val="21"/>
                    </w:rPr>
                    <w:t>4000</w:t>
                  </w:r>
                </w:p>
              </w:tc>
              <w:tc>
                <w:tcPr>
                  <w:tcW w:w="2232" w:type="dxa"/>
                  <w:vAlign w:val="top"/>
                </w:tcPr>
                <w:p w14:paraId="4B6CF2EC">
                  <w:pPr>
                    <w:pStyle w:val="6"/>
                    <w:spacing w:before="173"/>
                    <w:ind w:left="946"/>
                    <w:rPr>
                      <w:sz w:val="21"/>
                      <w:szCs w:val="21"/>
                    </w:rPr>
                  </w:pPr>
                  <w:r>
                    <w:rPr>
                      <w:spacing w:val="-6"/>
                      <w:sz w:val="21"/>
                      <w:szCs w:val="21"/>
                    </w:rPr>
                    <w:t>100</w:t>
                  </w:r>
                </w:p>
              </w:tc>
            </w:tr>
            <w:tr w14:paraId="4A890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171" w:type="dxa"/>
                  <w:gridSpan w:val="2"/>
                  <w:vAlign w:val="top"/>
                </w:tcPr>
                <w:p w14:paraId="0F1A6DE9">
                  <w:pPr>
                    <w:pStyle w:val="6"/>
                    <w:spacing w:before="65" w:line="213" w:lineRule="auto"/>
                    <w:ind w:left="1155"/>
                    <w:rPr>
                      <w:sz w:val="21"/>
                      <w:szCs w:val="21"/>
                    </w:rPr>
                  </w:pPr>
                  <w:r>
                    <w:rPr>
                      <w:spacing w:val="-2"/>
                      <w:sz w:val="21"/>
                      <w:szCs w:val="21"/>
                    </w:rPr>
                    <w:t>达标情况</w:t>
                  </w:r>
                </w:p>
              </w:tc>
              <w:tc>
                <w:tcPr>
                  <w:tcW w:w="2597" w:type="dxa"/>
                  <w:vAlign w:val="top"/>
                </w:tcPr>
                <w:p w14:paraId="652479CB">
                  <w:pPr>
                    <w:pStyle w:val="6"/>
                    <w:spacing w:before="65" w:line="213" w:lineRule="auto"/>
                    <w:ind w:left="1083"/>
                    <w:rPr>
                      <w:sz w:val="21"/>
                      <w:szCs w:val="21"/>
                    </w:rPr>
                  </w:pPr>
                  <w:r>
                    <w:rPr>
                      <w:spacing w:val="-2"/>
                      <w:sz w:val="21"/>
                      <w:szCs w:val="21"/>
                    </w:rPr>
                    <w:t>达标</w:t>
                  </w:r>
                </w:p>
              </w:tc>
              <w:tc>
                <w:tcPr>
                  <w:tcW w:w="2232" w:type="dxa"/>
                  <w:vAlign w:val="top"/>
                </w:tcPr>
                <w:p w14:paraId="078E93E1">
                  <w:pPr>
                    <w:pStyle w:val="6"/>
                    <w:spacing w:before="65" w:line="213" w:lineRule="auto"/>
                    <w:ind w:left="897"/>
                    <w:rPr>
                      <w:sz w:val="21"/>
                      <w:szCs w:val="21"/>
                    </w:rPr>
                  </w:pPr>
                  <w:r>
                    <w:rPr>
                      <w:spacing w:val="-2"/>
                      <w:sz w:val="21"/>
                      <w:szCs w:val="21"/>
                    </w:rPr>
                    <w:t>达标</w:t>
                  </w:r>
                </w:p>
              </w:tc>
            </w:tr>
            <w:tr w14:paraId="08256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8000" w:type="dxa"/>
                  <w:gridSpan w:val="4"/>
                  <w:vAlign w:val="top"/>
                </w:tcPr>
                <w:p w14:paraId="01D324FA">
                  <w:pPr>
                    <w:pStyle w:val="6"/>
                    <w:spacing w:before="77" w:line="219" w:lineRule="auto"/>
                    <w:ind w:left="15"/>
                    <w:rPr>
                      <w:sz w:val="21"/>
                      <w:szCs w:val="21"/>
                    </w:rPr>
                  </w:pPr>
                  <w:r>
                    <w:rPr>
                      <w:spacing w:val="-1"/>
                      <w:sz w:val="21"/>
                      <w:szCs w:val="21"/>
                    </w:rPr>
                    <w:t>注：L表示低于检出限</w:t>
                  </w:r>
                </w:p>
              </w:tc>
            </w:tr>
          </w:tbl>
          <w:p w14:paraId="35E5A9A1">
            <w:pPr>
              <w:pStyle w:val="6"/>
              <w:spacing w:before="35" w:line="349" w:lineRule="auto"/>
              <w:ind w:left="95" w:right="74" w:firstLine="479"/>
              <w:jc w:val="both"/>
            </w:pPr>
            <w:r>
              <w:rPr>
                <w:spacing w:val="-14"/>
                <w:sz w:val="25"/>
                <w:szCs w:val="25"/>
              </w:rPr>
              <w:t>由上表监测结果表明，项目拟建220kV升压站区域电磁环境现状监测值</w:t>
            </w:r>
            <w:r>
              <w:rPr>
                <w:spacing w:val="-15"/>
                <w:sz w:val="25"/>
                <w:szCs w:val="25"/>
              </w:rPr>
              <w:t>符合《电</w:t>
            </w:r>
            <w:r>
              <w:rPr>
                <w:sz w:val="25"/>
                <w:szCs w:val="25"/>
              </w:rPr>
              <w:t xml:space="preserve"> </w:t>
            </w:r>
            <w:r>
              <w:rPr>
                <w:spacing w:val="-8"/>
              </w:rPr>
              <w:t>磁环境控制限值》(</w:t>
            </w:r>
            <w:r>
              <w:rPr>
                <w:rFonts w:ascii="Times New Roman" w:hAnsi="Times New Roman" w:eastAsia="Times New Roman" w:cs="Times New Roman"/>
                <w:spacing w:val="-8"/>
              </w:rPr>
              <w:t>GB8702-2014)</w:t>
            </w:r>
            <w:r>
              <w:rPr>
                <w:spacing w:val="-8"/>
              </w:rPr>
              <w:t>的规定：公众曝露工频电场强度限值为4</w:t>
            </w:r>
            <w:r>
              <w:rPr>
                <w:rFonts w:ascii="Times New Roman" w:hAnsi="Times New Roman" w:eastAsia="Times New Roman" w:cs="Times New Roman"/>
                <w:spacing w:val="-8"/>
              </w:rPr>
              <w:t xml:space="preserve">kV/m,  </w:t>
            </w:r>
            <w:r>
              <w:rPr>
                <w:spacing w:val="-8"/>
              </w:rPr>
              <w:t>公众</w:t>
            </w:r>
            <w:r>
              <w:rPr>
                <w:spacing w:val="6"/>
              </w:rPr>
              <w:t xml:space="preserve"> </w:t>
            </w:r>
            <w:r>
              <w:rPr>
                <w:spacing w:val="-13"/>
              </w:rPr>
              <w:t>曝露工频磁感应强度限值为100μ</w:t>
            </w:r>
            <w:r>
              <w:rPr>
                <w:rFonts w:ascii="Times New Roman" w:hAnsi="Times New Roman" w:eastAsia="Times New Roman" w:cs="Times New Roman"/>
                <w:spacing w:val="-13"/>
              </w:rPr>
              <w:t>T</w:t>
            </w:r>
            <w:r>
              <w:rPr>
                <w:spacing w:val="-13"/>
              </w:rPr>
              <w:t>。</w:t>
            </w:r>
          </w:p>
        </w:tc>
      </w:tr>
    </w:tbl>
    <w:p w14:paraId="46FEDDA8">
      <w:pPr>
        <w:pStyle w:val="2"/>
      </w:pPr>
    </w:p>
    <w:p w14:paraId="0E0B158B">
      <w:pPr>
        <w:sectPr>
          <w:footerReference r:id="rId71" w:type="default"/>
          <w:pgSz w:w="11910" w:h="16840"/>
          <w:pgMar w:top="1431" w:right="1410" w:bottom="1255" w:left="1380" w:header="0" w:footer="1093" w:gutter="0"/>
          <w:cols w:space="720" w:num="1"/>
        </w:sectPr>
      </w:pPr>
    </w:p>
    <w:p w14:paraId="1556D8C2">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
        <w:gridCol w:w="8745"/>
      </w:tblGrid>
      <w:tr w14:paraId="3BDD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0" w:hRule="atLeast"/>
        </w:trPr>
        <w:tc>
          <w:tcPr>
            <w:tcW w:w="324" w:type="dxa"/>
            <w:textDirection w:val="tbRlV"/>
            <w:vAlign w:val="top"/>
          </w:tcPr>
          <w:p w14:paraId="1DDC6266">
            <w:pPr>
              <w:pStyle w:val="6"/>
              <w:spacing w:before="58" w:line="202" w:lineRule="auto"/>
              <w:ind w:left="11"/>
            </w:pPr>
            <w:r>
              <w:t>与</w:t>
            </w:r>
            <w:r>
              <w:rPr>
                <w:spacing w:val="-46"/>
              </w:rPr>
              <w:t xml:space="preserve"> </w:t>
            </w:r>
            <w:r>
              <w:t>项</w:t>
            </w:r>
            <w:r>
              <w:rPr>
                <w:spacing w:val="-46"/>
              </w:rPr>
              <w:t xml:space="preserve"> </w:t>
            </w:r>
            <w:r>
              <w:t>目</w:t>
            </w:r>
            <w:r>
              <w:rPr>
                <w:spacing w:val="-46"/>
              </w:rPr>
              <w:t xml:space="preserve"> </w:t>
            </w:r>
            <w:r>
              <w:t>有</w:t>
            </w:r>
            <w:r>
              <w:rPr>
                <w:spacing w:val="-46"/>
              </w:rPr>
              <w:t xml:space="preserve"> </w:t>
            </w:r>
            <w:r>
              <w:t>关</w:t>
            </w:r>
            <w:r>
              <w:rPr>
                <w:spacing w:val="-45"/>
              </w:rPr>
              <w:t xml:space="preserve"> </w:t>
            </w:r>
            <w:r>
              <w:t>的</w:t>
            </w:r>
            <w:r>
              <w:rPr>
                <w:spacing w:val="-46"/>
              </w:rPr>
              <w:t xml:space="preserve"> </w:t>
            </w:r>
            <w:r>
              <w:t>原</w:t>
            </w:r>
            <w:r>
              <w:rPr>
                <w:spacing w:val="-45"/>
              </w:rPr>
              <w:t xml:space="preserve"> </w:t>
            </w:r>
            <w:r>
              <w:t>有</w:t>
            </w:r>
            <w:r>
              <w:rPr>
                <w:spacing w:val="-46"/>
              </w:rPr>
              <w:t xml:space="preserve"> </w:t>
            </w:r>
            <w:r>
              <w:t>环</w:t>
            </w:r>
            <w:r>
              <w:rPr>
                <w:spacing w:val="-45"/>
              </w:rPr>
              <w:t xml:space="preserve"> </w:t>
            </w:r>
            <w:r>
              <w:t>境</w:t>
            </w:r>
            <w:r>
              <w:rPr>
                <w:spacing w:val="-46"/>
              </w:rPr>
              <w:t xml:space="preserve"> </w:t>
            </w:r>
            <w:r>
              <w:t>污</w:t>
            </w:r>
            <w:r>
              <w:rPr>
                <w:spacing w:val="-45"/>
              </w:rPr>
              <w:t xml:space="preserve"> </w:t>
            </w:r>
            <w:r>
              <w:t>染</w:t>
            </w:r>
            <w:r>
              <w:rPr>
                <w:spacing w:val="-46"/>
              </w:rPr>
              <w:t xml:space="preserve"> </w:t>
            </w:r>
            <w:r>
              <w:t>和</w:t>
            </w:r>
            <w:r>
              <w:rPr>
                <w:spacing w:val="-45"/>
              </w:rPr>
              <w:t xml:space="preserve"> </w:t>
            </w:r>
            <w:r>
              <w:t>生</w:t>
            </w:r>
            <w:r>
              <w:rPr>
                <w:spacing w:val="-46"/>
              </w:rPr>
              <w:t xml:space="preserve"> </w:t>
            </w:r>
            <w:r>
              <w:t>态</w:t>
            </w:r>
            <w:r>
              <w:rPr>
                <w:spacing w:val="-45"/>
              </w:rPr>
              <w:t xml:space="preserve"> </w:t>
            </w:r>
            <w:r>
              <w:t>破</w:t>
            </w:r>
            <w:r>
              <w:rPr>
                <w:spacing w:val="-46"/>
              </w:rPr>
              <w:t xml:space="preserve"> </w:t>
            </w:r>
            <w:r>
              <w:t>坏</w:t>
            </w:r>
            <w:r>
              <w:rPr>
                <w:spacing w:val="-45"/>
              </w:rPr>
              <w:t xml:space="preserve"> </w:t>
            </w:r>
            <w:r>
              <w:t>问</w:t>
            </w:r>
            <w:r>
              <w:rPr>
                <w:spacing w:val="-46"/>
              </w:rPr>
              <w:t xml:space="preserve"> </w:t>
            </w:r>
            <w:r>
              <w:t>题</w:t>
            </w:r>
          </w:p>
        </w:tc>
        <w:tc>
          <w:tcPr>
            <w:tcW w:w="8745" w:type="dxa"/>
            <w:vAlign w:val="top"/>
          </w:tcPr>
          <w:p w14:paraId="7FF0DEF0">
            <w:pPr>
              <w:spacing w:line="250" w:lineRule="auto"/>
              <w:rPr>
                <w:rFonts w:ascii="Arial"/>
                <w:sz w:val="21"/>
              </w:rPr>
            </w:pPr>
          </w:p>
          <w:p w14:paraId="1E6AAB91">
            <w:pPr>
              <w:spacing w:line="250" w:lineRule="auto"/>
              <w:rPr>
                <w:rFonts w:ascii="Arial"/>
                <w:sz w:val="21"/>
              </w:rPr>
            </w:pPr>
          </w:p>
          <w:p w14:paraId="11B0DAF8">
            <w:pPr>
              <w:spacing w:line="250" w:lineRule="auto"/>
              <w:rPr>
                <w:rFonts w:ascii="Arial"/>
                <w:sz w:val="21"/>
              </w:rPr>
            </w:pPr>
          </w:p>
          <w:p w14:paraId="18B025C0">
            <w:pPr>
              <w:spacing w:line="251" w:lineRule="auto"/>
              <w:rPr>
                <w:rFonts w:ascii="Arial"/>
                <w:sz w:val="21"/>
              </w:rPr>
            </w:pPr>
          </w:p>
          <w:p w14:paraId="19602AE0">
            <w:pPr>
              <w:spacing w:line="251" w:lineRule="auto"/>
              <w:rPr>
                <w:rFonts w:ascii="Arial"/>
                <w:sz w:val="21"/>
              </w:rPr>
            </w:pPr>
          </w:p>
          <w:p w14:paraId="4465AF64">
            <w:pPr>
              <w:spacing w:line="251" w:lineRule="auto"/>
              <w:rPr>
                <w:rFonts w:ascii="Arial"/>
                <w:sz w:val="21"/>
              </w:rPr>
            </w:pPr>
          </w:p>
          <w:p w14:paraId="02ABC1FE">
            <w:pPr>
              <w:spacing w:line="251" w:lineRule="auto"/>
              <w:rPr>
                <w:rFonts w:ascii="Arial"/>
                <w:sz w:val="21"/>
              </w:rPr>
            </w:pPr>
          </w:p>
          <w:p w14:paraId="32EC5171">
            <w:pPr>
              <w:spacing w:line="251" w:lineRule="auto"/>
              <w:rPr>
                <w:rFonts w:ascii="Arial"/>
                <w:sz w:val="21"/>
              </w:rPr>
            </w:pPr>
          </w:p>
          <w:p w14:paraId="1227D0A9">
            <w:pPr>
              <w:spacing w:line="251" w:lineRule="auto"/>
              <w:rPr>
                <w:rFonts w:ascii="Arial"/>
                <w:sz w:val="21"/>
              </w:rPr>
            </w:pPr>
          </w:p>
          <w:p w14:paraId="04C9092D">
            <w:pPr>
              <w:spacing w:line="251" w:lineRule="auto"/>
              <w:rPr>
                <w:rFonts w:ascii="Arial"/>
                <w:sz w:val="21"/>
              </w:rPr>
            </w:pPr>
          </w:p>
          <w:p w14:paraId="56E2D710">
            <w:pPr>
              <w:spacing w:line="251" w:lineRule="auto"/>
              <w:rPr>
                <w:rFonts w:ascii="Arial"/>
                <w:sz w:val="21"/>
              </w:rPr>
            </w:pPr>
          </w:p>
          <w:p w14:paraId="3DA7A2A5">
            <w:pPr>
              <w:pStyle w:val="6"/>
              <w:spacing w:before="78" w:line="219" w:lineRule="auto"/>
              <w:ind w:left="130"/>
            </w:pPr>
            <w:r>
              <w:t>本项目为新建项目，不存在与项目有关的原有环境污染和生态破坏问题。</w:t>
            </w:r>
          </w:p>
        </w:tc>
      </w:tr>
      <w:tr w14:paraId="46DE0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9" w:hRule="atLeast"/>
        </w:trPr>
        <w:tc>
          <w:tcPr>
            <w:tcW w:w="324" w:type="dxa"/>
            <w:textDirection w:val="tbRlV"/>
            <w:vAlign w:val="top"/>
          </w:tcPr>
          <w:p w14:paraId="5A73B79C">
            <w:pPr>
              <w:pStyle w:val="6"/>
              <w:spacing w:before="57" w:line="202" w:lineRule="auto"/>
              <w:ind w:left="2473"/>
            </w:pPr>
            <w:r>
              <w:rPr>
                <w:spacing w:val="-1"/>
              </w:rPr>
              <w:t>生</w:t>
            </w:r>
            <w:r>
              <w:rPr>
                <w:spacing w:val="-31"/>
              </w:rPr>
              <w:t xml:space="preserve"> </w:t>
            </w:r>
            <w:r>
              <w:rPr>
                <w:spacing w:val="-1"/>
              </w:rPr>
              <w:t>态</w:t>
            </w:r>
            <w:r>
              <w:rPr>
                <w:spacing w:val="-38"/>
              </w:rPr>
              <w:t xml:space="preserve"> </w:t>
            </w:r>
            <w:r>
              <w:rPr>
                <w:spacing w:val="-1"/>
              </w:rPr>
              <w:t>环</w:t>
            </w:r>
            <w:r>
              <w:rPr>
                <w:spacing w:val="-37"/>
              </w:rPr>
              <w:t xml:space="preserve"> </w:t>
            </w:r>
            <w:r>
              <w:rPr>
                <w:spacing w:val="-1"/>
              </w:rPr>
              <w:t>境</w:t>
            </w:r>
            <w:r>
              <w:rPr>
                <w:spacing w:val="-38"/>
              </w:rPr>
              <w:t xml:space="preserve"> </w:t>
            </w:r>
            <w:r>
              <w:rPr>
                <w:spacing w:val="-1"/>
              </w:rPr>
              <w:t>保</w:t>
            </w:r>
            <w:r>
              <w:rPr>
                <w:spacing w:val="-37"/>
              </w:rPr>
              <w:t xml:space="preserve"> </w:t>
            </w:r>
            <w:r>
              <w:rPr>
                <w:spacing w:val="-1"/>
              </w:rPr>
              <w:t>护</w:t>
            </w:r>
            <w:r>
              <w:rPr>
                <w:spacing w:val="-38"/>
              </w:rPr>
              <w:t xml:space="preserve"> </w:t>
            </w:r>
            <w:r>
              <w:rPr>
                <w:spacing w:val="-1"/>
              </w:rPr>
              <w:t>目</w:t>
            </w:r>
            <w:r>
              <w:rPr>
                <w:spacing w:val="-37"/>
              </w:rPr>
              <w:t xml:space="preserve"> </w:t>
            </w:r>
            <w:r>
              <w:rPr>
                <w:spacing w:val="-1"/>
              </w:rPr>
              <w:t>标</w:t>
            </w:r>
          </w:p>
        </w:tc>
        <w:tc>
          <w:tcPr>
            <w:tcW w:w="8745" w:type="dxa"/>
            <w:vAlign w:val="top"/>
          </w:tcPr>
          <w:p w14:paraId="76A68F57">
            <w:pPr>
              <w:pStyle w:val="6"/>
              <w:spacing w:before="25" w:line="220" w:lineRule="auto"/>
              <w:ind w:left="590"/>
            </w:pPr>
            <w:r>
              <w:t>1、环境空气保护目标</w:t>
            </w:r>
          </w:p>
          <w:p w14:paraId="3A0EDF78">
            <w:pPr>
              <w:pStyle w:val="6"/>
              <w:spacing w:before="193" w:line="347" w:lineRule="auto"/>
              <w:ind w:left="80" w:right="331" w:firstLine="509"/>
            </w:pPr>
            <w:r>
              <w:t>项目场界外500米范围内无自然保护区、风景名胜区，环境空气保护目标为</w:t>
            </w:r>
            <w:r>
              <w:rPr>
                <w:spacing w:val="11"/>
              </w:rPr>
              <w:t xml:space="preserve"> </w:t>
            </w:r>
            <w:r>
              <w:t>500m范围内的村庄。</w:t>
            </w:r>
          </w:p>
          <w:p w14:paraId="62EC82E3">
            <w:pPr>
              <w:pStyle w:val="6"/>
              <w:spacing w:before="28" w:line="220" w:lineRule="auto"/>
              <w:ind w:left="561"/>
            </w:pPr>
            <w:r>
              <w:rPr>
                <w:spacing w:val="1"/>
              </w:rPr>
              <w:t>2、声环境保护目标</w:t>
            </w:r>
          </w:p>
          <w:p w14:paraId="0248E048">
            <w:pPr>
              <w:pStyle w:val="6"/>
              <w:spacing w:before="171" w:line="219" w:lineRule="auto"/>
              <w:ind w:left="580"/>
            </w:pPr>
            <w:r>
              <w:t>项目声环境保护目标主要为项目占地范围50m内的村</w:t>
            </w:r>
            <w:r>
              <w:rPr>
                <w:spacing w:val="-1"/>
              </w:rPr>
              <w:t>庄。</w:t>
            </w:r>
          </w:p>
          <w:p w14:paraId="34CFF08F">
            <w:pPr>
              <w:pStyle w:val="6"/>
              <w:spacing w:before="187" w:line="219" w:lineRule="auto"/>
              <w:ind w:left="561"/>
            </w:pPr>
            <w:r>
              <w:rPr>
                <w:spacing w:val="1"/>
              </w:rPr>
              <w:t>3、地表水保护目标</w:t>
            </w:r>
          </w:p>
          <w:p w14:paraId="66774AAF">
            <w:pPr>
              <w:pStyle w:val="6"/>
              <w:spacing w:before="184" w:line="356" w:lineRule="auto"/>
              <w:ind w:left="100" w:firstLine="489"/>
            </w:pPr>
            <w:r>
              <w:rPr>
                <w:spacing w:val="-1"/>
              </w:rPr>
              <w:t>项目区域内及周边无常流地表水，主要为灌溉沟渠和季节性冲沟，最近河流为</w:t>
            </w:r>
            <w:r>
              <w:rPr>
                <w:spacing w:val="17"/>
              </w:rPr>
              <w:t xml:space="preserve"> </w:t>
            </w:r>
            <w:r>
              <w:t>中寨河，中寨河发源于地块五周边山箐，经己沃水库流出后自南向北在下游1</w:t>
            </w:r>
            <w:r>
              <w:rPr>
                <w:spacing w:val="-1"/>
              </w:rPr>
              <w:t>5km</w:t>
            </w:r>
          </w:p>
          <w:p w14:paraId="53191853">
            <w:pPr>
              <w:pStyle w:val="6"/>
              <w:spacing w:before="4" w:line="219" w:lineRule="auto"/>
              <w:ind w:left="110"/>
            </w:pPr>
            <w:r>
              <w:t>中和村处汇入马龙河，马龙河在下游5km处汇入凤龙湾水库。项目占地范围附近</w:t>
            </w:r>
          </w:p>
          <w:p w14:paraId="12694FA6">
            <w:pPr>
              <w:pStyle w:val="6"/>
              <w:spacing w:before="175" w:line="360" w:lineRule="auto"/>
              <w:ind w:left="89" w:hanging="9"/>
            </w:pPr>
            <w:r>
              <w:rPr>
                <w:spacing w:val="-3"/>
              </w:rPr>
              <w:t>有中路水库，农灌用水，小二型水库。地块五西侧20m。己沃水库，农灌用水，小</w:t>
            </w:r>
            <w:r>
              <w:rPr>
                <w:spacing w:val="5"/>
              </w:rPr>
              <w:t xml:space="preserve">   </w:t>
            </w:r>
            <w:r>
              <w:rPr>
                <w:spacing w:val="-6"/>
              </w:rPr>
              <w:t>二型水库。地块五西侧500m。龙海水库，农灌用水，小二型水库。地块三北侧300m。</w:t>
            </w:r>
            <w:r>
              <w:rPr>
                <w:spacing w:val="9"/>
              </w:rPr>
              <w:t xml:space="preserve"> </w:t>
            </w:r>
            <w:r>
              <w:rPr>
                <w:spacing w:val="-2"/>
              </w:rPr>
              <w:t>周家箐水库，饮用水库。地块五西北侧900m。根据与周家箐水库饮用水源保护区</w:t>
            </w:r>
            <w:r>
              <w:t xml:space="preserve">   </w:t>
            </w:r>
            <w:r>
              <w:rPr>
                <w:spacing w:val="-3"/>
              </w:rPr>
              <w:t>的叠图，项目占地范围不涉及周家箐水库饮用水水源保护区。</w:t>
            </w:r>
          </w:p>
          <w:p w14:paraId="3DFEFA50">
            <w:pPr>
              <w:pStyle w:val="6"/>
              <w:spacing w:line="220" w:lineRule="auto"/>
              <w:ind w:left="551"/>
            </w:pPr>
            <w:r>
              <w:rPr>
                <w:spacing w:val="-1"/>
              </w:rPr>
              <w:t>4、生态保护目标</w:t>
            </w:r>
          </w:p>
          <w:p w14:paraId="6C8518D9">
            <w:pPr>
              <w:pStyle w:val="6"/>
              <w:spacing w:before="190" w:line="216" w:lineRule="auto"/>
              <w:ind w:left="590"/>
            </w:pPr>
            <w:r>
              <w:rPr>
                <w:spacing w:val="3"/>
              </w:rPr>
              <w:t>根据《环境影响评价技术导则生态影响》(</w:t>
            </w:r>
            <w:r>
              <w:t>HJ</w:t>
            </w:r>
            <w:r>
              <w:rPr>
                <w:spacing w:val="3"/>
              </w:rPr>
              <w:t>19-2022),结合本项目特点、</w:t>
            </w:r>
          </w:p>
          <w:p w14:paraId="728EE854">
            <w:pPr>
              <w:pStyle w:val="6"/>
              <w:spacing w:before="181" w:line="218" w:lineRule="auto"/>
              <w:ind w:right="4"/>
              <w:jc w:val="right"/>
            </w:pPr>
            <w:r>
              <w:t>周边生态环境情况以及影响区的自然地形，本次生态影响评价区范围为：光伏组件</w:t>
            </w:r>
          </w:p>
        </w:tc>
      </w:tr>
    </w:tbl>
    <w:p w14:paraId="1CAA09A9">
      <w:pPr>
        <w:pStyle w:val="2"/>
      </w:pPr>
    </w:p>
    <w:p w14:paraId="238F604C">
      <w:pPr>
        <w:sectPr>
          <w:footerReference r:id="rId72" w:type="default"/>
          <w:pgSz w:w="11910" w:h="16840"/>
          <w:pgMar w:top="1431" w:right="1425" w:bottom="1255" w:left="1405" w:header="0" w:footer="1093" w:gutter="0"/>
          <w:cols w:space="720" w:num="1"/>
        </w:sectPr>
      </w:pPr>
    </w:p>
    <w:p w14:paraId="6DC4F8CF">
      <w:pPr>
        <w:spacing w:line="93" w:lineRule="exact"/>
      </w:pPr>
    </w:p>
    <w:tbl>
      <w:tblPr>
        <w:tblStyle w:val="5"/>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5"/>
        <w:gridCol w:w="410"/>
        <w:gridCol w:w="529"/>
        <w:gridCol w:w="1508"/>
        <w:gridCol w:w="1388"/>
        <w:gridCol w:w="709"/>
        <w:gridCol w:w="769"/>
        <w:gridCol w:w="799"/>
        <w:gridCol w:w="509"/>
        <w:gridCol w:w="1828"/>
        <w:gridCol w:w="145"/>
      </w:tblGrid>
      <w:tr w14:paraId="193A1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3" w:hRule="atLeast"/>
        </w:trPr>
        <w:tc>
          <w:tcPr>
            <w:tcW w:w="335" w:type="dxa"/>
            <w:vMerge w:val="restart"/>
            <w:tcBorders>
              <w:bottom w:val="nil"/>
            </w:tcBorders>
            <w:vAlign w:val="top"/>
          </w:tcPr>
          <w:p w14:paraId="2A75A68F">
            <w:pPr>
              <w:rPr>
                <w:rFonts w:ascii="Arial"/>
                <w:sz w:val="21"/>
              </w:rPr>
            </w:pPr>
          </w:p>
        </w:tc>
        <w:tc>
          <w:tcPr>
            <w:tcW w:w="8594" w:type="dxa"/>
            <w:gridSpan w:val="10"/>
            <w:vAlign w:val="top"/>
          </w:tcPr>
          <w:p w14:paraId="625E711C">
            <w:pPr>
              <w:pStyle w:val="6"/>
              <w:spacing w:before="12" w:line="435" w:lineRule="auto"/>
              <w:ind w:left="19" w:right="10" w:firstLine="10"/>
              <w:jc w:val="both"/>
              <w:rPr>
                <w:sz w:val="20"/>
                <w:szCs w:val="20"/>
              </w:rPr>
            </w:pPr>
            <w:r>
              <w:rPr>
                <w:spacing w:val="42"/>
                <w:sz w:val="20"/>
                <w:szCs w:val="20"/>
              </w:rPr>
              <w:t>占地区、场内道路、集电线路、升压站等工程占</w:t>
            </w:r>
            <w:r>
              <w:rPr>
                <w:spacing w:val="41"/>
                <w:sz w:val="20"/>
                <w:szCs w:val="20"/>
              </w:rPr>
              <w:t>地区及上述工程区外延500m范围</w:t>
            </w:r>
            <w:r>
              <w:rPr>
                <w:sz w:val="20"/>
                <w:szCs w:val="20"/>
              </w:rPr>
              <w:t xml:space="preserve"> </w:t>
            </w:r>
            <w:r>
              <w:rPr>
                <w:spacing w:val="43"/>
                <w:sz w:val="20"/>
                <w:szCs w:val="20"/>
              </w:rPr>
              <w:t>的区域。项目生态保护目标为工程占地区(包括永久占地、临时占地，除升压站)</w:t>
            </w:r>
            <w:r>
              <w:rPr>
                <w:spacing w:val="4"/>
                <w:sz w:val="20"/>
                <w:szCs w:val="20"/>
              </w:rPr>
              <w:t xml:space="preserve"> </w:t>
            </w:r>
            <w:r>
              <w:rPr>
                <w:spacing w:val="42"/>
                <w:sz w:val="20"/>
                <w:szCs w:val="20"/>
              </w:rPr>
              <w:t>及占地区外延500m范围的区域植被、植物、动物，保护评价区内</w:t>
            </w:r>
            <w:r>
              <w:rPr>
                <w:spacing w:val="41"/>
                <w:sz w:val="20"/>
                <w:szCs w:val="20"/>
              </w:rPr>
              <w:t>生态系统稳定性</w:t>
            </w:r>
            <w:r>
              <w:rPr>
                <w:sz w:val="20"/>
                <w:szCs w:val="20"/>
              </w:rPr>
              <w:t xml:space="preserve"> </w:t>
            </w:r>
            <w:r>
              <w:rPr>
                <w:spacing w:val="30"/>
                <w:sz w:val="20"/>
                <w:szCs w:val="20"/>
              </w:rPr>
              <w:t>和完整性</w:t>
            </w:r>
            <w:r>
              <w:rPr>
                <w:spacing w:val="-42"/>
                <w:sz w:val="20"/>
                <w:szCs w:val="20"/>
              </w:rPr>
              <w:t xml:space="preserve"> </w:t>
            </w:r>
            <w:r>
              <w:rPr>
                <w:spacing w:val="30"/>
                <w:sz w:val="20"/>
                <w:szCs w:val="20"/>
              </w:rPr>
              <w:t>。</w:t>
            </w:r>
          </w:p>
          <w:p w14:paraId="5068ACF3">
            <w:pPr>
              <w:pStyle w:val="6"/>
              <w:spacing w:before="15" w:line="219" w:lineRule="auto"/>
              <w:ind w:left="480"/>
              <w:rPr>
                <w:sz w:val="20"/>
                <w:szCs w:val="20"/>
              </w:rPr>
            </w:pPr>
            <w:r>
              <w:rPr>
                <w:spacing w:val="24"/>
                <w:sz w:val="20"/>
                <w:szCs w:val="20"/>
              </w:rPr>
              <w:t>项目主要环境保护目标</w:t>
            </w:r>
            <w:r>
              <w:rPr>
                <w:spacing w:val="-42"/>
                <w:sz w:val="20"/>
                <w:szCs w:val="20"/>
              </w:rPr>
              <w:t xml:space="preserve"> </w:t>
            </w:r>
            <w:r>
              <w:rPr>
                <w:spacing w:val="24"/>
                <w:sz w:val="20"/>
                <w:szCs w:val="20"/>
              </w:rPr>
              <w:t>一</w:t>
            </w:r>
            <w:r>
              <w:rPr>
                <w:spacing w:val="-50"/>
                <w:sz w:val="20"/>
                <w:szCs w:val="20"/>
              </w:rPr>
              <w:t xml:space="preserve"> </w:t>
            </w:r>
            <w:r>
              <w:rPr>
                <w:spacing w:val="24"/>
                <w:sz w:val="20"/>
                <w:szCs w:val="20"/>
              </w:rPr>
              <w:t>览表详见表3</w:t>
            </w:r>
            <w:r>
              <w:rPr>
                <w:spacing w:val="-56"/>
                <w:sz w:val="20"/>
                <w:szCs w:val="20"/>
              </w:rPr>
              <w:t xml:space="preserve"> </w:t>
            </w:r>
            <w:r>
              <w:rPr>
                <w:spacing w:val="24"/>
                <w:sz w:val="20"/>
                <w:szCs w:val="20"/>
              </w:rPr>
              <w:t>-</w:t>
            </w:r>
            <w:r>
              <w:rPr>
                <w:spacing w:val="-53"/>
                <w:sz w:val="20"/>
                <w:szCs w:val="20"/>
              </w:rPr>
              <w:t xml:space="preserve"> </w:t>
            </w:r>
            <w:r>
              <w:rPr>
                <w:spacing w:val="24"/>
                <w:sz w:val="20"/>
                <w:szCs w:val="20"/>
              </w:rPr>
              <w:t>8。</w:t>
            </w:r>
          </w:p>
          <w:p w14:paraId="37B36E84">
            <w:pPr>
              <w:pStyle w:val="6"/>
              <w:spacing w:before="210" w:line="220" w:lineRule="auto"/>
              <w:ind w:left="2482"/>
              <w:rPr>
                <w:sz w:val="20"/>
                <w:szCs w:val="20"/>
              </w:rPr>
            </w:pPr>
            <w:r>
              <w:rPr>
                <w:b/>
                <w:bCs/>
                <w:spacing w:val="-13"/>
                <w:sz w:val="20"/>
                <w:szCs w:val="20"/>
              </w:rPr>
              <w:t>表</w:t>
            </w:r>
            <w:r>
              <w:rPr>
                <w:spacing w:val="-31"/>
                <w:sz w:val="20"/>
                <w:szCs w:val="20"/>
              </w:rPr>
              <w:t xml:space="preserve"> </w:t>
            </w:r>
            <w:r>
              <w:rPr>
                <w:b/>
                <w:bCs/>
                <w:spacing w:val="-13"/>
                <w:sz w:val="20"/>
                <w:szCs w:val="20"/>
              </w:rPr>
              <w:t>3</w:t>
            </w:r>
            <w:r>
              <w:rPr>
                <w:spacing w:val="-36"/>
                <w:sz w:val="20"/>
                <w:szCs w:val="20"/>
              </w:rPr>
              <w:t xml:space="preserve"> </w:t>
            </w:r>
            <w:r>
              <w:rPr>
                <w:b/>
                <w:bCs/>
                <w:spacing w:val="-13"/>
                <w:sz w:val="20"/>
                <w:szCs w:val="20"/>
              </w:rPr>
              <w:t>-</w:t>
            </w:r>
            <w:r>
              <w:rPr>
                <w:spacing w:val="-33"/>
                <w:sz w:val="20"/>
                <w:szCs w:val="20"/>
              </w:rPr>
              <w:t xml:space="preserve"> </w:t>
            </w:r>
            <w:r>
              <w:rPr>
                <w:b/>
                <w:bCs/>
                <w:spacing w:val="-13"/>
                <w:sz w:val="20"/>
                <w:szCs w:val="20"/>
              </w:rPr>
              <w:t>8</w:t>
            </w:r>
            <w:r>
              <w:rPr>
                <w:spacing w:val="-31"/>
                <w:sz w:val="20"/>
                <w:szCs w:val="20"/>
              </w:rPr>
              <w:t xml:space="preserve"> </w:t>
            </w:r>
            <w:r>
              <w:rPr>
                <w:b/>
                <w:bCs/>
                <w:spacing w:val="-13"/>
                <w:sz w:val="20"/>
                <w:szCs w:val="20"/>
              </w:rPr>
              <w:t>项</w:t>
            </w:r>
            <w:r>
              <w:rPr>
                <w:spacing w:val="-13"/>
                <w:sz w:val="20"/>
                <w:szCs w:val="20"/>
              </w:rPr>
              <w:t xml:space="preserve"> </w:t>
            </w:r>
            <w:r>
              <w:rPr>
                <w:b/>
                <w:bCs/>
                <w:spacing w:val="-13"/>
                <w:sz w:val="20"/>
                <w:szCs w:val="20"/>
              </w:rPr>
              <w:t>目</w:t>
            </w:r>
            <w:r>
              <w:rPr>
                <w:spacing w:val="-33"/>
                <w:sz w:val="20"/>
                <w:szCs w:val="20"/>
              </w:rPr>
              <w:t xml:space="preserve"> </w:t>
            </w:r>
            <w:r>
              <w:rPr>
                <w:b/>
                <w:bCs/>
                <w:spacing w:val="-13"/>
                <w:sz w:val="20"/>
                <w:szCs w:val="20"/>
              </w:rPr>
              <w:t>主</w:t>
            </w:r>
            <w:r>
              <w:rPr>
                <w:spacing w:val="-33"/>
                <w:sz w:val="20"/>
                <w:szCs w:val="20"/>
              </w:rPr>
              <w:t xml:space="preserve"> </w:t>
            </w:r>
            <w:r>
              <w:rPr>
                <w:b/>
                <w:bCs/>
                <w:spacing w:val="-13"/>
                <w:sz w:val="20"/>
                <w:szCs w:val="20"/>
              </w:rPr>
              <w:t>要</w:t>
            </w:r>
            <w:r>
              <w:rPr>
                <w:spacing w:val="-34"/>
                <w:sz w:val="20"/>
                <w:szCs w:val="20"/>
              </w:rPr>
              <w:t xml:space="preserve"> </w:t>
            </w:r>
            <w:r>
              <w:rPr>
                <w:b/>
                <w:bCs/>
                <w:spacing w:val="-13"/>
                <w:sz w:val="20"/>
                <w:szCs w:val="20"/>
              </w:rPr>
              <w:t>环</w:t>
            </w:r>
            <w:r>
              <w:rPr>
                <w:spacing w:val="-33"/>
                <w:sz w:val="20"/>
                <w:szCs w:val="20"/>
              </w:rPr>
              <w:t xml:space="preserve"> </w:t>
            </w:r>
            <w:r>
              <w:rPr>
                <w:b/>
                <w:bCs/>
                <w:spacing w:val="-13"/>
                <w:sz w:val="20"/>
                <w:szCs w:val="20"/>
              </w:rPr>
              <w:t>境</w:t>
            </w:r>
            <w:r>
              <w:rPr>
                <w:spacing w:val="-33"/>
                <w:sz w:val="20"/>
                <w:szCs w:val="20"/>
              </w:rPr>
              <w:t xml:space="preserve"> </w:t>
            </w:r>
            <w:r>
              <w:rPr>
                <w:b/>
                <w:bCs/>
                <w:spacing w:val="-13"/>
                <w:sz w:val="20"/>
                <w:szCs w:val="20"/>
              </w:rPr>
              <w:t>保</w:t>
            </w:r>
            <w:r>
              <w:rPr>
                <w:spacing w:val="-33"/>
                <w:sz w:val="20"/>
                <w:szCs w:val="20"/>
              </w:rPr>
              <w:t xml:space="preserve"> </w:t>
            </w:r>
            <w:r>
              <w:rPr>
                <w:b/>
                <w:bCs/>
                <w:spacing w:val="-13"/>
                <w:sz w:val="20"/>
                <w:szCs w:val="20"/>
              </w:rPr>
              <w:t>护</w:t>
            </w:r>
            <w:r>
              <w:rPr>
                <w:spacing w:val="-13"/>
                <w:sz w:val="20"/>
                <w:szCs w:val="20"/>
              </w:rPr>
              <w:t xml:space="preserve"> </w:t>
            </w:r>
            <w:r>
              <w:rPr>
                <w:b/>
                <w:bCs/>
                <w:spacing w:val="-13"/>
                <w:sz w:val="20"/>
                <w:szCs w:val="20"/>
              </w:rPr>
              <w:t>目</w:t>
            </w:r>
            <w:r>
              <w:rPr>
                <w:spacing w:val="-34"/>
                <w:sz w:val="20"/>
                <w:szCs w:val="20"/>
              </w:rPr>
              <w:t xml:space="preserve"> </w:t>
            </w:r>
            <w:r>
              <w:rPr>
                <w:b/>
                <w:bCs/>
                <w:spacing w:val="-13"/>
                <w:sz w:val="20"/>
                <w:szCs w:val="20"/>
              </w:rPr>
              <w:t>标</w:t>
            </w:r>
            <w:r>
              <w:rPr>
                <w:spacing w:val="-30"/>
                <w:sz w:val="20"/>
                <w:szCs w:val="20"/>
              </w:rPr>
              <w:t xml:space="preserve"> </w:t>
            </w:r>
            <w:r>
              <w:rPr>
                <w:b/>
                <w:bCs/>
                <w:spacing w:val="-13"/>
                <w:sz w:val="20"/>
                <w:szCs w:val="20"/>
              </w:rPr>
              <w:t>一</w:t>
            </w:r>
            <w:r>
              <w:rPr>
                <w:spacing w:val="-31"/>
                <w:sz w:val="20"/>
                <w:szCs w:val="20"/>
              </w:rPr>
              <w:t xml:space="preserve"> </w:t>
            </w:r>
            <w:r>
              <w:rPr>
                <w:b/>
                <w:bCs/>
                <w:spacing w:val="-13"/>
                <w:sz w:val="20"/>
                <w:szCs w:val="20"/>
              </w:rPr>
              <w:t>览</w:t>
            </w:r>
            <w:r>
              <w:rPr>
                <w:spacing w:val="-34"/>
                <w:sz w:val="20"/>
                <w:szCs w:val="20"/>
              </w:rPr>
              <w:t xml:space="preserve"> </w:t>
            </w:r>
            <w:r>
              <w:rPr>
                <w:b/>
                <w:bCs/>
                <w:spacing w:val="-13"/>
                <w:sz w:val="20"/>
                <w:szCs w:val="20"/>
              </w:rPr>
              <w:t>表</w:t>
            </w:r>
          </w:p>
        </w:tc>
      </w:tr>
      <w:tr w14:paraId="16754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35" w:type="dxa"/>
            <w:vMerge w:val="continue"/>
            <w:tcBorders>
              <w:top w:val="nil"/>
              <w:bottom w:val="nil"/>
            </w:tcBorders>
            <w:vAlign w:val="top"/>
          </w:tcPr>
          <w:p w14:paraId="6623B966">
            <w:pPr>
              <w:rPr>
                <w:rFonts w:ascii="Arial"/>
                <w:sz w:val="21"/>
              </w:rPr>
            </w:pPr>
          </w:p>
        </w:tc>
        <w:tc>
          <w:tcPr>
            <w:tcW w:w="410" w:type="dxa"/>
            <w:vMerge w:val="restart"/>
            <w:tcBorders>
              <w:bottom w:val="nil"/>
            </w:tcBorders>
            <w:textDirection w:val="tbRlV"/>
            <w:vAlign w:val="top"/>
          </w:tcPr>
          <w:p w14:paraId="282E5312">
            <w:pPr>
              <w:pStyle w:val="6"/>
              <w:spacing w:before="128" w:line="200" w:lineRule="auto"/>
              <w:ind w:left="134"/>
              <w:rPr>
                <w:sz w:val="20"/>
                <w:szCs w:val="20"/>
              </w:rPr>
            </w:pPr>
            <w:r>
              <w:rPr>
                <w:sz w:val="20"/>
                <w:szCs w:val="20"/>
              </w:rPr>
              <w:t>环</w:t>
            </w:r>
            <w:r>
              <w:rPr>
                <w:spacing w:val="-13"/>
                <w:sz w:val="20"/>
                <w:szCs w:val="20"/>
              </w:rPr>
              <w:t xml:space="preserve"> </w:t>
            </w:r>
            <w:r>
              <w:rPr>
                <w:sz w:val="20"/>
                <w:szCs w:val="20"/>
              </w:rPr>
              <w:t>境</w:t>
            </w:r>
            <w:r>
              <w:rPr>
                <w:spacing w:val="-13"/>
                <w:sz w:val="20"/>
                <w:szCs w:val="20"/>
              </w:rPr>
              <w:t xml:space="preserve"> </w:t>
            </w:r>
            <w:r>
              <w:rPr>
                <w:sz w:val="20"/>
                <w:szCs w:val="20"/>
              </w:rPr>
              <w:t>要</w:t>
            </w:r>
            <w:r>
              <w:rPr>
                <w:spacing w:val="-13"/>
                <w:sz w:val="20"/>
                <w:szCs w:val="20"/>
              </w:rPr>
              <w:t xml:space="preserve"> </w:t>
            </w:r>
            <w:r>
              <w:rPr>
                <w:sz w:val="20"/>
                <w:szCs w:val="20"/>
              </w:rPr>
              <w:t>素</w:t>
            </w:r>
          </w:p>
        </w:tc>
        <w:tc>
          <w:tcPr>
            <w:tcW w:w="529" w:type="dxa"/>
            <w:vMerge w:val="restart"/>
            <w:tcBorders>
              <w:bottom w:val="nil"/>
            </w:tcBorders>
            <w:textDirection w:val="tbRlV"/>
            <w:vAlign w:val="top"/>
          </w:tcPr>
          <w:p w14:paraId="217F5E12">
            <w:pPr>
              <w:pStyle w:val="6"/>
              <w:spacing w:before="156" w:line="202" w:lineRule="auto"/>
              <w:ind w:left="143"/>
              <w:rPr>
                <w:sz w:val="20"/>
                <w:szCs w:val="20"/>
              </w:rPr>
            </w:pPr>
            <w:r>
              <w:rPr>
                <w:sz w:val="20"/>
                <w:szCs w:val="20"/>
              </w:rPr>
              <w:t>保</w:t>
            </w:r>
            <w:r>
              <w:rPr>
                <w:spacing w:val="-16"/>
                <w:sz w:val="20"/>
                <w:szCs w:val="20"/>
              </w:rPr>
              <w:t xml:space="preserve"> </w:t>
            </w:r>
            <w:r>
              <w:rPr>
                <w:sz w:val="20"/>
                <w:szCs w:val="20"/>
              </w:rPr>
              <w:t>护</w:t>
            </w:r>
            <w:r>
              <w:rPr>
                <w:spacing w:val="-16"/>
                <w:sz w:val="20"/>
                <w:szCs w:val="20"/>
              </w:rPr>
              <w:t xml:space="preserve"> </w:t>
            </w:r>
            <w:r>
              <w:rPr>
                <w:sz w:val="20"/>
                <w:szCs w:val="20"/>
              </w:rPr>
              <w:t>对</w:t>
            </w:r>
            <w:r>
              <w:rPr>
                <w:spacing w:val="-16"/>
                <w:sz w:val="20"/>
                <w:szCs w:val="20"/>
              </w:rPr>
              <w:t xml:space="preserve"> </w:t>
            </w:r>
            <w:r>
              <w:rPr>
                <w:sz w:val="20"/>
                <w:szCs w:val="20"/>
              </w:rPr>
              <w:t>象</w:t>
            </w:r>
          </w:p>
        </w:tc>
        <w:tc>
          <w:tcPr>
            <w:tcW w:w="2896" w:type="dxa"/>
            <w:gridSpan w:val="2"/>
            <w:vAlign w:val="top"/>
          </w:tcPr>
          <w:p w14:paraId="0C1285BE">
            <w:pPr>
              <w:pStyle w:val="6"/>
              <w:spacing w:before="27" w:line="205" w:lineRule="auto"/>
              <w:ind w:left="1153"/>
              <w:rPr>
                <w:sz w:val="20"/>
                <w:szCs w:val="20"/>
              </w:rPr>
            </w:pPr>
            <w:r>
              <w:rPr>
                <w:b/>
                <w:bCs/>
                <w:spacing w:val="-5"/>
                <w:sz w:val="20"/>
                <w:szCs w:val="20"/>
              </w:rPr>
              <w:t>经纬度</w:t>
            </w:r>
          </w:p>
        </w:tc>
        <w:tc>
          <w:tcPr>
            <w:tcW w:w="709" w:type="dxa"/>
            <w:vMerge w:val="restart"/>
            <w:tcBorders>
              <w:bottom w:val="nil"/>
            </w:tcBorders>
            <w:vAlign w:val="top"/>
          </w:tcPr>
          <w:p w14:paraId="318691BF">
            <w:pPr>
              <w:spacing w:line="330" w:lineRule="auto"/>
              <w:rPr>
                <w:rFonts w:ascii="Arial"/>
                <w:sz w:val="21"/>
              </w:rPr>
            </w:pPr>
          </w:p>
          <w:p w14:paraId="79CE79E1">
            <w:pPr>
              <w:pStyle w:val="6"/>
              <w:spacing w:before="65" w:line="251" w:lineRule="auto"/>
              <w:ind w:left="167" w:right="126" w:hanging="20"/>
              <w:rPr>
                <w:sz w:val="20"/>
                <w:szCs w:val="20"/>
              </w:rPr>
            </w:pPr>
            <w:r>
              <w:rPr>
                <w:b/>
                <w:bCs/>
                <w:spacing w:val="-7"/>
                <w:sz w:val="20"/>
                <w:szCs w:val="20"/>
              </w:rPr>
              <w:t>保护</w:t>
            </w:r>
            <w:r>
              <w:rPr>
                <w:sz w:val="20"/>
                <w:szCs w:val="20"/>
              </w:rPr>
              <w:t xml:space="preserve"> </w:t>
            </w:r>
            <w:r>
              <w:rPr>
                <w:b/>
                <w:bCs/>
                <w:sz w:val="20"/>
                <w:szCs w:val="20"/>
              </w:rPr>
              <w:t>内容</w:t>
            </w:r>
          </w:p>
        </w:tc>
        <w:tc>
          <w:tcPr>
            <w:tcW w:w="1568" w:type="dxa"/>
            <w:gridSpan w:val="2"/>
            <w:vMerge w:val="restart"/>
            <w:tcBorders>
              <w:bottom w:val="nil"/>
            </w:tcBorders>
            <w:vAlign w:val="top"/>
          </w:tcPr>
          <w:p w14:paraId="7ED35AB3">
            <w:pPr>
              <w:pStyle w:val="6"/>
              <w:spacing w:before="207" w:line="220" w:lineRule="auto"/>
              <w:ind w:left="228"/>
              <w:rPr>
                <w:sz w:val="20"/>
                <w:szCs w:val="20"/>
              </w:rPr>
            </w:pPr>
            <w:r>
              <w:rPr>
                <w:b/>
                <w:bCs/>
                <w:sz w:val="20"/>
                <w:szCs w:val="20"/>
              </w:rPr>
              <w:t>相对位置关系</w:t>
            </w:r>
          </w:p>
        </w:tc>
        <w:tc>
          <w:tcPr>
            <w:tcW w:w="509" w:type="dxa"/>
            <w:vMerge w:val="restart"/>
            <w:tcBorders>
              <w:bottom w:val="nil"/>
            </w:tcBorders>
            <w:textDirection w:val="tbRlV"/>
            <w:vAlign w:val="top"/>
          </w:tcPr>
          <w:p w14:paraId="40CD4A6C">
            <w:pPr>
              <w:pStyle w:val="6"/>
              <w:spacing w:before="149" w:line="201" w:lineRule="auto"/>
              <w:rPr>
                <w:sz w:val="20"/>
                <w:szCs w:val="20"/>
              </w:rPr>
            </w:pPr>
            <w:r>
              <w:rPr>
                <w:spacing w:val="-1"/>
                <w:sz w:val="20"/>
                <w:szCs w:val="20"/>
              </w:rPr>
              <w:t>环</w:t>
            </w:r>
            <w:r>
              <w:rPr>
                <w:spacing w:val="-13"/>
                <w:sz w:val="20"/>
                <w:szCs w:val="20"/>
              </w:rPr>
              <w:t xml:space="preserve"> </w:t>
            </w:r>
            <w:r>
              <w:rPr>
                <w:spacing w:val="-1"/>
                <w:sz w:val="20"/>
                <w:szCs w:val="20"/>
              </w:rPr>
              <w:t>境</w:t>
            </w:r>
            <w:r>
              <w:rPr>
                <w:spacing w:val="-14"/>
                <w:sz w:val="20"/>
                <w:szCs w:val="20"/>
              </w:rPr>
              <w:t xml:space="preserve"> </w:t>
            </w:r>
            <w:r>
              <w:rPr>
                <w:spacing w:val="-1"/>
                <w:sz w:val="20"/>
                <w:szCs w:val="20"/>
              </w:rPr>
              <w:t>功</w:t>
            </w:r>
            <w:r>
              <w:rPr>
                <w:spacing w:val="-14"/>
                <w:sz w:val="20"/>
                <w:szCs w:val="20"/>
              </w:rPr>
              <w:t xml:space="preserve"> </w:t>
            </w:r>
            <w:r>
              <w:rPr>
                <w:spacing w:val="-1"/>
                <w:sz w:val="20"/>
                <w:szCs w:val="20"/>
              </w:rPr>
              <w:t>能</w:t>
            </w:r>
            <w:r>
              <w:rPr>
                <w:spacing w:val="-13"/>
                <w:sz w:val="20"/>
                <w:szCs w:val="20"/>
              </w:rPr>
              <w:t xml:space="preserve"> </w:t>
            </w:r>
            <w:r>
              <w:rPr>
                <w:spacing w:val="-1"/>
                <w:sz w:val="20"/>
                <w:szCs w:val="20"/>
              </w:rPr>
              <w:t>区</w:t>
            </w:r>
          </w:p>
        </w:tc>
        <w:tc>
          <w:tcPr>
            <w:tcW w:w="1828" w:type="dxa"/>
            <w:vMerge w:val="restart"/>
            <w:tcBorders>
              <w:bottom w:val="nil"/>
            </w:tcBorders>
            <w:vAlign w:val="top"/>
          </w:tcPr>
          <w:p w14:paraId="4CFFC8AB">
            <w:pPr>
              <w:spacing w:line="254" w:lineRule="auto"/>
              <w:rPr>
                <w:rFonts w:ascii="Arial"/>
                <w:sz w:val="21"/>
              </w:rPr>
            </w:pPr>
          </w:p>
          <w:p w14:paraId="5C39DBF2">
            <w:pPr>
              <w:spacing w:line="255" w:lineRule="auto"/>
              <w:rPr>
                <w:rFonts w:ascii="Arial"/>
                <w:sz w:val="21"/>
              </w:rPr>
            </w:pPr>
          </w:p>
          <w:p w14:paraId="43D9901F">
            <w:pPr>
              <w:pStyle w:val="6"/>
              <w:spacing w:before="65" w:line="220" w:lineRule="auto"/>
              <w:ind w:left="511"/>
              <w:rPr>
                <w:sz w:val="20"/>
                <w:szCs w:val="20"/>
              </w:rPr>
            </w:pPr>
            <w:r>
              <w:rPr>
                <w:b/>
                <w:bCs/>
                <w:spacing w:val="-4"/>
                <w:sz w:val="20"/>
                <w:szCs w:val="20"/>
              </w:rPr>
              <w:t>保护级别</w:t>
            </w:r>
          </w:p>
        </w:tc>
        <w:tc>
          <w:tcPr>
            <w:tcW w:w="145" w:type="dxa"/>
            <w:vMerge w:val="restart"/>
            <w:tcBorders>
              <w:bottom w:val="nil"/>
            </w:tcBorders>
            <w:vAlign w:val="top"/>
          </w:tcPr>
          <w:p w14:paraId="0D71FBED">
            <w:pPr>
              <w:rPr>
                <w:rFonts w:ascii="Arial"/>
                <w:sz w:val="21"/>
              </w:rPr>
            </w:pPr>
          </w:p>
        </w:tc>
      </w:tr>
      <w:tr w14:paraId="0B289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5" w:type="dxa"/>
            <w:vMerge w:val="continue"/>
            <w:tcBorders>
              <w:top w:val="nil"/>
              <w:bottom w:val="nil"/>
            </w:tcBorders>
            <w:vAlign w:val="top"/>
          </w:tcPr>
          <w:p w14:paraId="7A81ACC7">
            <w:pPr>
              <w:rPr>
                <w:rFonts w:ascii="Arial"/>
                <w:sz w:val="21"/>
              </w:rPr>
            </w:pPr>
          </w:p>
        </w:tc>
        <w:tc>
          <w:tcPr>
            <w:tcW w:w="410" w:type="dxa"/>
            <w:vMerge w:val="continue"/>
            <w:tcBorders>
              <w:top w:val="nil"/>
              <w:bottom w:val="nil"/>
            </w:tcBorders>
            <w:textDirection w:val="tbRlV"/>
            <w:vAlign w:val="top"/>
          </w:tcPr>
          <w:p w14:paraId="0BACAA9C">
            <w:pPr>
              <w:rPr>
                <w:rFonts w:ascii="Arial"/>
                <w:sz w:val="21"/>
              </w:rPr>
            </w:pPr>
          </w:p>
        </w:tc>
        <w:tc>
          <w:tcPr>
            <w:tcW w:w="529" w:type="dxa"/>
            <w:vMerge w:val="continue"/>
            <w:tcBorders>
              <w:top w:val="nil"/>
              <w:bottom w:val="nil"/>
            </w:tcBorders>
            <w:textDirection w:val="tbRlV"/>
            <w:vAlign w:val="top"/>
          </w:tcPr>
          <w:p w14:paraId="3A326AA5">
            <w:pPr>
              <w:rPr>
                <w:rFonts w:ascii="Arial"/>
                <w:sz w:val="21"/>
              </w:rPr>
            </w:pPr>
          </w:p>
        </w:tc>
        <w:tc>
          <w:tcPr>
            <w:tcW w:w="1508" w:type="dxa"/>
            <w:vMerge w:val="restart"/>
            <w:tcBorders>
              <w:bottom w:val="nil"/>
            </w:tcBorders>
            <w:vAlign w:val="top"/>
          </w:tcPr>
          <w:p w14:paraId="4E180D55">
            <w:pPr>
              <w:spacing w:line="370" w:lineRule="auto"/>
              <w:rPr>
                <w:rFonts w:ascii="Arial"/>
                <w:sz w:val="21"/>
              </w:rPr>
            </w:pPr>
          </w:p>
          <w:p w14:paraId="4F27625E">
            <w:pPr>
              <w:pStyle w:val="6"/>
              <w:spacing w:before="65" w:line="220" w:lineRule="auto"/>
              <w:ind w:left="543"/>
              <w:rPr>
                <w:sz w:val="20"/>
                <w:szCs w:val="20"/>
              </w:rPr>
            </w:pPr>
            <w:r>
              <w:rPr>
                <w:b/>
                <w:bCs/>
                <w:spacing w:val="-5"/>
                <w:sz w:val="20"/>
                <w:szCs w:val="20"/>
              </w:rPr>
              <w:t>经度</w:t>
            </w:r>
          </w:p>
        </w:tc>
        <w:tc>
          <w:tcPr>
            <w:tcW w:w="1388" w:type="dxa"/>
            <w:vMerge w:val="restart"/>
            <w:tcBorders>
              <w:bottom w:val="nil"/>
            </w:tcBorders>
            <w:vAlign w:val="top"/>
          </w:tcPr>
          <w:p w14:paraId="6639C401">
            <w:pPr>
              <w:spacing w:line="370" w:lineRule="auto"/>
              <w:rPr>
                <w:rFonts w:ascii="Arial"/>
                <w:sz w:val="21"/>
              </w:rPr>
            </w:pPr>
          </w:p>
          <w:p w14:paraId="3B53F1B9">
            <w:pPr>
              <w:pStyle w:val="6"/>
              <w:spacing w:before="65" w:line="220" w:lineRule="auto"/>
              <w:ind w:left="485"/>
              <w:rPr>
                <w:sz w:val="20"/>
                <w:szCs w:val="20"/>
              </w:rPr>
            </w:pPr>
            <w:r>
              <w:rPr>
                <w:b/>
                <w:bCs/>
                <w:spacing w:val="-5"/>
                <w:sz w:val="20"/>
                <w:szCs w:val="20"/>
              </w:rPr>
              <w:t>纬度</w:t>
            </w:r>
          </w:p>
        </w:tc>
        <w:tc>
          <w:tcPr>
            <w:tcW w:w="709" w:type="dxa"/>
            <w:vMerge w:val="continue"/>
            <w:tcBorders>
              <w:top w:val="nil"/>
              <w:bottom w:val="nil"/>
            </w:tcBorders>
            <w:vAlign w:val="top"/>
          </w:tcPr>
          <w:p w14:paraId="0BEC97CA">
            <w:pPr>
              <w:rPr>
                <w:rFonts w:ascii="Arial"/>
                <w:sz w:val="21"/>
              </w:rPr>
            </w:pPr>
          </w:p>
        </w:tc>
        <w:tc>
          <w:tcPr>
            <w:tcW w:w="1568" w:type="dxa"/>
            <w:gridSpan w:val="2"/>
            <w:vMerge w:val="continue"/>
            <w:tcBorders>
              <w:top w:val="nil"/>
            </w:tcBorders>
            <w:vAlign w:val="top"/>
          </w:tcPr>
          <w:p w14:paraId="1F276796">
            <w:pPr>
              <w:rPr>
                <w:rFonts w:ascii="Arial"/>
                <w:sz w:val="21"/>
              </w:rPr>
            </w:pPr>
          </w:p>
        </w:tc>
        <w:tc>
          <w:tcPr>
            <w:tcW w:w="509" w:type="dxa"/>
            <w:vMerge w:val="continue"/>
            <w:tcBorders>
              <w:top w:val="nil"/>
              <w:bottom w:val="nil"/>
            </w:tcBorders>
            <w:textDirection w:val="tbRlV"/>
            <w:vAlign w:val="top"/>
          </w:tcPr>
          <w:p w14:paraId="226BEA4E">
            <w:pPr>
              <w:rPr>
                <w:rFonts w:ascii="Arial"/>
                <w:sz w:val="21"/>
              </w:rPr>
            </w:pPr>
          </w:p>
        </w:tc>
        <w:tc>
          <w:tcPr>
            <w:tcW w:w="1828" w:type="dxa"/>
            <w:vMerge w:val="continue"/>
            <w:tcBorders>
              <w:top w:val="nil"/>
              <w:bottom w:val="nil"/>
            </w:tcBorders>
            <w:vAlign w:val="top"/>
          </w:tcPr>
          <w:p w14:paraId="31BBFEF9">
            <w:pPr>
              <w:rPr>
                <w:rFonts w:ascii="Arial"/>
                <w:sz w:val="21"/>
              </w:rPr>
            </w:pPr>
          </w:p>
        </w:tc>
        <w:tc>
          <w:tcPr>
            <w:tcW w:w="145" w:type="dxa"/>
            <w:vMerge w:val="continue"/>
            <w:tcBorders>
              <w:top w:val="nil"/>
              <w:bottom w:val="nil"/>
            </w:tcBorders>
            <w:vAlign w:val="top"/>
          </w:tcPr>
          <w:p w14:paraId="4823F509">
            <w:pPr>
              <w:rPr>
                <w:rFonts w:ascii="Arial"/>
                <w:sz w:val="21"/>
              </w:rPr>
            </w:pPr>
          </w:p>
        </w:tc>
      </w:tr>
      <w:tr w14:paraId="11130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35" w:type="dxa"/>
            <w:vMerge w:val="continue"/>
            <w:tcBorders>
              <w:top w:val="nil"/>
              <w:bottom w:val="nil"/>
            </w:tcBorders>
            <w:vAlign w:val="top"/>
          </w:tcPr>
          <w:p w14:paraId="16C0348F">
            <w:pPr>
              <w:rPr>
                <w:rFonts w:ascii="Arial"/>
                <w:sz w:val="21"/>
              </w:rPr>
            </w:pPr>
          </w:p>
        </w:tc>
        <w:tc>
          <w:tcPr>
            <w:tcW w:w="410" w:type="dxa"/>
            <w:vMerge w:val="continue"/>
            <w:tcBorders>
              <w:top w:val="nil"/>
            </w:tcBorders>
            <w:textDirection w:val="tbRlV"/>
            <w:vAlign w:val="top"/>
          </w:tcPr>
          <w:p w14:paraId="0BC56ADA">
            <w:pPr>
              <w:rPr>
                <w:rFonts w:ascii="Arial"/>
                <w:sz w:val="21"/>
              </w:rPr>
            </w:pPr>
          </w:p>
        </w:tc>
        <w:tc>
          <w:tcPr>
            <w:tcW w:w="529" w:type="dxa"/>
            <w:vMerge w:val="continue"/>
            <w:tcBorders>
              <w:top w:val="nil"/>
            </w:tcBorders>
            <w:textDirection w:val="tbRlV"/>
            <w:vAlign w:val="top"/>
          </w:tcPr>
          <w:p w14:paraId="063D931B">
            <w:pPr>
              <w:rPr>
                <w:rFonts w:ascii="Arial"/>
                <w:sz w:val="21"/>
              </w:rPr>
            </w:pPr>
          </w:p>
        </w:tc>
        <w:tc>
          <w:tcPr>
            <w:tcW w:w="1508" w:type="dxa"/>
            <w:vMerge w:val="continue"/>
            <w:tcBorders>
              <w:top w:val="nil"/>
            </w:tcBorders>
            <w:vAlign w:val="top"/>
          </w:tcPr>
          <w:p w14:paraId="4B41DFE6">
            <w:pPr>
              <w:rPr>
                <w:rFonts w:ascii="Arial"/>
                <w:sz w:val="21"/>
              </w:rPr>
            </w:pPr>
          </w:p>
        </w:tc>
        <w:tc>
          <w:tcPr>
            <w:tcW w:w="1388" w:type="dxa"/>
            <w:vMerge w:val="continue"/>
            <w:tcBorders>
              <w:top w:val="nil"/>
            </w:tcBorders>
            <w:vAlign w:val="top"/>
          </w:tcPr>
          <w:p w14:paraId="03F0AEB0">
            <w:pPr>
              <w:rPr>
                <w:rFonts w:ascii="Arial"/>
                <w:sz w:val="21"/>
              </w:rPr>
            </w:pPr>
          </w:p>
        </w:tc>
        <w:tc>
          <w:tcPr>
            <w:tcW w:w="709" w:type="dxa"/>
            <w:vMerge w:val="continue"/>
            <w:tcBorders>
              <w:top w:val="nil"/>
            </w:tcBorders>
            <w:vAlign w:val="top"/>
          </w:tcPr>
          <w:p w14:paraId="4B6DD36B">
            <w:pPr>
              <w:rPr>
                <w:rFonts w:ascii="Arial"/>
                <w:sz w:val="21"/>
              </w:rPr>
            </w:pPr>
          </w:p>
        </w:tc>
        <w:tc>
          <w:tcPr>
            <w:tcW w:w="769" w:type="dxa"/>
            <w:vAlign w:val="top"/>
          </w:tcPr>
          <w:p w14:paraId="3E14C8A9">
            <w:pPr>
              <w:pStyle w:val="6"/>
              <w:spacing w:before="268" w:line="221" w:lineRule="auto"/>
              <w:ind w:left="178"/>
              <w:rPr>
                <w:sz w:val="20"/>
                <w:szCs w:val="20"/>
              </w:rPr>
            </w:pPr>
            <w:r>
              <w:rPr>
                <w:b/>
                <w:bCs/>
                <w:spacing w:val="-5"/>
                <w:sz w:val="20"/>
                <w:szCs w:val="20"/>
              </w:rPr>
              <w:t>方位</w:t>
            </w:r>
          </w:p>
        </w:tc>
        <w:tc>
          <w:tcPr>
            <w:tcW w:w="799" w:type="dxa"/>
            <w:vAlign w:val="top"/>
          </w:tcPr>
          <w:p w14:paraId="5A7CC9CB">
            <w:pPr>
              <w:pStyle w:val="6"/>
              <w:spacing w:before="107" w:line="220" w:lineRule="auto"/>
              <w:ind w:left="199"/>
              <w:rPr>
                <w:sz w:val="20"/>
                <w:szCs w:val="20"/>
              </w:rPr>
            </w:pPr>
            <w:r>
              <w:rPr>
                <w:b/>
                <w:bCs/>
                <w:spacing w:val="-4"/>
                <w:sz w:val="20"/>
                <w:szCs w:val="20"/>
              </w:rPr>
              <w:t>距离</w:t>
            </w:r>
          </w:p>
          <w:p w14:paraId="1D40C370">
            <w:pPr>
              <w:pStyle w:val="6"/>
              <w:spacing w:before="34" w:line="222" w:lineRule="auto"/>
              <w:ind w:left="249"/>
              <w:rPr>
                <w:sz w:val="20"/>
                <w:szCs w:val="20"/>
              </w:rPr>
            </w:pPr>
            <w:r>
              <w:rPr>
                <w:b/>
                <w:bCs/>
                <w:spacing w:val="-12"/>
                <w:sz w:val="20"/>
                <w:szCs w:val="20"/>
              </w:rPr>
              <w:t>(m)</w:t>
            </w:r>
          </w:p>
        </w:tc>
        <w:tc>
          <w:tcPr>
            <w:tcW w:w="509" w:type="dxa"/>
            <w:vMerge w:val="continue"/>
            <w:tcBorders>
              <w:top w:val="nil"/>
            </w:tcBorders>
            <w:textDirection w:val="tbRlV"/>
            <w:vAlign w:val="top"/>
          </w:tcPr>
          <w:p w14:paraId="71030457">
            <w:pPr>
              <w:rPr>
                <w:rFonts w:ascii="Arial"/>
                <w:sz w:val="21"/>
              </w:rPr>
            </w:pPr>
          </w:p>
        </w:tc>
        <w:tc>
          <w:tcPr>
            <w:tcW w:w="1828" w:type="dxa"/>
            <w:vMerge w:val="continue"/>
            <w:tcBorders>
              <w:top w:val="nil"/>
            </w:tcBorders>
            <w:vAlign w:val="top"/>
          </w:tcPr>
          <w:p w14:paraId="2587D66E">
            <w:pPr>
              <w:rPr>
                <w:rFonts w:ascii="Arial"/>
                <w:sz w:val="21"/>
              </w:rPr>
            </w:pPr>
          </w:p>
        </w:tc>
        <w:tc>
          <w:tcPr>
            <w:tcW w:w="145" w:type="dxa"/>
            <w:vMerge w:val="continue"/>
            <w:tcBorders>
              <w:top w:val="nil"/>
              <w:bottom w:val="nil"/>
            </w:tcBorders>
            <w:vAlign w:val="top"/>
          </w:tcPr>
          <w:p w14:paraId="1ACCBBE2">
            <w:pPr>
              <w:rPr>
                <w:rFonts w:ascii="Arial"/>
                <w:sz w:val="21"/>
              </w:rPr>
            </w:pPr>
          </w:p>
        </w:tc>
      </w:tr>
      <w:tr w14:paraId="1BE5A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335" w:type="dxa"/>
            <w:vMerge w:val="continue"/>
            <w:tcBorders>
              <w:top w:val="nil"/>
              <w:bottom w:val="nil"/>
            </w:tcBorders>
            <w:vAlign w:val="top"/>
          </w:tcPr>
          <w:p w14:paraId="36954381">
            <w:pPr>
              <w:rPr>
                <w:rFonts w:ascii="Arial"/>
                <w:sz w:val="21"/>
              </w:rPr>
            </w:pPr>
          </w:p>
        </w:tc>
        <w:tc>
          <w:tcPr>
            <w:tcW w:w="410" w:type="dxa"/>
            <w:vMerge w:val="restart"/>
            <w:tcBorders>
              <w:bottom w:val="nil"/>
            </w:tcBorders>
            <w:textDirection w:val="tbRlV"/>
            <w:vAlign w:val="top"/>
          </w:tcPr>
          <w:p w14:paraId="123E0B91">
            <w:pPr>
              <w:pStyle w:val="6"/>
              <w:spacing w:before="108" w:line="201" w:lineRule="auto"/>
              <w:ind w:left="3835"/>
              <w:rPr>
                <w:sz w:val="20"/>
                <w:szCs w:val="20"/>
              </w:rPr>
            </w:pPr>
            <w:r>
              <w:rPr>
                <w:sz w:val="20"/>
                <w:szCs w:val="20"/>
              </w:rPr>
              <w:t>环 境 空 气</w:t>
            </w:r>
          </w:p>
        </w:tc>
        <w:tc>
          <w:tcPr>
            <w:tcW w:w="529" w:type="dxa"/>
            <w:textDirection w:val="tbRlV"/>
            <w:vAlign w:val="top"/>
          </w:tcPr>
          <w:p w14:paraId="450D3E6B">
            <w:pPr>
              <w:pStyle w:val="6"/>
              <w:spacing w:before="173" w:line="194" w:lineRule="auto"/>
              <w:ind w:left="118"/>
              <w:rPr>
                <w:sz w:val="20"/>
                <w:szCs w:val="20"/>
              </w:rPr>
            </w:pPr>
            <w:r>
              <w:rPr>
                <w:sz w:val="20"/>
                <w:szCs w:val="20"/>
              </w:rPr>
              <w:t>后</w:t>
            </w:r>
            <w:r>
              <w:rPr>
                <w:spacing w:val="66"/>
                <w:sz w:val="20"/>
                <w:szCs w:val="20"/>
              </w:rPr>
              <w:t xml:space="preserve"> </w:t>
            </w:r>
            <w:r>
              <w:rPr>
                <w:sz w:val="20"/>
                <w:szCs w:val="20"/>
              </w:rPr>
              <w:t>山</w:t>
            </w:r>
          </w:p>
        </w:tc>
        <w:tc>
          <w:tcPr>
            <w:tcW w:w="1508" w:type="dxa"/>
            <w:vAlign w:val="top"/>
          </w:tcPr>
          <w:p w14:paraId="6DF815DF">
            <w:pPr>
              <w:spacing w:line="264" w:lineRule="auto"/>
              <w:rPr>
                <w:rFonts w:ascii="Arial"/>
                <w:sz w:val="21"/>
              </w:rPr>
            </w:pPr>
          </w:p>
          <w:p w14:paraId="1566DEC7">
            <w:pPr>
              <w:pStyle w:val="6"/>
              <w:spacing w:before="65" w:line="239" w:lineRule="auto"/>
              <w:ind w:left="40"/>
              <w:rPr>
                <w:sz w:val="20"/>
                <w:szCs w:val="20"/>
              </w:rPr>
            </w:pPr>
            <w:r>
              <w:rPr>
                <w:spacing w:val="-2"/>
                <w:sz w:val="20"/>
                <w:szCs w:val="20"/>
              </w:rPr>
              <w:t>103°20'0.798"</w:t>
            </w:r>
          </w:p>
        </w:tc>
        <w:tc>
          <w:tcPr>
            <w:tcW w:w="1388" w:type="dxa"/>
            <w:vAlign w:val="top"/>
          </w:tcPr>
          <w:p w14:paraId="2B721BEE">
            <w:pPr>
              <w:spacing w:line="264" w:lineRule="auto"/>
              <w:rPr>
                <w:rFonts w:ascii="Arial"/>
                <w:sz w:val="21"/>
              </w:rPr>
            </w:pPr>
          </w:p>
          <w:p w14:paraId="0EE7FFA0">
            <w:pPr>
              <w:pStyle w:val="6"/>
              <w:spacing w:before="65" w:line="239" w:lineRule="auto"/>
              <w:jc w:val="right"/>
              <w:rPr>
                <w:sz w:val="20"/>
                <w:szCs w:val="20"/>
              </w:rPr>
            </w:pPr>
            <w:r>
              <w:rPr>
                <w:spacing w:val="-3"/>
                <w:sz w:val="20"/>
                <w:szCs w:val="20"/>
              </w:rPr>
              <w:t>25°24'48.131"</w:t>
            </w:r>
          </w:p>
        </w:tc>
        <w:tc>
          <w:tcPr>
            <w:tcW w:w="709" w:type="dxa"/>
            <w:vAlign w:val="top"/>
          </w:tcPr>
          <w:p w14:paraId="000BF6C3">
            <w:pPr>
              <w:pStyle w:val="6"/>
              <w:spacing w:before="161" w:line="220" w:lineRule="auto"/>
              <w:ind w:right="4"/>
              <w:jc w:val="right"/>
              <w:rPr>
                <w:sz w:val="20"/>
                <w:szCs w:val="20"/>
              </w:rPr>
            </w:pPr>
            <w:r>
              <w:rPr>
                <w:spacing w:val="-1"/>
                <w:sz w:val="20"/>
                <w:szCs w:val="20"/>
              </w:rPr>
              <w:t>25户，</w:t>
            </w:r>
          </w:p>
          <w:p w14:paraId="53E4D140">
            <w:pPr>
              <w:pStyle w:val="6"/>
              <w:spacing w:before="34" w:line="222" w:lineRule="auto"/>
              <w:ind w:left="94"/>
              <w:rPr>
                <w:sz w:val="20"/>
                <w:szCs w:val="20"/>
              </w:rPr>
            </w:pPr>
            <w:r>
              <w:rPr>
                <w:spacing w:val="2"/>
                <w:sz w:val="20"/>
                <w:szCs w:val="20"/>
              </w:rPr>
              <w:t>103人</w:t>
            </w:r>
          </w:p>
        </w:tc>
        <w:tc>
          <w:tcPr>
            <w:tcW w:w="769" w:type="dxa"/>
            <w:vAlign w:val="top"/>
          </w:tcPr>
          <w:p w14:paraId="328776F9">
            <w:pPr>
              <w:pStyle w:val="6"/>
              <w:spacing w:before="30"/>
              <w:ind w:left="175" w:right="167"/>
              <w:rPr>
                <w:sz w:val="20"/>
                <w:szCs w:val="20"/>
              </w:rPr>
            </w:pPr>
            <w:r>
              <w:rPr>
                <w:spacing w:val="-4"/>
                <w:sz w:val="20"/>
                <w:szCs w:val="20"/>
              </w:rPr>
              <w:t>2#阵</w:t>
            </w:r>
            <w:r>
              <w:rPr>
                <w:sz w:val="20"/>
                <w:szCs w:val="20"/>
              </w:rPr>
              <w:t xml:space="preserve"> </w:t>
            </w:r>
            <w:r>
              <w:rPr>
                <w:spacing w:val="7"/>
                <w:sz w:val="20"/>
                <w:szCs w:val="20"/>
              </w:rPr>
              <w:t>列西</w:t>
            </w:r>
          </w:p>
          <w:p w14:paraId="70DBCD61">
            <w:pPr>
              <w:pStyle w:val="6"/>
              <w:spacing w:line="219" w:lineRule="auto"/>
              <w:ind w:left="175"/>
              <w:rPr>
                <w:sz w:val="20"/>
                <w:szCs w:val="20"/>
              </w:rPr>
            </w:pPr>
            <w:r>
              <w:rPr>
                <w:spacing w:val="7"/>
                <w:sz w:val="20"/>
                <w:szCs w:val="20"/>
              </w:rPr>
              <w:t>北侧</w:t>
            </w:r>
          </w:p>
        </w:tc>
        <w:tc>
          <w:tcPr>
            <w:tcW w:w="799" w:type="dxa"/>
            <w:vAlign w:val="top"/>
          </w:tcPr>
          <w:p w14:paraId="4388578B">
            <w:pPr>
              <w:spacing w:line="264" w:lineRule="auto"/>
              <w:rPr>
                <w:rFonts w:ascii="Arial"/>
                <w:sz w:val="21"/>
              </w:rPr>
            </w:pPr>
          </w:p>
          <w:p w14:paraId="43EB6EC7">
            <w:pPr>
              <w:pStyle w:val="6"/>
              <w:spacing w:before="65"/>
              <w:ind w:left="246"/>
              <w:rPr>
                <w:sz w:val="20"/>
                <w:szCs w:val="20"/>
              </w:rPr>
            </w:pPr>
            <w:r>
              <w:rPr>
                <w:spacing w:val="-3"/>
                <w:sz w:val="20"/>
                <w:szCs w:val="20"/>
              </w:rPr>
              <w:t>251</w:t>
            </w:r>
          </w:p>
        </w:tc>
        <w:tc>
          <w:tcPr>
            <w:tcW w:w="509" w:type="dxa"/>
            <w:textDirection w:val="tbRlV"/>
            <w:vAlign w:val="top"/>
          </w:tcPr>
          <w:p w14:paraId="4AA882BF">
            <w:pPr>
              <w:pStyle w:val="6"/>
              <w:spacing w:before="129" w:line="200" w:lineRule="auto"/>
              <w:ind w:left="161"/>
              <w:rPr>
                <w:sz w:val="20"/>
                <w:szCs w:val="20"/>
              </w:rPr>
            </w:pPr>
            <w:r>
              <w:rPr>
                <w:spacing w:val="22"/>
                <w:sz w:val="20"/>
                <w:szCs w:val="20"/>
              </w:rPr>
              <w:t>二类</w:t>
            </w:r>
          </w:p>
        </w:tc>
        <w:tc>
          <w:tcPr>
            <w:tcW w:w="1828" w:type="dxa"/>
            <w:vMerge w:val="restart"/>
            <w:tcBorders>
              <w:bottom w:val="nil"/>
            </w:tcBorders>
            <w:vAlign w:val="top"/>
          </w:tcPr>
          <w:p w14:paraId="0F9238B5">
            <w:pPr>
              <w:spacing w:line="244" w:lineRule="auto"/>
              <w:rPr>
                <w:rFonts w:ascii="Arial"/>
                <w:sz w:val="21"/>
              </w:rPr>
            </w:pPr>
          </w:p>
          <w:p w14:paraId="4F9236C5">
            <w:pPr>
              <w:spacing w:line="245" w:lineRule="auto"/>
              <w:rPr>
                <w:rFonts w:ascii="Arial"/>
                <w:sz w:val="21"/>
              </w:rPr>
            </w:pPr>
          </w:p>
          <w:p w14:paraId="0CD5466A">
            <w:pPr>
              <w:spacing w:line="245" w:lineRule="auto"/>
              <w:rPr>
                <w:rFonts w:ascii="Arial"/>
                <w:sz w:val="21"/>
              </w:rPr>
            </w:pPr>
          </w:p>
          <w:p w14:paraId="59EB3EF0">
            <w:pPr>
              <w:spacing w:line="245" w:lineRule="auto"/>
              <w:rPr>
                <w:rFonts w:ascii="Arial"/>
                <w:sz w:val="21"/>
              </w:rPr>
            </w:pPr>
          </w:p>
          <w:p w14:paraId="4518D345">
            <w:pPr>
              <w:spacing w:line="245" w:lineRule="auto"/>
              <w:rPr>
                <w:rFonts w:ascii="Arial"/>
                <w:sz w:val="21"/>
              </w:rPr>
            </w:pPr>
          </w:p>
          <w:p w14:paraId="4D0311D0">
            <w:pPr>
              <w:spacing w:line="245" w:lineRule="auto"/>
              <w:rPr>
                <w:rFonts w:ascii="Arial"/>
                <w:sz w:val="21"/>
              </w:rPr>
            </w:pPr>
          </w:p>
          <w:p w14:paraId="64CD98BA">
            <w:pPr>
              <w:spacing w:line="245" w:lineRule="auto"/>
              <w:rPr>
                <w:rFonts w:ascii="Arial"/>
                <w:sz w:val="21"/>
              </w:rPr>
            </w:pPr>
          </w:p>
          <w:p w14:paraId="2BD6DB51">
            <w:pPr>
              <w:spacing w:line="245" w:lineRule="auto"/>
              <w:rPr>
                <w:rFonts w:ascii="Arial"/>
                <w:sz w:val="21"/>
              </w:rPr>
            </w:pPr>
          </w:p>
          <w:p w14:paraId="6CD01CD7">
            <w:pPr>
              <w:spacing w:line="245" w:lineRule="auto"/>
              <w:rPr>
                <w:rFonts w:ascii="Arial"/>
                <w:sz w:val="21"/>
              </w:rPr>
            </w:pPr>
          </w:p>
          <w:p w14:paraId="36532CDB">
            <w:pPr>
              <w:spacing w:line="245" w:lineRule="auto"/>
              <w:rPr>
                <w:rFonts w:ascii="Arial"/>
                <w:sz w:val="21"/>
              </w:rPr>
            </w:pPr>
          </w:p>
          <w:p w14:paraId="214BEB09">
            <w:pPr>
              <w:spacing w:line="245" w:lineRule="auto"/>
              <w:rPr>
                <w:rFonts w:ascii="Arial"/>
                <w:sz w:val="21"/>
              </w:rPr>
            </w:pPr>
          </w:p>
          <w:p w14:paraId="5F34237C">
            <w:pPr>
              <w:spacing w:line="245" w:lineRule="auto"/>
              <w:rPr>
                <w:rFonts w:ascii="Arial"/>
                <w:sz w:val="21"/>
              </w:rPr>
            </w:pPr>
          </w:p>
          <w:p w14:paraId="194A2ABC">
            <w:pPr>
              <w:spacing w:line="245" w:lineRule="auto"/>
              <w:rPr>
                <w:rFonts w:ascii="Arial"/>
                <w:sz w:val="21"/>
              </w:rPr>
            </w:pPr>
          </w:p>
          <w:p w14:paraId="0CEA22FD">
            <w:pPr>
              <w:spacing w:line="245" w:lineRule="auto"/>
              <w:rPr>
                <w:rFonts w:ascii="Arial"/>
                <w:sz w:val="21"/>
              </w:rPr>
            </w:pPr>
          </w:p>
          <w:p w14:paraId="7701A983">
            <w:pPr>
              <w:spacing w:line="245" w:lineRule="auto"/>
              <w:rPr>
                <w:rFonts w:ascii="Arial"/>
                <w:sz w:val="21"/>
              </w:rPr>
            </w:pPr>
          </w:p>
          <w:p w14:paraId="6BD6CD51">
            <w:pPr>
              <w:pStyle w:val="6"/>
              <w:spacing w:before="65" w:line="220" w:lineRule="auto"/>
              <w:ind w:left="168"/>
              <w:rPr>
                <w:sz w:val="20"/>
                <w:szCs w:val="20"/>
              </w:rPr>
            </w:pPr>
            <w:r>
              <w:rPr>
                <w:spacing w:val="-2"/>
                <w:sz w:val="20"/>
                <w:szCs w:val="20"/>
              </w:rPr>
              <w:t>《环境空气质量标</w:t>
            </w:r>
          </w:p>
          <w:p w14:paraId="00EFFCDF">
            <w:pPr>
              <w:pStyle w:val="6"/>
              <w:spacing w:before="32" w:line="221" w:lineRule="auto"/>
              <w:ind w:left="758"/>
              <w:rPr>
                <w:sz w:val="20"/>
                <w:szCs w:val="20"/>
              </w:rPr>
            </w:pPr>
            <w:r>
              <w:rPr>
                <w:spacing w:val="-5"/>
                <w:sz w:val="20"/>
                <w:szCs w:val="20"/>
              </w:rPr>
              <w:t>准》</w:t>
            </w:r>
          </w:p>
          <w:p w14:paraId="6B0FE4BF">
            <w:pPr>
              <w:pStyle w:val="6"/>
              <w:spacing w:before="42" w:line="222" w:lineRule="auto"/>
              <w:ind w:left="659"/>
              <w:rPr>
                <w:sz w:val="20"/>
                <w:szCs w:val="20"/>
              </w:rPr>
            </w:pPr>
            <w:r>
              <w:rPr>
                <w:spacing w:val="-7"/>
                <w:sz w:val="20"/>
                <w:szCs w:val="20"/>
              </w:rPr>
              <w:t>(GB30</w:t>
            </w:r>
          </w:p>
          <w:p w14:paraId="677CA2A9">
            <w:pPr>
              <w:pStyle w:val="6"/>
              <w:spacing w:before="36" w:line="222" w:lineRule="auto"/>
              <w:ind w:left="558"/>
              <w:rPr>
                <w:sz w:val="20"/>
                <w:szCs w:val="20"/>
              </w:rPr>
            </w:pPr>
            <w:r>
              <w:rPr>
                <w:spacing w:val="-2"/>
                <w:sz w:val="20"/>
                <w:szCs w:val="20"/>
              </w:rPr>
              <w:t>95-2012</w:t>
            </w:r>
          </w:p>
          <w:p w14:paraId="32A9C558">
            <w:pPr>
              <w:pStyle w:val="6"/>
              <w:spacing w:line="220" w:lineRule="auto"/>
              <w:ind w:left="458"/>
              <w:rPr>
                <w:sz w:val="20"/>
                <w:szCs w:val="20"/>
              </w:rPr>
            </w:pPr>
            <w:r>
              <w:rPr>
                <w:spacing w:val="-2"/>
                <w:sz w:val="20"/>
                <w:szCs w:val="20"/>
              </w:rPr>
              <w:t>)二级标准</w:t>
            </w:r>
          </w:p>
        </w:tc>
        <w:tc>
          <w:tcPr>
            <w:tcW w:w="145" w:type="dxa"/>
            <w:vMerge w:val="continue"/>
            <w:tcBorders>
              <w:top w:val="nil"/>
              <w:bottom w:val="nil"/>
            </w:tcBorders>
            <w:vAlign w:val="top"/>
          </w:tcPr>
          <w:p w14:paraId="75A07F2A">
            <w:pPr>
              <w:rPr>
                <w:rFonts w:ascii="Arial"/>
                <w:sz w:val="21"/>
              </w:rPr>
            </w:pPr>
          </w:p>
        </w:tc>
      </w:tr>
      <w:tr w14:paraId="623A1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35" w:type="dxa"/>
            <w:vMerge w:val="continue"/>
            <w:tcBorders>
              <w:top w:val="nil"/>
              <w:bottom w:val="nil"/>
            </w:tcBorders>
            <w:vAlign w:val="top"/>
          </w:tcPr>
          <w:p w14:paraId="75F160E7">
            <w:pPr>
              <w:rPr>
                <w:rFonts w:ascii="Arial"/>
                <w:sz w:val="21"/>
              </w:rPr>
            </w:pPr>
          </w:p>
        </w:tc>
        <w:tc>
          <w:tcPr>
            <w:tcW w:w="410" w:type="dxa"/>
            <w:vMerge w:val="continue"/>
            <w:tcBorders>
              <w:top w:val="nil"/>
              <w:bottom w:val="nil"/>
            </w:tcBorders>
            <w:textDirection w:val="tbRlV"/>
            <w:vAlign w:val="top"/>
          </w:tcPr>
          <w:p w14:paraId="6BE9C93F">
            <w:pPr>
              <w:rPr>
                <w:rFonts w:ascii="Arial"/>
                <w:sz w:val="21"/>
              </w:rPr>
            </w:pPr>
          </w:p>
        </w:tc>
        <w:tc>
          <w:tcPr>
            <w:tcW w:w="529" w:type="dxa"/>
            <w:textDirection w:val="tbRlV"/>
            <w:vAlign w:val="top"/>
          </w:tcPr>
          <w:p w14:paraId="11C969CD">
            <w:pPr>
              <w:pStyle w:val="6"/>
              <w:spacing w:before="169" w:line="201" w:lineRule="auto"/>
              <w:rPr>
                <w:sz w:val="20"/>
                <w:szCs w:val="20"/>
              </w:rPr>
            </w:pPr>
            <w:r>
              <w:rPr>
                <w:spacing w:val="-1"/>
                <w:sz w:val="20"/>
                <w:szCs w:val="20"/>
              </w:rPr>
              <w:t>照 和 铺</w:t>
            </w:r>
          </w:p>
        </w:tc>
        <w:tc>
          <w:tcPr>
            <w:tcW w:w="1508" w:type="dxa"/>
            <w:vAlign w:val="top"/>
          </w:tcPr>
          <w:p w14:paraId="0139975F">
            <w:pPr>
              <w:spacing w:line="264" w:lineRule="auto"/>
              <w:rPr>
                <w:rFonts w:ascii="Arial"/>
                <w:sz w:val="21"/>
              </w:rPr>
            </w:pPr>
          </w:p>
          <w:p w14:paraId="37AB68FF">
            <w:pPr>
              <w:pStyle w:val="6"/>
              <w:spacing w:before="65" w:line="239" w:lineRule="auto"/>
              <w:jc w:val="right"/>
              <w:rPr>
                <w:sz w:val="20"/>
                <w:szCs w:val="20"/>
              </w:rPr>
            </w:pPr>
            <w:r>
              <w:rPr>
                <w:spacing w:val="-9"/>
                <w:sz w:val="20"/>
                <w:szCs w:val="20"/>
              </w:rPr>
              <w:t>103°20'15.784”</w:t>
            </w:r>
          </w:p>
        </w:tc>
        <w:tc>
          <w:tcPr>
            <w:tcW w:w="1388" w:type="dxa"/>
            <w:vAlign w:val="top"/>
          </w:tcPr>
          <w:p w14:paraId="3A5BE613">
            <w:pPr>
              <w:spacing w:line="264" w:lineRule="auto"/>
              <w:rPr>
                <w:rFonts w:ascii="Arial"/>
                <w:sz w:val="21"/>
              </w:rPr>
            </w:pPr>
          </w:p>
          <w:p w14:paraId="1FE228E3">
            <w:pPr>
              <w:pStyle w:val="6"/>
              <w:spacing w:before="65" w:line="239" w:lineRule="auto"/>
              <w:jc w:val="right"/>
              <w:rPr>
                <w:sz w:val="20"/>
                <w:szCs w:val="20"/>
              </w:rPr>
            </w:pPr>
            <w:r>
              <w:rPr>
                <w:spacing w:val="-3"/>
                <w:sz w:val="20"/>
                <w:szCs w:val="20"/>
              </w:rPr>
              <w:t>25°24'4.409”</w:t>
            </w:r>
          </w:p>
        </w:tc>
        <w:tc>
          <w:tcPr>
            <w:tcW w:w="709" w:type="dxa"/>
            <w:vAlign w:val="top"/>
          </w:tcPr>
          <w:p w14:paraId="47D5E967">
            <w:pPr>
              <w:pStyle w:val="6"/>
              <w:spacing w:before="171" w:line="220" w:lineRule="auto"/>
              <w:ind w:right="4"/>
              <w:jc w:val="right"/>
              <w:rPr>
                <w:sz w:val="20"/>
                <w:szCs w:val="20"/>
              </w:rPr>
            </w:pPr>
            <w:r>
              <w:rPr>
                <w:sz w:val="20"/>
                <w:szCs w:val="20"/>
              </w:rPr>
              <w:t>52户，</w:t>
            </w:r>
          </w:p>
          <w:p w14:paraId="7C431052">
            <w:pPr>
              <w:pStyle w:val="6"/>
              <w:spacing w:before="44" w:line="222" w:lineRule="auto"/>
              <w:ind w:left="94"/>
              <w:rPr>
                <w:sz w:val="20"/>
                <w:szCs w:val="20"/>
              </w:rPr>
            </w:pPr>
            <w:r>
              <w:rPr>
                <w:spacing w:val="-2"/>
                <w:sz w:val="20"/>
                <w:szCs w:val="20"/>
              </w:rPr>
              <w:t>208人</w:t>
            </w:r>
          </w:p>
        </w:tc>
        <w:tc>
          <w:tcPr>
            <w:tcW w:w="769" w:type="dxa"/>
            <w:vAlign w:val="top"/>
          </w:tcPr>
          <w:p w14:paraId="029B4376">
            <w:pPr>
              <w:pStyle w:val="6"/>
              <w:spacing w:before="31" w:line="219" w:lineRule="auto"/>
              <w:ind w:left="175"/>
              <w:rPr>
                <w:sz w:val="20"/>
                <w:szCs w:val="20"/>
              </w:rPr>
            </w:pPr>
            <w:r>
              <w:rPr>
                <w:spacing w:val="-2"/>
                <w:sz w:val="20"/>
                <w:szCs w:val="20"/>
              </w:rPr>
              <w:t>6#阵</w:t>
            </w:r>
          </w:p>
          <w:p w14:paraId="4658A79A">
            <w:pPr>
              <w:pStyle w:val="6"/>
              <w:spacing w:before="33" w:line="221" w:lineRule="auto"/>
              <w:ind w:left="175"/>
              <w:rPr>
                <w:sz w:val="20"/>
                <w:szCs w:val="20"/>
              </w:rPr>
            </w:pPr>
            <w:r>
              <w:rPr>
                <w:spacing w:val="5"/>
                <w:sz w:val="20"/>
                <w:szCs w:val="20"/>
              </w:rPr>
              <w:t>列南</w:t>
            </w:r>
          </w:p>
          <w:p w14:paraId="733A1FAB">
            <w:pPr>
              <w:pStyle w:val="6"/>
              <w:spacing w:before="28" w:line="211" w:lineRule="auto"/>
              <w:ind w:left="276"/>
              <w:rPr>
                <w:sz w:val="20"/>
                <w:szCs w:val="20"/>
              </w:rPr>
            </w:pPr>
            <w:r>
              <w:rPr>
                <w:sz w:val="20"/>
                <w:szCs w:val="20"/>
              </w:rPr>
              <w:t>侧</w:t>
            </w:r>
          </w:p>
        </w:tc>
        <w:tc>
          <w:tcPr>
            <w:tcW w:w="799" w:type="dxa"/>
            <w:vAlign w:val="top"/>
          </w:tcPr>
          <w:p w14:paraId="76F25C08">
            <w:pPr>
              <w:spacing w:line="264" w:lineRule="auto"/>
              <w:rPr>
                <w:rFonts w:ascii="Arial"/>
                <w:sz w:val="21"/>
              </w:rPr>
            </w:pPr>
          </w:p>
          <w:p w14:paraId="25F64C67">
            <w:pPr>
              <w:pStyle w:val="6"/>
              <w:spacing w:before="65" w:line="241" w:lineRule="auto"/>
              <w:ind w:left="296"/>
              <w:rPr>
                <w:sz w:val="20"/>
                <w:szCs w:val="20"/>
              </w:rPr>
            </w:pPr>
            <w:r>
              <w:rPr>
                <w:spacing w:val="-3"/>
                <w:sz w:val="20"/>
                <w:szCs w:val="20"/>
              </w:rPr>
              <w:t>24</w:t>
            </w:r>
          </w:p>
        </w:tc>
        <w:tc>
          <w:tcPr>
            <w:tcW w:w="509" w:type="dxa"/>
            <w:textDirection w:val="tbRlV"/>
            <w:vAlign w:val="top"/>
          </w:tcPr>
          <w:p w14:paraId="4428D715">
            <w:pPr>
              <w:pStyle w:val="6"/>
              <w:spacing w:before="149" w:line="200" w:lineRule="auto"/>
              <w:ind w:left="161"/>
              <w:rPr>
                <w:sz w:val="20"/>
                <w:szCs w:val="20"/>
              </w:rPr>
            </w:pPr>
            <w:r>
              <w:rPr>
                <w:spacing w:val="22"/>
                <w:sz w:val="20"/>
                <w:szCs w:val="20"/>
              </w:rPr>
              <w:t>二类</w:t>
            </w:r>
          </w:p>
        </w:tc>
        <w:tc>
          <w:tcPr>
            <w:tcW w:w="1828" w:type="dxa"/>
            <w:vMerge w:val="continue"/>
            <w:tcBorders>
              <w:top w:val="nil"/>
              <w:bottom w:val="nil"/>
            </w:tcBorders>
            <w:vAlign w:val="top"/>
          </w:tcPr>
          <w:p w14:paraId="226B259E">
            <w:pPr>
              <w:rPr>
                <w:rFonts w:ascii="Arial"/>
                <w:sz w:val="21"/>
              </w:rPr>
            </w:pPr>
          </w:p>
        </w:tc>
        <w:tc>
          <w:tcPr>
            <w:tcW w:w="145" w:type="dxa"/>
            <w:vMerge w:val="continue"/>
            <w:tcBorders>
              <w:top w:val="nil"/>
              <w:bottom w:val="nil"/>
            </w:tcBorders>
            <w:vAlign w:val="top"/>
          </w:tcPr>
          <w:p w14:paraId="52DFAF5B">
            <w:pPr>
              <w:rPr>
                <w:rFonts w:ascii="Arial"/>
                <w:sz w:val="21"/>
              </w:rPr>
            </w:pPr>
          </w:p>
        </w:tc>
      </w:tr>
      <w:tr w14:paraId="5B3B9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35" w:type="dxa"/>
            <w:vMerge w:val="continue"/>
            <w:tcBorders>
              <w:top w:val="nil"/>
              <w:bottom w:val="nil"/>
            </w:tcBorders>
            <w:vAlign w:val="top"/>
          </w:tcPr>
          <w:p w14:paraId="185FC164">
            <w:pPr>
              <w:rPr>
                <w:rFonts w:ascii="Arial"/>
                <w:sz w:val="21"/>
              </w:rPr>
            </w:pPr>
          </w:p>
        </w:tc>
        <w:tc>
          <w:tcPr>
            <w:tcW w:w="410" w:type="dxa"/>
            <w:vMerge w:val="continue"/>
            <w:tcBorders>
              <w:top w:val="nil"/>
              <w:bottom w:val="nil"/>
            </w:tcBorders>
            <w:textDirection w:val="tbRlV"/>
            <w:vAlign w:val="top"/>
          </w:tcPr>
          <w:p w14:paraId="2C7D8505">
            <w:pPr>
              <w:rPr>
                <w:rFonts w:ascii="Arial"/>
                <w:sz w:val="21"/>
              </w:rPr>
            </w:pPr>
          </w:p>
        </w:tc>
        <w:tc>
          <w:tcPr>
            <w:tcW w:w="529" w:type="dxa"/>
            <w:textDirection w:val="tbRlV"/>
            <w:vAlign w:val="top"/>
          </w:tcPr>
          <w:p w14:paraId="408B3D20">
            <w:pPr>
              <w:pStyle w:val="6"/>
              <w:spacing w:before="178" w:line="198" w:lineRule="auto"/>
              <w:ind w:left="132"/>
              <w:rPr>
                <w:sz w:val="20"/>
                <w:szCs w:val="20"/>
              </w:rPr>
            </w:pPr>
            <w:r>
              <w:rPr>
                <w:sz w:val="20"/>
                <w:szCs w:val="20"/>
              </w:rPr>
              <w:t>小</w:t>
            </w:r>
            <w:r>
              <w:rPr>
                <w:spacing w:val="35"/>
                <w:sz w:val="20"/>
                <w:szCs w:val="20"/>
              </w:rPr>
              <w:t xml:space="preserve"> </w:t>
            </w:r>
            <w:r>
              <w:rPr>
                <w:sz w:val="20"/>
                <w:szCs w:val="20"/>
              </w:rPr>
              <w:t>村</w:t>
            </w:r>
          </w:p>
        </w:tc>
        <w:tc>
          <w:tcPr>
            <w:tcW w:w="1508" w:type="dxa"/>
            <w:vAlign w:val="top"/>
          </w:tcPr>
          <w:p w14:paraId="4018E4E5">
            <w:pPr>
              <w:spacing w:line="265" w:lineRule="auto"/>
              <w:rPr>
                <w:rFonts w:ascii="Arial"/>
                <w:sz w:val="21"/>
              </w:rPr>
            </w:pPr>
          </w:p>
          <w:p w14:paraId="2337E80B">
            <w:pPr>
              <w:pStyle w:val="6"/>
              <w:spacing w:before="65" w:line="239" w:lineRule="auto"/>
              <w:jc w:val="right"/>
              <w:rPr>
                <w:sz w:val="20"/>
                <w:szCs w:val="20"/>
              </w:rPr>
            </w:pPr>
            <w:r>
              <w:rPr>
                <w:spacing w:val="-9"/>
                <w:sz w:val="20"/>
                <w:szCs w:val="20"/>
              </w:rPr>
              <w:t>103°34'34.293”</w:t>
            </w:r>
          </w:p>
        </w:tc>
        <w:tc>
          <w:tcPr>
            <w:tcW w:w="1388" w:type="dxa"/>
            <w:vAlign w:val="top"/>
          </w:tcPr>
          <w:p w14:paraId="32A0D36D">
            <w:pPr>
              <w:spacing w:line="265" w:lineRule="auto"/>
              <w:rPr>
                <w:rFonts w:ascii="Arial"/>
                <w:sz w:val="21"/>
              </w:rPr>
            </w:pPr>
          </w:p>
          <w:p w14:paraId="45ABE74D">
            <w:pPr>
              <w:pStyle w:val="6"/>
              <w:spacing w:before="65" w:line="239" w:lineRule="auto"/>
              <w:jc w:val="right"/>
              <w:rPr>
                <w:sz w:val="20"/>
                <w:szCs w:val="20"/>
              </w:rPr>
            </w:pPr>
            <w:r>
              <w:rPr>
                <w:spacing w:val="-3"/>
                <w:sz w:val="20"/>
                <w:szCs w:val="20"/>
              </w:rPr>
              <w:t>26°0'33.865”</w:t>
            </w:r>
          </w:p>
        </w:tc>
        <w:tc>
          <w:tcPr>
            <w:tcW w:w="709" w:type="dxa"/>
            <w:vAlign w:val="top"/>
          </w:tcPr>
          <w:p w14:paraId="1008B8D6">
            <w:pPr>
              <w:pStyle w:val="6"/>
              <w:spacing w:before="182" w:line="220" w:lineRule="auto"/>
              <w:ind w:right="4"/>
              <w:jc w:val="right"/>
              <w:rPr>
                <w:sz w:val="20"/>
                <w:szCs w:val="20"/>
              </w:rPr>
            </w:pPr>
            <w:r>
              <w:rPr>
                <w:sz w:val="20"/>
                <w:szCs w:val="20"/>
              </w:rPr>
              <w:t>32户，</w:t>
            </w:r>
          </w:p>
          <w:p w14:paraId="7AEBCCDB">
            <w:pPr>
              <w:pStyle w:val="6"/>
              <w:spacing w:before="44" w:line="222" w:lineRule="auto"/>
              <w:ind w:left="94"/>
              <w:rPr>
                <w:sz w:val="20"/>
                <w:szCs w:val="20"/>
              </w:rPr>
            </w:pPr>
            <w:r>
              <w:rPr>
                <w:spacing w:val="2"/>
                <w:sz w:val="20"/>
                <w:szCs w:val="20"/>
              </w:rPr>
              <w:t>128人</w:t>
            </w:r>
          </w:p>
        </w:tc>
        <w:tc>
          <w:tcPr>
            <w:tcW w:w="769" w:type="dxa"/>
            <w:vAlign w:val="top"/>
          </w:tcPr>
          <w:p w14:paraId="76DD34D8">
            <w:pPr>
              <w:pStyle w:val="6"/>
              <w:spacing w:before="42" w:line="219" w:lineRule="auto"/>
              <w:ind w:left="125"/>
              <w:rPr>
                <w:sz w:val="20"/>
                <w:szCs w:val="20"/>
              </w:rPr>
            </w:pPr>
            <w:r>
              <w:rPr>
                <w:spacing w:val="2"/>
                <w:sz w:val="20"/>
                <w:szCs w:val="20"/>
              </w:rPr>
              <w:t>11#阵</w:t>
            </w:r>
          </w:p>
          <w:p w14:paraId="77654CED">
            <w:pPr>
              <w:pStyle w:val="6"/>
              <w:spacing w:before="32" w:line="219" w:lineRule="auto"/>
              <w:ind w:left="175"/>
              <w:rPr>
                <w:sz w:val="20"/>
                <w:szCs w:val="20"/>
              </w:rPr>
            </w:pPr>
            <w:r>
              <w:rPr>
                <w:spacing w:val="9"/>
                <w:sz w:val="20"/>
                <w:szCs w:val="20"/>
              </w:rPr>
              <w:t>列东</w:t>
            </w:r>
          </w:p>
          <w:p w14:paraId="68BA67A5">
            <w:pPr>
              <w:pStyle w:val="6"/>
              <w:spacing w:before="22" w:line="210" w:lineRule="auto"/>
              <w:ind w:left="276"/>
              <w:rPr>
                <w:sz w:val="20"/>
                <w:szCs w:val="20"/>
              </w:rPr>
            </w:pPr>
            <w:r>
              <w:rPr>
                <w:sz w:val="20"/>
                <w:szCs w:val="20"/>
              </w:rPr>
              <w:t>侧</w:t>
            </w:r>
          </w:p>
        </w:tc>
        <w:tc>
          <w:tcPr>
            <w:tcW w:w="799" w:type="dxa"/>
            <w:vAlign w:val="top"/>
          </w:tcPr>
          <w:p w14:paraId="091405E5">
            <w:pPr>
              <w:spacing w:line="264" w:lineRule="auto"/>
              <w:rPr>
                <w:rFonts w:ascii="Arial"/>
                <w:sz w:val="21"/>
              </w:rPr>
            </w:pPr>
          </w:p>
          <w:p w14:paraId="27C87E79">
            <w:pPr>
              <w:pStyle w:val="6"/>
              <w:spacing w:before="65"/>
              <w:ind w:left="296"/>
              <w:rPr>
                <w:sz w:val="20"/>
                <w:szCs w:val="20"/>
              </w:rPr>
            </w:pPr>
            <w:r>
              <w:rPr>
                <w:spacing w:val="-6"/>
                <w:sz w:val="20"/>
                <w:szCs w:val="20"/>
              </w:rPr>
              <w:t>18</w:t>
            </w:r>
          </w:p>
        </w:tc>
        <w:tc>
          <w:tcPr>
            <w:tcW w:w="509" w:type="dxa"/>
            <w:textDirection w:val="tbRlV"/>
            <w:vAlign w:val="top"/>
          </w:tcPr>
          <w:p w14:paraId="5A036B84">
            <w:pPr>
              <w:pStyle w:val="6"/>
              <w:spacing w:before="149" w:line="200" w:lineRule="auto"/>
              <w:ind w:left="162"/>
              <w:rPr>
                <w:sz w:val="20"/>
                <w:szCs w:val="20"/>
              </w:rPr>
            </w:pPr>
            <w:r>
              <w:rPr>
                <w:spacing w:val="22"/>
                <w:sz w:val="20"/>
                <w:szCs w:val="20"/>
              </w:rPr>
              <w:t>二类</w:t>
            </w:r>
          </w:p>
        </w:tc>
        <w:tc>
          <w:tcPr>
            <w:tcW w:w="1828" w:type="dxa"/>
            <w:vMerge w:val="continue"/>
            <w:tcBorders>
              <w:top w:val="nil"/>
              <w:bottom w:val="nil"/>
            </w:tcBorders>
            <w:vAlign w:val="top"/>
          </w:tcPr>
          <w:p w14:paraId="66418F22">
            <w:pPr>
              <w:rPr>
                <w:rFonts w:ascii="Arial"/>
                <w:sz w:val="21"/>
              </w:rPr>
            </w:pPr>
          </w:p>
        </w:tc>
        <w:tc>
          <w:tcPr>
            <w:tcW w:w="145" w:type="dxa"/>
            <w:vMerge w:val="continue"/>
            <w:tcBorders>
              <w:top w:val="nil"/>
              <w:bottom w:val="nil"/>
            </w:tcBorders>
            <w:vAlign w:val="top"/>
          </w:tcPr>
          <w:p w14:paraId="518EF093">
            <w:pPr>
              <w:rPr>
                <w:rFonts w:ascii="Arial"/>
                <w:sz w:val="21"/>
              </w:rPr>
            </w:pPr>
          </w:p>
        </w:tc>
      </w:tr>
      <w:tr w14:paraId="2C8D6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35" w:type="dxa"/>
            <w:vMerge w:val="continue"/>
            <w:tcBorders>
              <w:top w:val="nil"/>
              <w:bottom w:val="nil"/>
            </w:tcBorders>
            <w:vAlign w:val="top"/>
          </w:tcPr>
          <w:p w14:paraId="26067F0E">
            <w:pPr>
              <w:rPr>
                <w:rFonts w:ascii="Arial"/>
                <w:sz w:val="21"/>
              </w:rPr>
            </w:pPr>
          </w:p>
        </w:tc>
        <w:tc>
          <w:tcPr>
            <w:tcW w:w="410" w:type="dxa"/>
            <w:vMerge w:val="continue"/>
            <w:tcBorders>
              <w:top w:val="nil"/>
              <w:bottom w:val="nil"/>
            </w:tcBorders>
            <w:textDirection w:val="tbRlV"/>
            <w:vAlign w:val="top"/>
          </w:tcPr>
          <w:p w14:paraId="147DB495">
            <w:pPr>
              <w:rPr>
                <w:rFonts w:ascii="Arial"/>
                <w:sz w:val="21"/>
              </w:rPr>
            </w:pPr>
          </w:p>
        </w:tc>
        <w:tc>
          <w:tcPr>
            <w:tcW w:w="529" w:type="dxa"/>
            <w:textDirection w:val="tbRlV"/>
            <w:vAlign w:val="top"/>
          </w:tcPr>
          <w:p w14:paraId="073A1CBA">
            <w:pPr>
              <w:pStyle w:val="6"/>
              <w:spacing w:before="167" w:line="201" w:lineRule="auto"/>
              <w:ind w:left="3"/>
              <w:rPr>
                <w:sz w:val="20"/>
                <w:szCs w:val="20"/>
              </w:rPr>
            </w:pPr>
            <w:r>
              <w:rPr>
                <w:sz w:val="20"/>
                <w:szCs w:val="20"/>
              </w:rPr>
              <w:t>上</w:t>
            </w:r>
            <w:r>
              <w:rPr>
                <w:spacing w:val="12"/>
                <w:sz w:val="20"/>
                <w:szCs w:val="20"/>
              </w:rPr>
              <w:t xml:space="preserve"> </w:t>
            </w:r>
            <w:r>
              <w:rPr>
                <w:sz w:val="20"/>
                <w:szCs w:val="20"/>
              </w:rPr>
              <w:t>南</w:t>
            </w:r>
            <w:r>
              <w:rPr>
                <w:spacing w:val="12"/>
                <w:sz w:val="20"/>
                <w:szCs w:val="20"/>
              </w:rPr>
              <w:t xml:space="preserve"> </w:t>
            </w:r>
            <w:r>
              <w:rPr>
                <w:sz w:val="20"/>
                <w:szCs w:val="20"/>
              </w:rPr>
              <w:t>屯</w:t>
            </w:r>
          </w:p>
        </w:tc>
        <w:tc>
          <w:tcPr>
            <w:tcW w:w="1508" w:type="dxa"/>
            <w:vAlign w:val="top"/>
          </w:tcPr>
          <w:p w14:paraId="5D4758D2">
            <w:pPr>
              <w:spacing w:line="276" w:lineRule="auto"/>
              <w:rPr>
                <w:rFonts w:ascii="Arial"/>
                <w:sz w:val="21"/>
              </w:rPr>
            </w:pPr>
          </w:p>
          <w:p w14:paraId="28813EB0">
            <w:pPr>
              <w:pStyle w:val="6"/>
              <w:spacing w:before="65" w:line="239" w:lineRule="auto"/>
              <w:jc w:val="right"/>
              <w:rPr>
                <w:sz w:val="20"/>
                <w:szCs w:val="20"/>
              </w:rPr>
            </w:pPr>
            <w:r>
              <w:rPr>
                <w:spacing w:val="-9"/>
                <w:sz w:val="20"/>
                <w:szCs w:val="20"/>
              </w:rPr>
              <w:t>103°21'20.093”</w:t>
            </w:r>
          </w:p>
        </w:tc>
        <w:tc>
          <w:tcPr>
            <w:tcW w:w="1388" w:type="dxa"/>
            <w:vAlign w:val="top"/>
          </w:tcPr>
          <w:p w14:paraId="610B7BEE">
            <w:pPr>
              <w:spacing w:line="276" w:lineRule="auto"/>
              <w:rPr>
                <w:rFonts w:ascii="Arial"/>
                <w:sz w:val="21"/>
              </w:rPr>
            </w:pPr>
          </w:p>
          <w:p w14:paraId="27132339">
            <w:pPr>
              <w:pStyle w:val="6"/>
              <w:spacing w:before="65" w:line="239" w:lineRule="auto"/>
              <w:jc w:val="right"/>
              <w:rPr>
                <w:sz w:val="20"/>
                <w:szCs w:val="20"/>
              </w:rPr>
            </w:pPr>
            <w:r>
              <w:rPr>
                <w:spacing w:val="-3"/>
                <w:sz w:val="20"/>
                <w:szCs w:val="20"/>
              </w:rPr>
              <w:t>25°21'33.003"</w:t>
            </w:r>
          </w:p>
        </w:tc>
        <w:tc>
          <w:tcPr>
            <w:tcW w:w="709" w:type="dxa"/>
            <w:vAlign w:val="top"/>
          </w:tcPr>
          <w:p w14:paraId="41BFE60B">
            <w:pPr>
              <w:pStyle w:val="6"/>
              <w:spacing w:before="183" w:line="220" w:lineRule="auto"/>
              <w:ind w:right="4"/>
              <w:jc w:val="right"/>
              <w:rPr>
                <w:sz w:val="20"/>
                <w:szCs w:val="20"/>
              </w:rPr>
            </w:pPr>
            <w:r>
              <w:rPr>
                <w:sz w:val="20"/>
                <w:szCs w:val="20"/>
              </w:rPr>
              <w:t>42户，</w:t>
            </w:r>
          </w:p>
          <w:p w14:paraId="077C9DEE">
            <w:pPr>
              <w:pStyle w:val="6"/>
              <w:spacing w:before="44" w:line="222" w:lineRule="auto"/>
              <w:ind w:left="94"/>
              <w:rPr>
                <w:sz w:val="20"/>
                <w:szCs w:val="20"/>
              </w:rPr>
            </w:pPr>
            <w:r>
              <w:rPr>
                <w:spacing w:val="2"/>
                <w:sz w:val="20"/>
                <w:szCs w:val="20"/>
              </w:rPr>
              <w:t>178人</w:t>
            </w:r>
          </w:p>
        </w:tc>
        <w:tc>
          <w:tcPr>
            <w:tcW w:w="769" w:type="dxa"/>
            <w:vAlign w:val="top"/>
          </w:tcPr>
          <w:p w14:paraId="7693E737">
            <w:pPr>
              <w:pStyle w:val="6"/>
              <w:spacing w:before="53" w:line="219" w:lineRule="auto"/>
              <w:ind w:left="125"/>
              <w:rPr>
                <w:sz w:val="20"/>
                <w:szCs w:val="20"/>
              </w:rPr>
            </w:pPr>
            <w:r>
              <w:rPr>
                <w:spacing w:val="2"/>
                <w:sz w:val="20"/>
                <w:szCs w:val="20"/>
              </w:rPr>
              <w:t>12#阵</w:t>
            </w:r>
          </w:p>
          <w:p w14:paraId="47E9CE82">
            <w:pPr>
              <w:pStyle w:val="6"/>
              <w:spacing w:before="32" w:line="219" w:lineRule="auto"/>
              <w:ind w:left="175"/>
              <w:rPr>
                <w:sz w:val="20"/>
                <w:szCs w:val="20"/>
              </w:rPr>
            </w:pPr>
            <w:r>
              <w:rPr>
                <w:spacing w:val="9"/>
                <w:sz w:val="20"/>
                <w:szCs w:val="20"/>
              </w:rPr>
              <w:t>列东</w:t>
            </w:r>
          </w:p>
          <w:p w14:paraId="2F364390">
            <w:pPr>
              <w:pStyle w:val="6"/>
              <w:spacing w:before="42" w:line="210" w:lineRule="auto"/>
              <w:ind w:left="276"/>
              <w:rPr>
                <w:sz w:val="20"/>
                <w:szCs w:val="20"/>
              </w:rPr>
            </w:pPr>
            <w:r>
              <w:rPr>
                <w:sz w:val="20"/>
                <w:szCs w:val="20"/>
              </w:rPr>
              <w:t>侧</w:t>
            </w:r>
          </w:p>
        </w:tc>
        <w:tc>
          <w:tcPr>
            <w:tcW w:w="799" w:type="dxa"/>
            <w:vAlign w:val="top"/>
          </w:tcPr>
          <w:p w14:paraId="168EEC46">
            <w:pPr>
              <w:spacing w:line="275" w:lineRule="auto"/>
              <w:rPr>
                <w:rFonts w:ascii="Arial"/>
                <w:sz w:val="21"/>
              </w:rPr>
            </w:pPr>
          </w:p>
          <w:p w14:paraId="5943ECDF">
            <w:pPr>
              <w:pStyle w:val="6"/>
              <w:spacing w:before="65"/>
              <w:ind w:left="296"/>
              <w:rPr>
                <w:sz w:val="20"/>
                <w:szCs w:val="20"/>
              </w:rPr>
            </w:pPr>
            <w:r>
              <w:rPr>
                <w:spacing w:val="-6"/>
                <w:sz w:val="20"/>
                <w:szCs w:val="20"/>
              </w:rPr>
              <w:t>17</w:t>
            </w:r>
          </w:p>
        </w:tc>
        <w:tc>
          <w:tcPr>
            <w:tcW w:w="509" w:type="dxa"/>
            <w:textDirection w:val="tbRlV"/>
            <w:vAlign w:val="top"/>
          </w:tcPr>
          <w:p w14:paraId="49FF1235">
            <w:pPr>
              <w:pStyle w:val="6"/>
              <w:spacing w:before="129" w:line="200" w:lineRule="auto"/>
              <w:ind w:left="173"/>
              <w:rPr>
                <w:sz w:val="20"/>
                <w:szCs w:val="20"/>
              </w:rPr>
            </w:pPr>
            <w:r>
              <w:rPr>
                <w:spacing w:val="22"/>
                <w:sz w:val="20"/>
                <w:szCs w:val="20"/>
              </w:rPr>
              <w:t>二类</w:t>
            </w:r>
          </w:p>
        </w:tc>
        <w:tc>
          <w:tcPr>
            <w:tcW w:w="1828" w:type="dxa"/>
            <w:vMerge w:val="continue"/>
            <w:tcBorders>
              <w:top w:val="nil"/>
              <w:bottom w:val="nil"/>
            </w:tcBorders>
            <w:vAlign w:val="top"/>
          </w:tcPr>
          <w:p w14:paraId="373649D8">
            <w:pPr>
              <w:rPr>
                <w:rFonts w:ascii="Arial"/>
                <w:sz w:val="21"/>
              </w:rPr>
            </w:pPr>
          </w:p>
        </w:tc>
        <w:tc>
          <w:tcPr>
            <w:tcW w:w="145" w:type="dxa"/>
            <w:vMerge w:val="continue"/>
            <w:tcBorders>
              <w:top w:val="nil"/>
              <w:bottom w:val="nil"/>
            </w:tcBorders>
            <w:vAlign w:val="top"/>
          </w:tcPr>
          <w:p w14:paraId="1BC86423">
            <w:pPr>
              <w:rPr>
                <w:rFonts w:ascii="Arial"/>
                <w:sz w:val="21"/>
              </w:rPr>
            </w:pPr>
          </w:p>
        </w:tc>
      </w:tr>
      <w:tr w14:paraId="5861D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35" w:type="dxa"/>
            <w:vMerge w:val="continue"/>
            <w:tcBorders>
              <w:top w:val="nil"/>
              <w:bottom w:val="nil"/>
            </w:tcBorders>
            <w:vAlign w:val="top"/>
          </w:tcPr>
          <w:p w14:paraId="61B9905E">
            <w:pPr>
              <w:rPr>
                <w:rFonts w:ascii="Arial"/>
                <w:sz w:val="21"/>
              </w:rPr>
            </w:pPr>
          </w:p>
        </w:tc>
        <w:tc>
          <w:tcPr>
            <w:tcW w:w="410" w:type="dxa"/>
            <w:vMerge w:val="continue"/>
            <w:tcBorders>
              <w:top w:val="nil"/>
              <w:bottom w:val="nil"/>
            </w:tcBorders>
            <w:textDirection w:val="tbRlV"/>
            <w:vAlign w:val="top"/>
          </w:tcPr>
          <w:p w14:paraId="42C58BC8">
            <w:pPr>
              <w:rPr>
                <w:rFonts w:ascii="Arial"/>
                <w:sz w:val="21"/>
              </w:rPr>
            </w:pPr>
          </w:p>
        </w:tc>
        <w:tc>
          <w:tcPr>
            <w:tcW w:w="529" w:type="dxa"/>
            <w:textDirection w:val="tbRlV"/>
            <w:vAlign w:val="top"/>
          </w:tcPr>
          <w:p w14:paraId="4F91449D">
            <w:pPr>
              <w:pStyle w:val="6"/>
              <w:spacing w:before="168" w:line="200" w:lineRule="auto"/>
              <w:jc w:val="right"/>
              <w:rPr>
                <w:sz w:val="20"/>
                <w:szCs w:val="20"/>
              </w:rPr>
            </w:pPr>
            <w:r>
              <w:rPr>
                <w:spacing w:val="-2"/>
                <w:sz w:val="20"/>
                <w:szCs w:val="20"/>
              </w:rPr>
              <w:t>螺</w:t>
            </w:r>
            <w:r>
              <w:rPr>
                <w:spacing w:val="7"/>
                <w:sz w:val="20"/>
                <w:szCs w:val="20"/>
              </w:rPr>
              <w:t xml:space="preserve"> </w:t>
            </w:r>
            <w:r>
              <w:rPr>
                <w:spacing w:val="-2"/>
                <w:sz w:val="20"/>
                <w:szCs w:val="20"/>
              </w:rPr>
              <w:t>蛳</w:t>
            </w:r>
            <w:r>
              <w:rPr>
                <w:spacing w:val="7"/>
                <w:sz w:val="20"/>
                <w:szCs w:val="20"/>
              </w:rPr>
              <w:t xml:space="preserve"> </w:t>
            </w:r>
            <w:r>
              <w:rPr>
                <w:spacing w:val="-2"/>
                <w:sz w:val="20"/>
                <w:szCs w:val="20"/>
              </w:rPr>
              <w:t>湾</w:t>
            </w:r>
          </w:p>
        </w:tc>
        <w:tc>
          <w:tcPr>
            <w:tcW w:w="1508" w:type="dxa"/>
            <w:vAlign w:val="top"/>
          </w:tcPr>
          <w:p w14:paraId="346C2491">
            <w:pPr>
              <w:spacing w:line="266" w:lineRule="auto"/>
              <w:rPr>
                <w:rFonts w:ascii="Arial"/>
                <w:sz w:val="21"/>
              </w:rPr>
            </w:pPr>
          </w:p>
          <w:p w14:paraId="7F673E23">
            <w:pPr>
              <w:pStyle w:val="6"/>
              <w:spacing w:before="65" w:line="239" w:lineRule="auto"/>
              <w:ind w:left="10"/>
              <w:rPr>
                <w:sz w:val="20"/>
                <w:szCs w:val="20"/>
              </w:rPr>
            </w:pPr>
            <w:r>
              <w:rPr>
                <w:spacing w:val="-2"/>
                <w:sz w:val="20"/>
                <w:szCs w:val="20"/>
              </w:rPr>
              <w:t>103°20'58.155"</w:t>
            </w:r>
          </w:p>
        </w:tc>
        <w:tc>
          <w:tcPr>
            <w:tcW w:w="1388" w:type="dxa"/>
            <w:vAlign w:val="top"/>
          </w:tcPr>
          <w:p w14:paraId="1062A589">
            <w:pPr>
              <w:spacing w:line="266" w:lineRule="auto"/>
              <w:rPr>
                <w:rFonts w:ascii="Arial"/>
                <w:sz w:val="21"/>
              </w:rPr>
            </w:pPr>
          </w:p>
          <w:p w14:paraId="19088D72">
            <w:pPr>
              <w:pStyle w:val="6"/>
              <w:spacing w:before="65" w:line="239" w:lineRule="auto"/>
              <w:jc w:val="right"/>
              <w:rPr>
                <w:sz w:val="20"/>
                <w:szCs w:val="20"/>
              </w:rPr>
            </w:pPr>
            <w:r>
              <w:rPr>
                <w:spacing w:val="-3"/>
                <w:sz w:val="20"/>
                <w:szCs w:val="20"/>
              </w:rPr>
              <w:t>25°20'43.101"</w:t>
            </w:r>
          </w:p>
        </w:tc>
        <w:tc>
          <w:tcPr>
            <w:tcW w:w="709" w:type="dxa"/>
            <w:vAlign w:val="top"/>
          </w:tcPr>
          <w:p w14:paraId="69A71AA8">
            <w:pPr>
              <w:pStyle w:val="6"/>
              <w:spacing w:before="173" w:line="220" w:lineRule="auto"/>
              <w:ind w:right="4"/>
              <w:jc w:val="right"/>
              <w:rPr>
                <w:sz w:val="20"/>
                <w:szCs w:val="20"/>
              </w:rPr>
            </w:pPr>
            <w:r>
              <w:rPr>
                <w:sz w:val="20"/>
                <w:szCs w:val="20"/>
              </w:rPr>
              <w:t>32户，</w:t>
            </w:r>
          </w:p>
          <w:p w14:paraId="04AE0A8A">
            <w:pPr>
              <w:pStyle w:val="6"/>
              <w:spacing w:before="24" w:line="222" w:lineRule="auto"/>
              <w:ind w:left="94"/>
              <w:rPr>
                <w:sz w:val="20"/>
                <w:szCs w:val="20"/>
              </w:rPr>
            </w:pPr>
            <w:r>
              <w:rPr>
                <w:spacing w:val="2"/>
                <w:sz w:val="20"/>
                <w:szCs w:val="20"/>
              </w:rPr>
              <w:t>128人</w:t>
            </w:r>
          </w:p>
        </w:tc>
        <w:tc>
          <w:tcPr>
            <w:tcW w:w="769" w:type="dxa"/>
            <w:vAlign w:val="top"/>
          </w:tcPr>
          <w:p w14:paraId="3B87EDE6">
            <w:pPr>
              <w:pStyle w:val="6"/>
              <w:spacing w:before="33" w:line="219" w:lineRule="auto"/>
              <w:ind w:left="125"/>
              <w:rPr>
                <w:sz w:val="20"/>
                <w:szCs w:val="20"/>
              </w:rPr>
            </w:pPr>
            <w:r>
              <w:rPr>
                <w:spacing w:val="2"/>
                <w:sz w:val="20"/>
                <w:szCs w:val="20"/>
              </w:rPr>
              <w:t>16#阵</w:t>
            </w:r>
          </w:p>
          <w:p w14:paraId="51BF93BB">
            <w:pPr>
              <w:pStyle w:val="6"/>
              <w:spacing w:before="23" w:line="221" w:lineRule="auto"/>
              <w:ind w:left="175"/>
              <w:rPr>
                <w:sz w:val="20"/>
                <w:szCs w:val="20"/>
              </w:rPr>
            </w:pPr>
            <w:r>
              <w:rPr>
                <w:spacing w:val="5"/>
                <w:sz w:val="20"/>
                <w:szCs w:val="20"/>
              </w:rPr>
              <w:t>列南</w:t>
            </w:r>
          </w:p>
          <w:p w14:paraId="0DBB8842">
            <w:pPr>
              <w:pStyle w:val="6"/>
              <w:spacing w:before="38" w:line="209" w:lineRule="auto"/>
              <w:ind w:left="276"/>
              <w:rPr>
                <w:sz w:val="20"/>
                <w:szCs w:val="20"/>
              </w:rPr>
            </w:pPr>
            <w:r>
              <w:rPr>
                <w:sz w:val="20"/>
                <w:szCs w:val="20"/>
              </w:rPr>
              <w:t>侧</w:t>
            </w:r>
          </w:p>
        </w:tc>
        <w:tc>
          <w:tcPr>
            <w:tcW w:w="799" w:type="dxa"/>
            <w:vAlign w:val="top"/>
          </w:tcPr>
          <w:p w14:paraId="2CD1C094">
            <w:pPr>
              <w:spacing w:line="265" w:lineRule="auto"/>
              <w:rPr>
                <w:rFonts w:ascii="Arial"/>
                <w:sz w:val="21"/>
              </w:rPr>
            </w:pPr>
          </w:p>
          <w:p w14:paraId="54695C52">
            <w:pPr>
              <w:pStyle w:val="6"/>
              <w:spacing w:before="65"/>
              <w:ind w:left="246"/>
              <w:rPr>
                <w:sz w:val="20"/>
                <w:szCs w:val="20"/>
              </w:rPr>
            </w:pPr>
            <w:r>
              <w:rPr>
                <w:spacing w:val="-6"/>
                <w:sz w:val="20"/>
                <w:szCs w:val="20"/>
              </w:rPr>
              <w:t>184</w:t>
            </w:r>
          </w:p>
        </w:tc>
        <w:tc>
          <w:tcPr>
            <w:tcW w:w="509" w:type="dxa"/>
            <w:textDirection w:val="tbRlV"/>
            <w:vAlign w:val="top"/>
          </w:tcPr>
          <w:p w14:paraId="50F28F6D">
            <w:pPr>
              <w:pStyle w:val="6"/>
              <w:spacing w:before="139" w:line="200" w:lineRule="auto"/>
              <w:ind w:left="103"/>
              <w:rPr>
                <w:sz w:val="20"/>
                <w:szCs w:val="20"/>
              </w:rPr>
            </w:pPr>
            <w:r>
              <w:rPr>
                <w:sz w:val="20"/>
                <w:szCs w:val="20"/>
              </w:rPr>
              <w:t>二</w:t>
            </w:r>
            <w:r>
              <w:rPr>
                <w:spacing w:val="64"/>
                <w:sz w:val="20"/>
                <w:szCs w:val="20"/>
              </w:rPr>
              <w:t xml:space="preserve"> </w:t>
            </w:r>
            <w:r>
              <w:rPr>
                <w:sz w:val="20"/>
                <w:szCs w:val="20"/>
              </w:rPr>
              <w:t>类</w:t>
            </w:r>
          </w:p>
        </w:tc>
        <w:tc>
          <w:tcPr>
            <w:tcW w:w="1828" w:type="dxa"/>
            <w:vMerge w:val="continue"/>
            <w:tcBorders>
              <w:top w:val="nil"/>
              <w:bottom w:val="nil"/>
            </w:tcBorders>
            <w:vAlign w:val="top"/>
          </w:tcPr>
          <w:p w14:paraId="1A6D82E7">
            <w:pPr>
              <w:rPr>
                <w:rFonts w:ascii="Arial"/>
                <w:sz w:val="21"/>
              </w:rPr>
            </w:pPr>
          </w:p>
        </w:tc>
        <w:tc>
          <w:tcPr>
            <w:tcW w:w="145" w:type="dxa"/>
            <w:vMerge w:val="continue"/>
            <w:tcBorders>
              <w:top w:val="nil"/>
              <w:bottom w:val="nil"/>
            </w:tcBorders>
            <w:vAlign w:val="top"/>
          </w:tcPr>
          <w:p w14:paraId="6B39C1A1">
            <w:pPr>
              <w:rPr>
                <w:rFonts w:ascii="Arial"/>
                <w:sz w:val="21"/>
              </w:rPr>
            </w:pPr>
          </w:p>
        </w:tc>
      </w:tr>
      <w:tr w14:paraId="38EDA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335" w:type="dxa"/>
            <w:vMerge w:val="continue"/>
            <w:tcBorders>
              <w:top w:val="nil"/>
              <w:bottom w:val="nil"/>
            </w:tcBorders>
            <w:vAlign w:val="top"/>
          </w:tcPr>
          <w:p w14:paraId="597798BA">
            <w:pPr>
              <w:rPr>
                <w:rFonts w:ascii="Arial"/>
                <w:sz w:val="21"/>
              </w:rPr>
            </w:pPr>
          </w:p>
        </w:tc>
        <w:tc>
          <w:tcPr>
            <w:tcW w:w="410" w:type="dxa"/>
            <w:vMerge w:val="continue"/>
            <w:tcBorders>
              <w:top w:val="nil"/>
              <w:bottom w:val="nil"/>
            </w:tcBorders>
            <w:textDirection w:val="tbRlV"/>
            <w:vAlign w:val="top"/>
          </w:tcPr>
          <w:p w14:paraId="536FEB57">
            <w:pPr>
              <w:rPr>
                <w:rFonts w:ascii="Arial"/>
                <w:sz w:val="21"/>
              </w:rPr>
            </w:pPr>
          </w:p>
        </w:tc>
        <w:tc>
          <w:tcPr>
            <w:tcW w:w="529" w:type="dxa"/>
            <w:textDirection w:val="tbRlV"/>
            <w:vAlign w:val="top"/>
          </w:tcPr>
          <w:p w14:paraId="1CFC4D16">
            <w:pPr>
              <w:pStyle w:val="6"/>
              <w:spacing w:before="169" w:line="198" w:lineRule="auto"/>
              <w:jc w:val="right"/>
              <w:rPr>
                <w:sz w:val="20"/>
                <w:szCs w:val="20"/>
              </w:rPr>
            </w:pPr>
            <w:r>
              <w:rPr>
                <w:spacing w:val="-4"/>
                <w:sz w:val="20"/>
                <w:szCs w:val="20"/>
              </w:rPr>
              <w:t>下</w:t>
            </w:r>
            <w:r>
              <w:rPr>
                <w:spacing w:val="15"/>
                <w:sz w:val="20"/>
                <w:szCs w:val="20"/>
              </w:rPr>
              <w:t xml:space="preserve"> </w:t>
            </w:r>
            <w:r>
              <w:rPr>
                <w:spacing w:val="-4"/>
                <w:sz w:val="20"/>
                <w:szCs w:val="20"/>
              </w:rPr>
              <w:t>南</w:t>
            </w:r>
            <w:r>
              <w:rPr>
                <w:spacing w:val="15"/>
                <w:sz w:val="20"/>
                <w:szCs w:val="20"/>
              </w:rPr>
              <w:t xml:space="preserve"> </w:t>
            </w:r>
            <w:r>
              <w:rPr>
                <w:spacing w:val="-4"/>
                <w:sz w:val="20"/>
                <w:szCs w:val="20"/>
              </w:rPr>
              <w:t>屯</w:t>
            </w:r>
          </w:p>
        </w:tc>
        <w:tc>
          <w:tcPr>
            <w:tcW w:w="1508" w:type="dxa"/>
            <w:vAlign w:val="top"/>
          </w:tcPr>
          <w:p w14:paraId="6C290580">
            <w:pPr>
              <w:spacing w:line="267" w:lineRule="auto"/>
              <w:rPr>
                <w:rFonts w:ascii="Arial"/>
                <w:sz w:val="21"/>
              </w:rPr>
            </w:pPr>
          </w:p>
          <w:p w14:paraId="05F5FC62">
            <w:pPr>
              <w:pStyle w:val="6"/>
              <w:spacing w:before="65" w:line="239" w:lineRule="auto"/>
              <w:ind w:left="10"/>
              <w:rPr>
                <w:sz w:val="20"/>
                <w:szCs w:val="20"/>
              </w:rPr>
            </w:pPr>
            <w:r>
              <w:rPr>
                <w:spacing w:val="-2"/>
                <w:sz w:val="20"/>
                <w:szCs w:val="20"/>
              </w:rPr>
              <w:t>103°22'23.436"</w:t>
            </w:r>
          </w:p>
        </w:tc>
        <w:tc>
          <w:tcPr>
            <w:tcW w:w="1388" w:type="dxa"/>
            <w:vAlign w:val="top"/>
          </w:tcPr>
          <w:p w14:paraId="208E56CE">
            <w:pPr>
              <w:spacing w:line="267" w:lineRule="auto"/>
              <w:rPr>
                <w:rFonts w:ascii="Arial"/>
                <w:sz w:val="21"/>
              </w:rPr>
            </w:pPr>
          </w:p>
          <w:p w14:paraId="6B39F518">
            <w:pPr>
              <w:pStyle w:val="6"/>
              <w:spacing w:before="65" w:line="239" w:lineRule="auto"/>
              <w:jc w:val="right"/>
              <w:rPr>
                <w:sz w:val="20"/>
                <w:szCs w:val="20"/>
              </w:rPr>
            </w:pPr>
            <w:r>
              <w:rPr>
                <w:spacing w:val="-3"/>
                <w:sz w:val="20"/>
                <w:szCs w:val="20"/>
              </w:rPr>
              <w:t>25°21'59.422"</w:t>
            </w:r>
          </w:p>
        </w:tc>
        <w:tc>
          <w:tcPr>
            <w:tcW w:w="709" w:type="dxa"/>
            <w:vAlign w:val="top"/>
          </w:tcPr>
          <w:p w14:paraId="7DB1F59C">
            <w:pPr>
              <w:pStyle w:val="6"/>
              <w:spacing w:before="174" w:line="220" w:lineRule="auto"/>
              <w:ind w:right="4"/>
              <w:jc w:val="right"/>
              <w:rPr>
                <w:sz w:val="20"/>
                <w:szCs w:val="20"/>
              </w:rPr>
            </w:pPr>
            <w:r>
              <w:rPr>
                <w:spacing w:val="-1"/>
                <w:sz w:val="20"/>
                <w:szCs w:val="20"/>
              </w:rPr>
              <w:t>95户，</w:t>
            </w:r>
          </w:p>
          <w:p w14:paraId="7483CA21">
            <w:pPr>
              <w:pStyle w:val="6"/>
              <w:spacing w:before="34" w:line="222" w:lineRule="auto"/>
              <w:ind w:left="94"/>
              <w:rPr>
                <w:sz w:val="20"/>
                <w:szCs w:val="20"/>
              </w:rPr>
            </w:pPr>
            <w:r>
              <w:rPr>
                <w:spacing w:val="2"/>
                <w:sz w:val="20"/>
                <w:szCs w:val="20"/>
              </w:rPr>
              <w:t>354人</w:t>
            </w:r>
          </w:p>
        </w:tc>
        <w:tc>
          <w:tcPr>
            <w:tcW w:w="769" w:type="dxa"/>
            <w:vAlign w:val="top"/>
          </w:tcPr>
          <w:p w14:paraId="5F47F32D">
            <w:pPr>
              <w:pStyle w:val="6"/>
              <w:spacing w:before="34" w:line="219" w:lineRule="auto"/>
              <w:ind w:left="125"/>
              <w:rPr>
                <w:sz w:val="20"/>
                <w:szCs w:val="20"/>
              </w:rPr>
            </w:pPr>
            <w:r>
              <w:rPr>
                <w:spacing w:val="2"/>
                <w:sz w:val="20"/>
                <w:szCs w:val="20"/>
              </w:rPr>
              <w:t>10#阵</w:t>
            </w:r>
          </w:p>
          <w:p w14:paraId="1307DD81">
            <w:pPr>
              <w:pStyle w:val="6"/>
              <w:spacing w:before="42" w:line="219" w:lineRule="auto"/>
              <w:ind w:left="175"/>
              <w:rPr>
                <w:sz w:val="20"/>
                <w:szCs w:val="20"/>
              </w:rPr>
            </w:pPr>
            <w:r>
              <w:rPr>
                <w:spacing w:val="9"/>
                <w:sz w:val="20"/>
                <w:szCs w:val="20"/>
              </w:rPr>
              <w:t>列东</w:t>
            </w:r>
          </w:p>
          <w:p w14:paraId="3D68FCEB">
            <w:pPr>
              <w:pStyle w:val="6"/>
              <w:spacing w:before="32" w:line="209" w:lineRule="auto"/>
              <w:ind w:left="276"/>
              <w:rPr>
                <w:sz w:val="20"/>
                <w:szCs w:val="20"/>
              </w:rPr>
            </w:pPr>
            <w:r>
              <w:rPr>
                <w:sz w:val="20"/>
                <w:szCs w:val="20"/>
              </w:rPr>
              <w:t>侧</w:t>
            </w:r>
          </w:p>
        </w:tc>
        <w:tc>
          <w:tcPr>
            <w:tcW w:w="799" w:type="dxa"/>
            <w:vAlign w:val="top"/>
          </w:tcPr>
          <w:p w14:paraId="2B566322">
            <w:pPr>
              <w:spacing w:line="267" w:lineRule="auto"/>
              <w:rPr>
                <w:rFonts w:ascii="Arial"/>
                <w:sz w:val="21"/>
              </w:rPr>
            </w:pPr>
          </w:p>
          <w:p w14:paraId="6DD32A29">
            <w:pPr>
              <w:pStyle w:val="6"/>
              <w:spacing w:before="65" w:line="241" w:lineRule="auto"/>
              <w:ind w:left="296"/>
              <w:rPr>
                <w:sz w:val="20"/>
                <w:szCs w:val="20"/>
              </w:rPr>
            </w:pPr>
            <w:r>
              <w:rPr>
                <w:spacing w:val="-2"/>
                <w:sz w:val="20"/>
                <w:szCs w:val="20"/>
              </w:rPr>
              <w:t>44</w:t>
            </w:r>
          </w:p>
        </w:tc>
        <w:tc>
          <w:tcPr>
            <w:tcW w:w="509" w:type="dxa"/>
            <w:textDirection w:val="tbRlV"/>
            <w:vAlign w:val="top"/>
          </w:tcPr>
          <w:p w14:paraId="2AC6325A">
            <w:pPr>
              <w:pStyle w:val="6"/>
              <w:spacing w:before="129" w:line="200" w:lineRule="auto"/>
              <w:ind w:left="164"/>
              <w:rPr>
                <w:sz w:val="20"/>
                <w:szCs w:val="20"/>
              </w:rPr>
            </w:pPr>
            <w:r>
              <w:rPr>
                <w:spacing w:val="22"/>
                <w:sz w:val="20"/>
                <w:szCs w:val="20"/>
              </w:rPr>
              <w:t>二类</w:t>
            </w:r>
          </w:p>
        </w:tc>
        <w:tc>
          <w:tcPr>
            <w:tcW w:w="1828" w:type="dxa"/>
            <w:vMerge w:val="continue"/>
            <w:tcBorders>
              <w:top w:val="nil"/>
              <w:bottom w:val="nil"/>
            </w:tcBorders>
            <w:vAlign w:val="top"/>
          </w:tcPr>
          <w:p w14:paraId="3421E03A">
            <w:pPr>
              <w:rPr>
                <w:rFonts w:ascii="Arial"/>
                <w:sz w:val="21"/>
              </w:rPr>
            </w:pPr>
          </w:p>
        </w:tc>
        <w:tc>
          <w:tcPr>
            <w:tcW w:w="145" w:type="dxa"/>
            <w:vMerge w:val="continue"/>
            <w:tcBorders>
              <w:top w:val="nil"/>
              <w:bottom w:val="nil"/>
            </w:tcBorders>
            <w:vAlign w:val="top"/>
          </w:tcPr>
          <w:p w14:paraId="239429B6">
            <w:pPr>
              <w:rPr>
                <w:rFonts w:ascii="Arial"/>
                <w:sz w:val="21"/>
              </w:rPr>
            </w:pPr>
          </w:p>
        </w:tc>
      </w:tr>
      <w:tr w14:paraId="7BB72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35" w:type="dxa"/>
            <w:vMerge w:val="continue"/>
            <w:tcBorders>
              <w:top w:val="nil"/>
              <w:bottom w:val="nil"/>
            </w:tcBorders>
            <w:vAlign w:val="top"/>
          </w:tcPr>
          <w:p w14:paraId="6B112BFB">
            <w:pPr>
              <w:rPr>
                <w:rFonts w:ascii="Arial"/>
                <w:sz w:val="21"/>
              </w:rPr>
            </w:pPr>
          </w:p>
        </w:tc>
        <w:tc>
          <w:tcPr>
            <w:tcW w:w="410" w:type="dxa"/>
            <w:vMerge w:val="continue"/>
            <w:tcBorders>
              <w:top w:val="nil"/>
              <w:bottom w:val="nil"/>
            </w:tcBorders>
            <w:textDirection w:val="tbRlV"/>
            <w:vAlign w:val="top"/>
          </w:tcPr>
          <w:p w14:paraId="54AA7CBE">
            <w:pPr>
              <w:rPr>
                <w:rFonts w:ascii="Arial"/>
                <w:sz w:val="21"/>
              </w:rPr>
            </w:pPr>
          </w:p>
        </w:tc>
        <w:tc>
          <w:tcPr>
            <w:tcW w:w="529" w:type="dxa"/>
            <w:textDirection w:val="tbRlV"/>
            <w:vAlign w:val="top"/>
          </w:tcPr>
          <w:p w14:paraId="514E73F2">
            <w:pPr>
              <w:pStyle w:val="6"/>
              <w:spacing w:before="138" w:line="199" w:lineRule="auto"/>
              <w:ind w:left="4"/>
              <w:rPr>
                <w:sz w:val="20"/>
                <w:szCs w:val="20"/>
              </w:rPr>
            </w:pPr>
            <w:r>
              <w:rPr>
                <w:spacing w:val="-2"/>
                <w:sz w:val="20"/>
                <w:szCs w:val="20"/>
              </w:rPr>
              <w:t>永 胜 村</w:t>
            </w:r>
          </w:p>
        </w:tc>
        <w:tc>
          <w:tcPr>
            <w:tcW w:w="1508" w:type="dxa"/>
            <w:vAlign w:val="top"/>
          </w:tcPr>
          <w:p w14:paraId="2E435CBE">
            <w:pPr>
              <w:spacing w:line="267" w:lineRule="auto"/>
              <w:rPr>
                <w:rFonts w:ascii="Arial"/>
                <w:sz w:val="21"/>
              </w:rPr>
            </w:pPr>
          </w:p>
          <w:p w14:paraId="6D997C89">
            <w:pPr>
              <w:pStyle w:val="6"/>
              <w:spacing w:before="65" w:line="239" w:lineRule="auto"/>
              <w:jc w:val="right"/>
              <w:rPr>
                <w:sz w:val="20"/>
                <w:szCs w:val="20"/>
              </w:rPr>
            </w:pPr>
            <w:r>
              <w:rPr>
                <w:spacing w:val="-9"/>
                <w:sz w:val="20"/>
                <w:szCs w:val="20"/>
              </w:rPr>
              <w:t>103°19'18.969”</w:t>
            </w:r>
          </w:p>
        </w:tc>
        <w:tc>
          <w:tcPr>
            <w:tcW w:w="1388" w:type="dxa"/>
            <w:vAlign w:val="top"/>
          </w:tcPr>
          <w:p w14:paraId="43D35FED">
            <w:pPr>
              <w:spacing w:line="267" w:lineRule="auto"/>
              <w:rPr>
                <w:rFonts w:ascii="Arial"/>
                <w:sz w:val="21"/>
              </w:rPr>
            </w:pPr>
          </w:p>
          <w:p w14:paraId="672DE6B1">
            <w:pPr>
              <w:pStyle w:val="6"/>
              <w:spacing w:before="65" w:line="239" w:lineRule="auto"/>
              <w:jc w:val="right"/>
              <w:rPr>
                <w:sz w:val="20"/>
                <w:szCs w:val="20"/>
              </w:rPr>
            </w:pPr>
            <w:r>
              <w:rPr>
                <w:spacing w:val="-11"/>
                <w:sz w:val="20"/>
                <w:szCs w:val="20"/>
              </w:rPr>
              <w:t>25°18'58.354”</w:t>
            </w:r>
          </w:p>
        </w:tc>
        <w:tc>
          <w:tcPr>
            <w:tcW w:w="709" w:type="dxa"/>
            <w:vAlign w:val="top"/>
          </w:tcPr>
          <w:p w14:paraId="5DFBAC8C">
            <w:pPr>
              <w:pStyle w:val="6"/>
              <w:spacing w:before="174" w:line="255" w:lineRule="auto"/>
              <w:ind w:left="144" w:right="4" w:hanging="50"/>
              <w:rPr>
                <w:sz w:val="20"/>
                <w:szCs w:val="20"/>
              </w:rPr>
            </w:pPr>
            <w:r>
              <w:rPr>
                <w:sz w:val="20"/>
                <w:szCs w:val="20"/>
              </w:rPr>
              <w:t xml:space="preserve">10户， </w:t>
            </w:r>
            <w:r>
              <w:rPr>
                <w:spacing w:val="-2"/>
                <w:sz w:val="20"/>
                <w:szCs w:val="20"/>
              </w:rPr>
              <w:t>40人</w:t>
            </w:r>
          </w:p>
        </w:tc>
        <w:tc>
          <w:tcPr>
            <w:tcW w:w="769" w:type="dxa"/>
            <w:vAlign w:val="top"/>
          </w:tcPr>
          <w:p w14:paraId="78F731EC">
            <w:pPr>
              <w:pStyle w:val="6"/>
              <w:spacing w:before="34" w:line="219" w:lineRule="auto"/>
              <w:ind w:left="125"/>
              <w:rPr>
                <w:sz w:val="20"/>
                <w:szCs w:val="20"/>
              </w:rPr>
            </w:pPr>
            <w:r>
              <w:rPr>
                <w:spacing w:val="-2"/>
                <w:sz w:val="20"/>
                <w:szCs w:val="20"/>
              </w:rPr>
              <w:t>23#阵</w:t>
            </w:r>
          </w:p>
          <w:p w14:paraId="7A95D6EF">
            <w:pPr>
              <w:pStyle w:val="6"/>
              <w:spacing w:before="33" w:line="221" w:lineRule="auto"/>
              <w:ind w:left="175"/>
              <w:rPr>
                <w:sz w:val="20"/>
                <w:szCs w:val="20"/>
              </w:rPr>
            </w:pPr>
            <w:r>
              <w:rPr>
                <w:spacing w:val="5"/>
                <w:sz w:val="20"/>
                <w:szCs w:val="20"/>
              </w:rPr>
              <w:t>列南</w:t>
            </w:r>
          </w:p>
          <w:p w14:paraId="48EC817E">
            <w:pPr>
              <w:pStyle w:val="6"/>
              <w:spacing w:before="9" w:line="219" w:lineRule="auto"/>
              <w:ind w:left="286"/>
              <w:rPr>
                <w:sz w:val="20"/>
                <w:szCs w:val="20"/>
              </w:rPr>
            </w:pPr>
            <w:r>
              <w:rPr>
                <w:sz w:val="20"/>
                <w:szCs w:val="20"/>
              </w:rPr>
              <w:t>侧</w:t>
            </w:r>
          </w:p>
        </w:tc>
        <w:tc>
          <w:tcPr>
            <w:tcW w:w="799" w:type="dxa"/>
            <w:vAlign w:val="top"/>
          </w:tcPr>
          <w:p w14:paraId="29514A06">
            <w:pPr>
              <w:spacing w:line="266" w:lineRule="auto"/>
              <w:rPr>
                <w:rFonts w:ascii="Arial"/>
                <w:sz w:val="21"/>
              </w:rPr>
            </w:pPr>
          </w:p>
          <w:p w14:paraId="655919EB">
            <w:pPr>
              <w:pStyle w:val="6"/>
              <w:spacing w:before="65"/>
              <w:ind w:left="246"/>
              <w:rPr>
                <w:sz w:val="20"/>
                <w:szCs w:val="20"/>
              </w:rPr>
            </w:pPr>
            <w:r>
              <w:rPr>
                <w:spacing w:val="-3"/>
                <w:sz w:val="20"/>
                <w:szCs w:val="20"/>
              </w:rPr>
              <w:t>220</w:t>
            </w:r>
          </w:p>
        </w:tc>
        <w:tc>
          <w:tcPr>
            <w:tcW w:w="509" w:type="dxa"/>
            <w:textDirection w:val="tbRlV"/>
            <w:vAlign w:val="top"/>
          </w:tcPr>
          <w:p w14:paraId="572CF5D4">
            <w:pPr>
              <w:pStyle w:val="6"/>
              <w:spacing w:before="129" w:line="200" w:lineRule="auto"/>
              <w:ind w:left="164"/>
              <w:rPr>
                <w:sz w:val="20"/>
                <w:szCs w:val="20"/>
              </w:rPr>
            </w:pPr>
            <w:r>
              <w:rPr>
                <w:spacing w:val="22"/>
                <w:sz w:val="20"/>
                <w:szCs w:val="20"/>
              </w:rPr>
              <w:t>二类</w:t>
            </w:r>
          </w:p>
        </w:tc>
        <w:tc>
          <w:tcPr>
            <w:tcW w:w="1828" w:type="dxa"/>
            <w:vMerge w:val="continue"/>
            <w:tcBorders>
              <w:top w:val="nil"/>
              <w:bottom w:val="nil"/>
            </w:tcBorders>
            <w:vAlign w:val="top"/>
          </w:tcPr>
          <w:p w14:paraId="4A641AD9">
            <w:pPr>
              <w:rPr>
                <w:rFonts w:ascii="Arial"/>
                <w:sz w:val="21"/>
              </w:rPr>
            </w:pPr>
          </w:p>
        </w:tc>
        <w:tc>
          <w:tcPr>
            <w:tcW w:w="145" w:type="dxa"/>
            <w:vMerge w:val="continue"/>
            <w:tcBorders>
              <w:top w:val="nil"/>
              <w:bottom w:val="nil"/>
            </w:tcBorders>
            <w:vAlign w:val="top"/>
          </w:tcPr>
          <w:p w14:paraId="6DE20C6D">
            <w:pPr>
              <w:rPr>
                <w:rFonts w:ascii="Arial"/>
                <w:sz w:val="21"/>
              </w:rPr>
            </w:pPr>
          </w:p>
        </w:tc>
      </w:tr>
      <w:tr w14:paraId="2C5D5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335" w:type="dxa"/>
            <w:vMerge w:val="continue"/>
            <w:tcBorders>
              <w:top w:val="nil"/>
              <w:bottom w:val="nil"/>
            </w:tcBorders>
            <w:vAlign w:val="top"/>
          </w:tcPr>
          <w:p w14:paraId="258803DF">
            <w:pPr>
              <w:rPr>
                <w:rFonts w:ascii="Arial"/>
                <w:sz w:val="21"/>
              </w:rPr>
            </w:pPr>
          </w:p>
        </w:tc>
        <w:tc>
          <w:tcPr>
            <w:tcW w:w="410" w:type="dxa"/>
            <w:vMerge w:val="continue"/>
            <w:tcBorders>
              <w:top w:val="nil"/>
              <w:bottom w:val="nil"/>
            </w:tcBorders>
            <w:textDirection w:val="tbRlV"/>
            <w:vAlign w:val="top"/>
          </w:tcPr>
          <w:p w14:paraId="54337D36">
            <w:pPr>
              <w:rPr>
                <w:rFonts w:ascii="Arial"/>
                <w:sz w:val="21"/>
              </w:rPr>
            </w:pPr>
          </w:p>
        </w:tc>
        <w:tc>
          <w:tcPr>
            <w:tcW w:w="529" w:type="dxa"/>
            <w:textDirection w:val="tbRlV"/>
            <w:vAlign w:val="top"/>
          </w:tcPr>
          <w:p w14:paraId="575E0529">
            <w:pPr>
              <w:pStyle w:val="6"/>
              <w:spacing w:before="126" w:line="202" w:lineRule="auto"/>
              <w:ind w:left="6"/>
              <w:rPr>
                <w:sz w:val="20"/>
                <w:szCs w:val="20"/>
              </w:rPr>
            </w:pPr>
            <w:r>
              <w:rPr>
                <w:color w:val="A0A090"/>
                <w:sz w:val="20"/>
                <w:szCs w:val="20"/>
              </w:rPr>
              <w:t>杨</w:t>
            </w:r>
            <w:r>
              <w:rPr>
                <w:color w:val="A0A090"/>
                <w:spacing w:val="-17"/>
                <w:sz w:val="20"/>
                <w:szCs w:val="20"/>
              </w:rPr>
              <w:t xml:space="preserve"> </w:t>
            </w:r>
            <w:r>
              <w:rPr>
                <w:color w:val="A0A090"/>
                <w:sz w:val="20"/>
                <w:szCs w:val="20"/>
              </w:rPr>
              <w:t>梅</w:t>
            </w:r>
            <w:r>
              <w:rPr>
                <w:color w:val="A0A090"/>
                <w:spacing w:val="-17"/>
                <w:sz w:val="20"/>
                <w:szCs w:val="20"/>
              </w:rPr>
              <w:t xml:space="preserve"> </w:t>
            </w:r>
            <w:r>
              <w:rPr>
                <w:color w:val="A0A090"/>
                <w:sz w:val="20"/>
                <w:szCs w:val="20"/>
              </w:rPr>
              <w:t>沟</w:t>
            </w:r>
            <w:r>
              <w:rPr>
                <w:color w:val="A0A090"/>
                <w:spacing w:val="-16"/>
                <w:sz w:val="20"/>
                <w:szCs w:val="20"/>
              </w:rPr>
              <w:t xml:space="preserve"> </w:t>
            </w:r>
            <w:r>
              <w:rPr>
                <w:color w:val="A0A090"/>
                <w:sz w:val="20"/>
                <w:szCs w:val="20"/>
              </w:rPr>
              <w:t>散</w:t>
            </w:r>
            <w:r>
              <w:rPr>
                <w:color w:val="A0A090"/>
                <w:spacing w:val="-16"/>
                <w:sz w:val="20"/>
                <w:szCs w:val="20"/>
              </w:rPr>
              <w:t xml:space="preserve"> </w:t>
            </w:r>
            <w:r>
              <w:rPr>
                <w:color w:val="A0A090"/>
                <w:sz w:val="20"/>
                <w:szCs w:val="20"/>
              </w:rPr>
              <w:t>户</w:t>
            </w:r>
          </w:p>
        </w:tc>
        <w:tc>
          <w:tcPr>
            <w:tcW w:w="1508" w:type="dxa"/>
            <w:vAlign w:val="top"/>
          </w:tcPr>
          <w:p w14:paraId="648020FF">
            <w:pPr>
              <w:spacing w:line="268" w:lineRule="auto"/>
              <w:rPr>
                <w:rFonts w:ascii="Arial"/>
                <w:sz w:val="21"/>
              </w:rPr>
            </w:pPr>
          </w:p>
          <w:p w14:paraId="5F65B6CE">
            <w:pPr>
              <w:spacing w:line="268" w:lineRule="auto"/>
              <w:rPr>
                <w:rFonts w:ascii="Arial"/>
                <w:sz w:val="21"/>
              </w:rPr>
            </w:pPr>
          </w:p>
          <w:p w14:paraId="7682CEA2">
            <w:pPr>
              <w:pStyle w:val="6"/>
              <w:spacing w:before="65" w:line="239" w:lineRule="auto"/>
              <w:jc w:val="right"/>
              <w:rPr>
                <w:sz w:val="20"/>
                <w:szCs w:val="20"/>
              </w:rPr>
            </w:pPr>
            <w:r>
              <w:rPr>
                <w:spacing w:val="-9"/>
                <w:sz w:val="20"/>
                <w:szCs w:val="20"/>
              </w:rPr>
              <w:t>103°22'37.186”</w:t>
            </w:r>
          </w:p>
        </w:tc>
        <w:tc>
          <w:tcPr>
            <w:tcW w:w="1388" w:type="dxa"/>
            <w:vAlign w:val="top"/>
          </w:tcPr>
          <w:p w14:paraId="42A7B691">
            <w:pPr>
              <w:spacing w:line="268" w:lineRule="auto"/>
              <w:rPr>
                <w:rFonts w:ascii="Arial"/>
                <w:sz w:val="21"/>
              </w:rPr>
            </w:pPr>
          </w:p>
          <w:p w14:paraId="66140023">
            <w:pPr>
              <w:spacing w:line="268" w:lineRule="auto"/>
              <w:rPr>
                <w:rFonts w:ascii="Arial"/>
                <w:sz w:val="21"/>
              </w:rPr>
            </w:pPr>
          </w:p>
          <w:p w14:paraId="2369B91D">
            <w:pPr>
              <w:pStyle w:val="6"/>
              <w:spacing w:before="65" w:line="239" w:lineRule="auto"/>
              <w:jc w:val="right"/>
              <w:rPr>
                <w:sz w:val="20"/>
                <w:szCs w:val="20"/>
              </w:rPr>
            </w:pPr>
            <w:r>
              <w:rPr>
                <w:spacing w:val="-3"/>
                <w:sz w:val="20"/>
                <w:szCs w:val="20"/>
              </w:rPr>
              <w:t>25°20'19.232"</w:t>
            </w:r>
          </w:p>
        </w:tc>
        <w:tc>
          <w:tcPr>
            <w:tcW w:w="709" w:type="dxa"/>
            <w:vAlign w:val="top"/>
          </w:tcPr>
          <w:p w14:paraId="5867B853">
            <w:pPr>
              <w:spacing w:line="378" w:lineRule="auto"/>
              <w:rPr>
                <w:rFonts w:ascii="Arial"/>
                <w:sz w:val="21"/>
              </w:rPr>
            </w:pPr>
          </w:p>
          <w:p w14:paraId="069A5560">
            <w:pPr>
              <w:pStyle w:val="6"/>
              <w:spacing w:before="65" w:line="220" w:lineRule="auto"/>
              <w:ind w:left="144"/>
              <w:rPr>
                <w:sz w:val="20"/>
                <w:szCs w:val="20"/>
              </w:rPr>
            </w:pPr>
            <w:r>
              <w:rPr>
                <w:spacing w:val="-1"/>
                <w:sz w:val="20"/>
                <w:szCs w:val="20"/>
              </w:rPr>
              <w:t>3户，</w:t>
            </w:r>
          </w:p>
          <w:p w14:paraId="3F438A5F">
            <w:pPr>
              <w:pStyle w:val="6"/>
              <w:spacing w:before="44" w:line="222" w:lineRule="auto"/>
              <w:ind w:left="144"/>
              <w:rPr>
                <w:sz w:val="20"/>
                <w:szCs w:val="20"/>
              </w:rPr>
            </w:pPr>
            <w:r>
              <w:rPr>
                <w:spacing w:val="2"/>
                <w:sz w:val="20"/>
                <w:szCs w:val="20"/>
              </w:rPr>
              <w:t>12人</w:t>
            </w:r>
          </w:p>
        </w:tc>
        <w:tc>
          <w:tcPr>
            <w:tcW w:w="769" w:type="dxa"/>
            <w:vAlign w:val="top"/>
          </w:tcPr>
          <w:p w14:paraId="29F2E355">
            <w:pPr>
              <w:spacing w:line="248" w:lineRule="auto"/>
              <w:rPr>
                <w:rFonts w:ascii="Arial"/>
                <w:sz w:val="21"/>
              </w:rPr>
            </w:pPr>
          </w:p>
          <w:p w14:paraId="330EFD37">
            <w:pPr>
              <w:pStyle w:val="6"/>
              <w:spacing w:before="65" w:line="219" w:lineRule="auto"/>
              <w:ind w:left="125"/>
              <w:rPr>
                <w:sz w:val="20"/>
                <w:szCs w:val="20"/>
              </w:rPr>
            </w:pPr>
            <w:r>
              <w:rPr>
                <w:spacing w:val="-2"/>
                <w:sz w:val="20"/>
                <w:szCs w:val="20"/>
              </w:rPr>
              <w:t>29#阵</w:t>
            </w:r>
          </w:p>
          <w:p w14:paraId="3B22D347">
            <w:pPr>
              <w:pStyle w:val="6"/>
              <w:spacing w:before="33" w:line="221" w:lineRule="auto"/>
              <w:ind w:left="175"/>
              <w:rPr>
                <w:sz w:val="20"/>
                <w:szCs w:val="20"/>
              </w:rPr>
            </w:pPr>
            <w:r>
              <w:rPr>
                <w:spacing w:val="7"/>
                <w:sz w:val="20"/>
                <w:szCs w:val="20"/>
              </w:rPr>
              <w:t>列西</w:t>
            </w:r>
          </w:p>
          <w:p w14:paraId="05F5D62F">
            <w:pPr>
              <w:pStyle w:val="6"/>
              <w:spacing w:before="29" w:line="219" w:lineRule="auto"/>
              <w:ind w:left="276"/>
              <w:rPr>
                <w:sz w:val="20"/>
                <w:szCs w:val="20"/>
              </w:rPr>
            </w:pPr>
            <w:r>
              <w:rPr>
                <w:sz w:val="20"/>
                <w:szCs w:val="20"/>
              </w:rPr>
              <w:t>侧</w:t>
            </w:r>
          </w:p>
        </w:tc>
        <w:tc>
          <w:tcPr>
            <w:tcW w:w="799" w:type="dxa"/>
            <w:vAlign w:val="top"/>
          </w:tcPr>
          <w:p w14:paraId="73F4EF1E">
            <w:pPr>
              <w:spacing w:line="268" w:lineRule="auto"/>
              <w:rPr>
                <w:rFonts w:ascii="Arial"/>
                <w:sz w:val="21"/>
              </w:rPr>
            </w:pPr>
          </w:p>
          <w:p w14:paraId="056239A2">
            <w:pPr>
              <w:spacing w:line="268" w:lineRule="auto"/>
              <w:rPr>
                <w:rFonts w:ascii="Arial"/>
                <w:sz w:val="21"/>
              </w:rPr>
            </w:pPr>
          </w:p>
          <w:p w14:paraId="66874826">
            <w:pPr>
              <w:pStyle w:val="6"/>
              <w:spacing w:before="65"/>
              <w:ind w:left="296"/>
              <w:rPr>
                <w:sz w:val="20"/>
                <w:szCs w:val="20"/>
              </w:rPr>
            </w:pPr>
            <w:r>
              <w:rPr>
                <w:spacing w:val="-2"/>
                <w:sz w:val="20"/>
                <w:szCs w:val="20"/>
              </w:rPr>
              <w:t>45</w:t>
            </w:r>
          </w:p>
        </w:tc>
        <w:tc>
          <w:tcPr>
            <w:tcW w:w="509" w:type="dxa"/>
            <w:textDirection w:val="tbRlV"/>
            <w:vAlign w:val="top"/>
          </w:tcPr>
          <w:p w14:paraId="098C9A4B">
            <w:pPr>
              <w:pStyle w:val="6"/>
              <w:spacing w:before="159" w:line="200" w:lineRule="auto"/>
              <w:ind w:left="435"/>
              <w:rPr>
                <w:sz w:val="20"/>
                <w:szCs w:val="20"/>
              </w:rPr>
            </w:pPr>
            <w:r>
              <w:rPr>
                <w:spacing w:val="22"/>
                <w:sz w:val="20"/>
                <w:szCs w:val="20"/>
              </w:rPr>
              <w:t>二类</w:t>
            </w:r>
          </w:p>
        </w:tc>
        <w:tc>
          <w:tcPr>
            <w:tcW w:w="1828" w:type="dxa"/>
            <w:vMerge w:val="continue"/>
            <w:tcBorders>
              <w:top w:val="nil"/>
              <w:bottom w:val="nil"/>
            </w:tcBorders>
            <w:vAlign w:val="top"/>
          </w:tcPr>
          <w:p w14:paraId="44257EB4">
            <w:pPr>
              <w:rPr>
                <w:rFonts w:ascii="Arial"/>
                <w:sz w:val="21"/>
              </w:rPr>
            </w:pPr>
          </w:p>
        </w:tc>
        <w:tc>
          <w:tcPr>
            <w:tcW w:w="145" w:type="dxa"/>
            <w:vMerge w:val="continue"/>
            <w:tcBorders>
              <w:top w:val="nil"/>
              <w:bottom w:val="nil"/>
            </w:tcBorders>
            <w:vAlign w:val="top"/>
          </w:tcPr>
          <w:p w14:paraId="4131B5F2">
            <w:pPr>
              <w:rPr>
                <w:rFonts w:ascii="Arial"/>
                <w:sz w:val="21"/>
              </w:rPr>
            </w:pPr>
          </w:p>
        </w:tc>
      </w:tr>
      <w:tr w14:paraId="7889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35" w:type="dxa"/>
            <w:vMerge w:val="continue"/>
            <w:tcBorders>
              <w:top w:val="nil"/>
              <w:bottom w:val="nil"/>
            </w:tcBorders>
            <w:vAlign w:val="top"/>
          </w:tcPr>
          <w:p w14:paraId="14BC9D72">
            <w:pPr>
              <w:rPr>
                <w:rFonts w:ascii="Arial"/>
                <w:sz w:val="21"/>
              </w:rPr>
            </w:pPr>
          </w:p>
        </w:tc>
        <w:tc>
          <w:tcPr>
            <w:tcW w:w="410" w:type="dxa"/>
            <w:vMerge w:val="continue"/>
            <w:tcBorders>
              <w:top w:val="nil"/>
              <w:bottom w:val="nil"/>
            </w:tcBorders>
            <w:textDirection w:val="tbRlV"/>
            <w:vAlign w:val="top"/>
          </w:tcPr>
          <w:p w14:paraId="0015E35C">
            <w:pPr>
              <w:rPr>
                <w:rFonts w:ascii="Arial"/>
                <w:sz w:val="21"/>
              </w:rPr>
            </w:pPr>
          </w:p>
        </w:tc>
        <w:tc>
          <w:tcPr>
            <w:tcW w:w="529" w:type="dxa"/>
            <w:textDirection w:val="tbRlV"/>
            <w:vAlign w:val="top"/>
          </w:tcPr>
          <w:p w14:paraId="1058BE4F">
            <w:pPr>
              <w:pStyle w:val="6"/>
              <w:spacing w:before="166" w:line="202" w:lineRule="auto"/>
              <w:jc w:val="right"/>
              <w:rPr>
                <w:sz w:val="20"/>
                <w:szCs w:val="20"/>
              </w:rPr>
            </w:pPr>
            <w:r>
              <w:rPr>
                <w:spacing w:val="-2"/>
                <w:sz w:val="20"/>
                <w:szCs w:val="20"/>
              </w:rPr>
              <w:t>杨</w:t>
            </w:r>
            <w:r>
              <w:rPr>
                <w:spacing w:val="7"/>
                <w:sz w:val="20"/>
                <w:szCs w:val="20"/>
              </w:rPr>
              <w:t xml:space="preserve"> </w:t>
            </w:r>
            <w:r>
              <w:rPr>
                <w:spacing w:val="-2"/>
                <w:sz w:val="20"/>
                <w:szCs w:val="20"/>
              </w:rPr>
              <w:t>梅</w:t>
            </w:r>
            <w:r>
              <w:rPr>
                <w:spacing w:val="6"/>
                <w:sz w:val="20"/>
                <w:szCs w:val="20"/>
              </w:rPr>
              <w:t xml:space="preserve"> </w:t>
            </w:r>
            <w:r>
              <w:rPr>
                <w:spacing w:val="-2"/>
                <w:sz w:val="20"/>
                <w:szCs w:val="20"/>
              </w:rPr>
              <w:t>沟</w:t>
            </w:r>
          </w:p>
        </w:tc>
        <w:tc>
          <w:tcPr>
            <w:tcW w:w="1508" w:type="dxa"/>
            <w:vAlign w:val="top"/>
          </w:tcPr>
          <w:p w14:paraId="71FAA7AA">
            <w:pPr>
              <w:spacing w:line="269" w:lineRule="auto"/>
              <w:rPr>
                <w:rFonts w:ascii="Arial"/>
                <w:sz w:val="21"/>
              </w:rPr>
            </w:pPr>
          </w:p>
          <w:p w14:paraId="2CA31FA1">
            <w:pPr>
              <w:pStyle w:val="6"/>
              <w:spacing w:before="65" w:line="239" w:lineRule="auto"/>
              <w:jc w:val="right"/>
              <w:rPr>
                <w:sz w:val="20"/>
                <w:szCs w:val="20"/>
              </w:rPr>
            </w:pPr>
            <w:r>
              <w:rPr>
                <w:spacing w:val="-1"/>
                <w:sz w:val="20"/>
                <w:szCs w:val="20"/>
              </w:rPr>
              <w:t>103°23'4.597”</w:t>
            </w:r>
          </w:p>
        </w:tc>
        <w:tc>
          <w:tcPr>
            <w:tcW w:w="1388" w:type="dxa"/>
            <w:vAlign w:val="top"/>
          </w:tcPr>
          <w:p w14:paraId="026659C0">
            <w:pPr>
              <w:spacing w:line="269" w:lineRule="auto"/>
              <w:rPr>
                <w:rFonts w:ascii="Arial"/>
                <w:sz w:val="21"/>
              </w:rPr>
            </w:pPr>
          </w:p>
          <w:p w14:paraId="3BB408C3">
            <w:pPr>
              <w:pStyle w:val="6"/>
              <w:spacing w:before="65" w:line="239" w:lineRule="auto"/>
              <w:ind w:left="32"/>
              <w:rPr>
                <w:sz w:val="20"/>
                <w:szCs w:val="20"/>
              </w:rPr>
            </w:pPr>
            <w:r>
              <w:rPr>
                <w:spacing w:val="-1"/>
                <w:sz w:val="20"/>
                <w:szCs w:val="20"/>
              </w:rPr>
              <w:t>25°20'7.131"</w:t>
            </w:r>
          </w:p>
        </w:tc>
        <w:tc>
          <w:tcPr>
            <w:tcW w:w="709" w:type="dxa"/>
            <w:vAlign w:val="top"/>
          </w:tcPr>
          <w:p w14:paraId="4337A8D9">
            <w:pPr>
              <w:pStyle w:val="6"/>
              <w:spacing w:before="186" w:line="220" w:lineRule="auto"/>
              <w:ind w:right="4"/>
              <w:jc w:val="right"/>
              <w:rPr>
                <w:sz w:val="20"/>
                <w:szCs w:val="20"/>
              </w:rPr>
            </w:pPr>
            <w:r>
              <w:rPr>
                <w:sz w:val="20"/>
                <w:szCs w:val="20"/>
              </w:rPr>
              <w:t>38户，</w:t>
            </w:r>
          </w:p>
          <w:p w14:paraId="6B3299D9">
            <w:pPr>
              <w:pStyle w:val="6"/>
              <w:spacing w:before="34" w:line="222" w:lineRule="auto"/>
              <w:ind w:left="94"/>
              <w:rPr>
                <w:sz w:val="20"/>
                <w:szCs w:val="20"/>
              </w:rPr>
            </w:pPr>
            <w:r>
              <w:rPr>
                <w:spacing w:val="2"/>
                <w:sz w:val="20"/>
                <w:szCs w:val="20"/>
              </w:rPr>
              <w:t>158人</w:t>
            </w:r>
          </w:p>
        </w:tc>
        <w:tc>
          <w:tcPr>
            <w:tcW w:w="769" w:type="dxa"/>
            <w:vAlign w:val="top"/>
          </w:tcPr>
          <w:p w14:paraId="410094A1">
            <w:pPr>
              <w:pStyle w:val="6"/>
              <w:spacing w:before="44" w:line="232" w:lineRule="auto"/>
              <w:ind w:left="175" w:right="138" w:hanging="50"/>
              <w:jc w:val="both"/>
              <w:rPr>
                <w:sz w:val="20"/>
                <w:szCs w:val="20"/>
              </w:rPr>
            </w:pPr>
            <w:r>
              <w:rPr>
                <w:spacing w:val="-3"/>
                <w:sz w:val="20"/>
                <w:szCs w:val="20"/>
              </w:rPr>
              <w:t>29#阵</w:t>
            </w:r>
            <w:r>
              <w:rPr>
                <w:sz w:val="20"/>
                <w:szCs w:val="20"/>
              </w:rPr>
              <w:t xml:space="preserve"> </w:t>
            </w:r>
            <w:r>
              <w:rPr>
                <w:spacing w:val="9"/>
                <w:sz w:val="20"/>
                <w:szCs w:val="20"/>
              </w:rPr>
              <w:t>列东</w:t>
            </w:r>
            <w:r>
              <w:rPr>
                <w:sz w:val="20"/>
                <w:szCs w:val="20"/>
              </w:rPr>
              <w:t xml:space="preserve"> </w:t>
            </w:r>
            <w:r>
              <w:rPr>
                <w:spacing w:val="22"/>
                <w:sz w:val="20"/>
                <w:szCs w:val="20"/>
              </w:rPr>
              <w:t>南侧</w:t>
            </w:r>
          </w:p>
        </w:tc>
        <w:tc>
          <w:tcPr>
            <w:tcW w:w="799" w:type="dxa"/>
            <w:vAlign w:val="top"/>
          </w:tcPr>
          <w:p w14:paraId="4F8FCAA8">
            <w:pPr>
              <w:spacing w:line="268" w:lineRule="auto"/>
              <w:rPr>
                <w:rFonts w:ascii="Arial"/>
                <w:sz w:val="21"/>
              </w:rPr>
            </w:pPr>
          </w:p>
          <w:p w14:paraId="7F36FAFE">
            <w:pPr>
              <w:pStyle w:val="6"/>
              <w:spacing w:before="65"/>
              <w:ind w:left="246"/>
              <w:rPr>
                <w:sz w:val="20"/>
                <w:szCs w:val="20"/>
              </w:rPr>
            </w:pPr>
            <w:r>
              <w:rPr>
                <w:spacing w:val="-3"/>
                <w:sz w:val="20"/>
                <w:szCs w:val="20"/>
              </w:rPr>
              <w:t>359</w:t>
            </w:r>
          </w:p>
        </w:tc>
        <w:tc>
          <w:tcPr>
            <w:tcW w:w="509" w:type="dxa"/>
            <w:textDirection w:val="tbRlV"/>
            <w:vAlign w:val="top"/>
          </w:tcPr>
          <w:p w14:paraId="124EC19D">
            <w:pPr>
              <w:pStyle w:val="6"/>
              <w:spacing w:before="129" w:line="200" w:lineRule="auto"/>
              <w:ind w:left="166"/>
              <w:rPr>
                <w:sz w:val="20"/>
                <w:szCs w:val="20"/>
              </w:rPr>
            </w:pPr>
            <w:r>
              <w:rPr>
                <w:spacing w:val="22"/>
                <w:sz w:val="20"/>
                <w:szCs w:val="20"/>
              </w:rPr>
              <w:t>二类</w:t>
            </w:r>
          </w:p>
        </w:tc>
        <w:tc>
          <w:tcPr>
            <w:tcW w:w="1828" w:type="dxa"/>
            <w:vMerge w:val="continue"/>
            <w:tcBorders>
              <w:top w:val="nil"/>
              <w:bottom w:val="nil"/>
            </w:tcBorders>
            <w:vAlign w:val="top"/>
          </w:tcPr>
          <w:p w14:paraId="39DDEF5B">
            <w:pPr>
              <w:rPr>
                <w:rFonts w:ascii="Arial"/>
                <w:sz w:val="21"/>
              </w:rPr>
            </w:pPr>
          </w:p>
        </w:tc>
        <w:tc>
          <w:tcPr>
            <w:tcW w:w="145" w:type="dxa"/>
            <w:vMerge w:val="continue"/>
            <w:tcBorders>
              <w:top w:val="nil"/>
              <w:bottom w:val="nil"/>
            </w:tcBorders>
            <w:vAlign w:val="top"/>
          </w:tcPr>
          <w:p w14:paraId="700261BD">
            <w:pPr>
              <w:rPr>
                <w:rFonts w:ascii="Arial"/>
                <w:sz w:val="21"/>
              </w:rPr>
            </w:pPr>
          </w:p>
        </w:tc>
      </w:tr>
      <w:tr w14:paraId="4E006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335" w:type="dxa"/>
            <w:vMerge w:val="continue"/>
            <w:tcBorders>
              <w:top w:val="nil"/>
              <w:bottom w:val="nil"/>
            </w:tcBorders>
            <w:vAlign w:val="top"/>
          </w:tcPr>
          <w:p w14:paraId="0F48B39A">
            <w:pPr>
              <w:rPr>
                <w:rFonts w:ascii="Arial"/>
                <w:sz w:val="21"/>
              </w:rPr>
            </w:pPr>
          </w:p>
        </w:tc>
        <w:tc>
          <w:tcPr>
            <w:tcW w:w="410" w:type="dxa"/>
            <w:vMerge w:val="continue"/>
            <w:tcBorders>
              <w:top w:val="nil"/>
            </w:tcBorders>
            <w:textDirection w:val="tbRlV"/>
            <w:vAlign w:val="top"/>
          </w:tcPr>
          <w:p w14:paraId="0B159D69">
            <w:pPr>
              <w:rPr>
                <w:rFonts w:ascii="Arial"/>
                <w:sz w:val="21"/>
              </w:rPr>
            </w:pPr>
          </w:p>
        </w:tc>
        <w:tc>
          <w:tcPr>
            <w:tcW w:w="529" w:type="dxa"/>
            <w:textDirection w:val="tbRlV"/>
            <w:vAlign w:val="top"/>
          </w:tcPr>
          <w:p w14:paraId="6C7E9757">
            <w:pPr>
              <w:pStyle w:val="6"/>
              <w:spacing w:before="168" w:line="200" w:lineRule="auto"/>
              <w:rPr>
                <w:sz w:val="20"/>
                <w:szCs w:val="20"/>
              </w:rPr>
            </w:pPr>
            <w:r>
              <w:rPr>
                <w:spacing w:val="-1"/>
                <w:sz w:val="20"/>
                <w:szCs w:val="20"/>
              </w:rPr>
              <w:t>小</w:t>
            </w:r>
            <w:r>
              <w:rPr>
                <w:spacing w:val="9"/>
                <w:sz w:val="20"/>
                <w:szCs w:val="20"/>
              </w:rPr>
              <w:t xml:space="preserve"> </w:t>
            </w:r>
            <w:r>
              <w:rPr>
                <w:spacing w:val="-1"/>
                <w:sz w:val="20"/>
                <w:szCs w:val="20"/>
              </w:rPr>
              <w:t>己</w:t>
            </w:r>
            <w:r>
              <w:rPr>
                <w:spacing w:val="8"/>
                <w:sz w:val="20"/>
                <w:szCs w:val="20"/>
              </w:rPr>
              <w:t xml:space="preserve"> </w:t>
            </w:r>
            <w:r>
              <w:rPr>
                <w:spacing w:val="-1"/>
                <w:sz w:val="20"/>
                <w:szCs w:val="20"/>
              </w:rPr>
              <w:t>沃</w:t>
            </w:r>
          </w:p>
        </w:tc>
        <w:tc>
          <w:tcPr>
            <w:tcW w:w="1508" w:type="dxa"/>
            <w:vAlign w:val="top"/>
          </w:tcPr>
          <w:p w14:paraId="31260731">
            <w:pPr>
              <w:spacing w:line="270" w:lineRule="auto"/>
              <w:rPr>
                <w:rFonts w:ascii="Arial"/>
                <w:sz w:val="21"/>
              </w:rPr>
            </w:pPr>
          </w:p>
          <w:p w14:paraId="17BC6E70">
            <w:pPr>
              <w:pStyle w:val="6"/>
              <w:spacing w:before="65" w:line="239" w:lineRule="auto"/>
              <w:jc w:val="right"/>
              <w:rPr>
                <w:sz w:val="20"/>
                <w:szCs w:val="20"/>
              </w:rPr>
            </w:pPr>
            <w:r>
              <w:rPr>
                <w:spacing w:val="-9"/>
                <w:sz w:val="20"/>
                <w:szCs w:val="20"/>
              </w:rPr>
              <w:t>103°23'47.546”</w:t>
            </w:r>
          </w:p>
        </w:tc>
        <w:tc>
          <w:tcPr>
            <w:tcW w:w="1388" w:type="dxa"/>
            <w:vAlign w:val="top"/>
          </w:tcPr>
          <w:p w14:paraId="58A435E5">
            <w:pPr>
              <w:spacing w:line="270" w:lineRule="auto"/>
              <w:rPr>
                <w:rFonts w:ascii="Arial"/>
                <w:sz w:val="21"/>
              </w:rPr>
            </w:pPr>
          </w:p>
          <w:p w14:paraId="5A449DAF">
            <w:pPr>
              <w:pStyle w:val="6"/>
              <w:spacing w:before="65" w:line="239" w:lineRule="auto"/>
              <w:jc w:val="right"/>
              <w:rPr>
                <w:sz w:val="20"/>
                <w:szCs w:val="20"/>
              </w:rPr>
            </w:pPr>
            <w:r>
              <w:rPr>
                <w:spacing w:val="-3"/>
                <w:sz w:val="20"/>
                <w:szCs w:val="20"/>
              </w:rPr>
              <w:t>25°17'46.077"</w:t>
            </w:r>
          </w:p>
        </w:tc>
        <w:tc>
          <w:tcPr>
            <w:tcW w:w="709" w:type="dxa"/>
            <w:vAlign w:val="top"/>
          </w:tcPr>
          <w:p w14:paraId="06D953CD">
            <w:pPr>
              <w:pStyle w:val="6"/>
              <w:spacing w:before="177" w:line="220" w:lineRule="auto"/>
              <w:ind w:right="4"/>
              <w:jc w:val="right"/>
              <w:rPr>
                <w:sz w:val="20"/>
                <w:szCs w:val="20"/>
              </w:rPr>
            </w:pPr>
            <w:r>
              <w:rPr>
                <w:sz w:val="20"/>
                <w:szCs w:val="20"/>
              </w:rPr>
              <w:t>35户，</w:t>
            </w:r>
          </w:p>
          <w:p w14:paraId="50D5290E">
            <w:pPr>
              <w:pStyle w:val="6"/>
              <w:spacing w:before="34" w:line="222" w:lineRule="auto"/>
              <w:ind w:left="94"/>
              <w:rPr>
                <w:sz w:val="20"/>
                <w:szCs w:val="20"/>
              </w:rPr>
            </w:pPr>
            <w:r>
              <w:rPr>
                <w:spacing w:val="2"/>
                <w:sz w:val="20"/>
                <w:szCs w:val="20"/>
              </w:rPr>
              <w:t>143人</w:t>
            </w:r>
          </w:p>
        </w:tc>
        <w:tc>
          <w:tcPr>
            <w:tcW w:w="769" w:type="dxa"/>
            <w:vAlign w:val="top"/>
          </w:tcPr>
          <w:p w14:paraId="5EE3D11C">
            <w:pPr>
              <w:pStyle w:val="6"/>
              <w:spacing w:before="57" w:line="219" w:lineRule="auto"/>
              <w:ind w:left="125"/>
              <w:rPr>
                <w:sz w:val="20"/>
                <w:szCs w:val="20"/>
              </w:rPr>
            </w:pPr>
            <w:r>
              <w:rPr>
                <w:spacing w:val="2"/>
                <w:sz w:val="20"/>
                <w:szCs w:val="20"/>
              </w:rPr>
              <w:t>32#阵</w:t>
            </w:r>
          </w:p>
          <w:p w14:paraId="30E5535B">
            <w:pPr>
              <w:pStyle w:val="6"/>
              <w:spacing w:before="22" w:line="219" w:lineRule="auto"/>
              <w:ind w:left="175"/>
              <w:rPr>
                <w:sz w:val="20"/>
                <w:szCs w:val="20"/>
              </w:rPr>
            </w:pPr>
            <w:r>
              <w:rPr>
                <w:spacing w:val="9"/>
                <w:sz w:val="20"/>
                <w:szCs w:val="20"/>
              </w:rPr>
              <w:t>列东</w:t>
            </w:r>
          </w:p>
          <w:p w14:paraId="5FEBD1BC">
            <w:pPr>
              <w:pStyle w:val="6"/>
              <w:spacing w:before="12" w:line="219" w:lineRule="auto"/>
              <w:ind w:left="276"/>
              <w:rPr>
                <w:sz w:val="20"/>
                <w:szCs w:val="20"/>
              </w:rPr>
            </w:pPr>
            <w:r>
              <w:rPr>
                <w:sz w:val="20"/>
                <w:szCs w:val="20"/>
              </w:rPr>
              <w:t>侧</w:t>
            </w:r>
          </w:p>
        </w:tc>
        <w:tc>
          <w:tcPr>
            <w:tcW w:w="799" w:type="dxa"/>
            <w:vAlign w:val="top"/>
          </w:tcPr>
          <w:p w14:paraId="715AADE1">
            <w:pPr>
              <w:spacing w:line="270" w:lineRule="auto"/>
              <w:rPr>
                <w:rFonts w:ascii="Arial"/>
                <w:sz w:val="21"/>
              </w:rPr>
            </w:pPr>
          </w:p>
          <w:p w14:paraId="23DA781F">
            <w:pPr>
              <w:pStyle w:val="6"/>
              <w:spacing w:before="65"/>
              <w:ind w:left="246"/>
              <w:rPr>
                <w:sz w:val="20"/>
                <w:szCs w:val="20"/>
              </w:rPr>
            </w:pPr>
            <w:r>
              <w:rPr>
                <w:spacing w:val="-2"/>
                <w:sz w:val="20"/>
                <w:szCs w:val="20"/>
              </w:rPr>
              <w:t>805</w:t>
            </w:r>
          </w:p>
        </w:tc>
        <w:tc>
          <w:tcPr>
            <w:tcW w:w="509" w:type="dxa"/>
            <w:textDirection w:val="tbRlV"/>
            <w:vAlign w:val="top"/>
          </w:tcPr>
          <w:p w14:paraId="07FBBBC2">
            <w:pPr>
              <w:pStyle w:val="6"/>
              <w:spacing w:before="149" w:line="200" w:lineRule="auto"/>
              <w:ind w:left="167"/>
              <w:rPr>
                <w:sz w:val="20"/>
                <w:szCs w:val="20"/>
              </w:rPr>
            </w:pPr>
            <w:r>
              <w:rPr>
                <w:spacing w:val="22"/>
                <w:sz w:val="20"/>
                <w:szCs w:val="20"/>
              </w:rPr>
              <w:t>二类</w:t>
            </w:r>
          </w:p>
        </w:tc>
        <w:tc>
          <w:tcPr>
            <w:tcW w:w="1828" w:type="dxa"/>
            <w:vMerge w:val="continue"/>
            <w:tcBorders>
              <w:top w:val="nil"/>
            </w:tcBorders>
            <w:vAlign w:val="top"/>
          </w:tcPr>
          <w:p w14:paraId="10971B3B">
            <w:pPr>
              <w:rPr>
                <w:rFonts w:ascii="Arial"/>
                <w:sz w:val="21"/>
              </w:rPr>
            </w:pPr>
          </w:p>
        </w:tc>
        <w:tc>
          <w:tcPr>
            <w:tcW w:w="145" w:type="dxa"/>
            <w:vMerge w:val="continue"/>
            <w:tcBorders>
              <w:top w:val="nil"/>
              <w:bottom w:val="nil"/>
            </w:tcBorders>
            <w:vAlign w:val="top"/>
          </w:tcPr>
          <w:p w14:paraId="64FA50B4">
            <w:pPr>
              <w:rPr>
                <w:rFonts w:ascii="Arial"/>
                <w:sz w:val="21"/>
              </w:rPr>
            </w:pPr>
          </w:p>
        </w:tc>
      </w:tr>
      <w:tr w14:paraId="28B0B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335" w:type="dxa"/>
            <w:vMerge w:val="continue"/>
            <w:tcBorders>
              <w:top w:val="nil"/>
            </w:tcBorders>
            <w:vAlign w:val="top"/>
          </w:tcPr>
          <w:p w14:paraId="374D7A1C">
            <w:pPr>
              <w:rPr>
                <w:rFonts w:ascii="Arial"/>
                <w:sz w:val="21"/>
              </w:rPr>
            </w:pPr>
          </w:p>
        </w:tc>
        <w:tc>
          <w:tcPr>
            <w:tcW w:w="410" w:type="dxa"/>
            <w:textDirection w:val="tbRlV"/>
            <w:vAlign w:val="top"/>
          </w:tcPr>
          <w:p w14:paraId="40E85525">
            <w:pPr>
              <w:pStyle w:val="6"/>
              <w:spacing w:before="108" w:line="201" w:lineRule="auto"/>
              <w:rPr>
                <w:sz w:val="20"/>
                <w:szCs w:val="20"/>
              </w:rPr>
            </w:pPr>
            <w:r>
              <w:rPr>
                <w:spacing w:val="-1"/>
                <w:sz w:val="20"/>
                <w:szCs w:val="20"/>
              </w:rPr>
              <w:t>声</w:t>
            </w:r>
            <w:r>
              <w:rPr>
                <w:spacing w:val="9"/>
                <w:sz w:val="20"/>
                <w:szCs w:val="20"/>
              </w:rPr>
              <w:t xml:space="preserve"> </w:t>
            </w:r>
            <w:r>
              <w:rPr>
                <w:spacing w:val="-1"/>
                <w:sz w:val="20"/>
                <w:szCs w:val="20"/>
              </w:rPr>
              <w:t>环</w:t>
            </w:r>
            <w:r>
              <w:rPr>
                <w:spacing w:val="7"/>
                <w:sz w:val="20"/>
                <w:szCs w:val="20"/>
              </w:rPr>
              <w:t xml:space="preserve"> </w:t>
            </w:r>
            <w:r>
              <w:rPr>
                <w:spacing w:val="-1"/>
                <w:sz w:val="20"/>
                <w:szCs w:val="20"/>
              </w:rPr>
              <w:t>境</w:t>
            </w:r>
          </w:p>
        </w:tc>
        <w:tc>
          <w:tcPr>
            <w:tcW w:w="529" w:type="dxa"/>
            <w:textDirection w:val="tbRlV"/>
            <w:vAlign w:val="top"/>
          </w:tcPr>
          <w:p w14:paraId="02C9C245">
            <w:pPr>
              <w:pStyle w:val="6"/>
              <w:spacing w:before="159" w:line="201" w:lineRule="auto"/>
              <w:rPr>
                <w:sz w:val="20"/>
                <w:szCs w:val="20"/>
              </w:rPr>
            </w:pPr>
            <w:r>
              <w:rPr>
                <w:spacing w:val="-1"/>
                <w:sz w:val="20"/>
                <w:szCs w:val="20"/>
              </w:rPr>
              <w:t>照</w:t>
            </w:r>
            <w:r>
              <w:rPr>
                <w:spacing w:val="9"/>
                <w:sz w:val="20"/>
                <w:szCs w:val="20"/>
              </w:rPr>
              <w:t xml:space="preserve"> </w:t>
            </w:r>
            <w:r>
              <w:rPr>
                <w:spacing w:val="-1"/>
                <w:sz w:val="20"/>
                <w:szCs w:val="20"/>
              </w:rPr>
              <w:t>和</w:t>
            </w:r>
            <w:r>
              <w:rPr>
                <w:spacing w:val="10"/>
                <w:sz w:val="20"/>
                <w:szCs w:val="20"/>
              </w:rPr>
              <w:t xml:space="preserve"> </w:t>
            </w:r>
            <w:r>
              <w:rPr>
                <w:spacing w:val="-1"/>
                <w:sz w:val="20"/>
                <w:szCs w:val="20"/>
              </w:rPr>
              <w:t>铺</w:t>
            </w:r>
          </w:p>
        </w:tc>
        <w:tc>
          <w:tcPr>
            <w:tcW w:w="1508" w:type="dxa"/>
            <w:vAlign w:val="top"/>
          </w:tcPr>
          <w:p w14:paraId="3E6E37D8">
            <w:pPr>
              <w:spacing w:line="271" w:lineRule="auto"/>
              <w:rPr>
                <w:rFonts w:ascii="Arial"/>
                <w:sz w:val="21"/>
              </w:rPr>
            </w:pPr>
          </w:p>
          <w:p w14:paraId="70EB084F">
            <w:pPr>
              <w:pStyle w:val="6"/>
              <w:spacing w:before="65" w:line="239" w:lineRule="auto"/>
              <w:jc w:val="right"/>
              <w:rPr>
                <w:sz w:val="20"/>
                <w:szCs w:val="20"/>
              </w:rPr>
            </w:pPr>
            <w:r>
              <w:rPr>
                <w:spacing w:val="-9"/>
                <w:sz w:val="20"/>
                <w:szCs w:val="20"/>
              </w:rPr>
              <w:t>103°20'15.784”</w:t>
            </w:r>
          </w:p>
        </w:tc>
        <w:tc>
          <w:tcPr>
            <w:tcW w:w="1388" w:type="dxa"/>
            <w:vAlign w:val="top"/>
          </w:tcPr>
          <w:p w14:paraId="3CE35BC6">
            <w:pPr>
              <w:spacing w:line="271" w:lineRule="auto"/>
              <w:rPr>
                <w:rFonts w:ascii="Arial"/>
                <w:sz w:val="21"/>
              </w:rPr>
            </w:pPr>
          </w:p>
          <w:p w14:paraId="0C191BD3">
            <w:pPr>
              <w:pStyle w:val="6"/>
              <w:spacing w:before="65" w:line="239" w:lineRule="auto"/>
              <w:jc w:val="right"/>
              <w:rPr>
                <w:sz w:val="20"/>
                <w:szCs w:val="20"/>
              </w:rPr>
            </w:pPr>
            <w:r>
              <w:rPr>
                <w:spacing w:val="-3"/>
                <w:sz w:val="20"/>
                <w:szCs w:val="20"/>
              </w:rPr>
              <w:t>25°24'4.409”</w:t>
            </w:r>
          </w:p>
        </w:tc>
        <w:tc>
          <w:tcPr>
            <w:tcW w:w="709" w:type="dxa"/>
            <w:vAlign w:val="top"/>
          </w:tcPr>
          <w:p w14:paraId="493E7E54">
            <w:pPr>
              <w:pStyle w:val="6"/>
              <w:spacing w:before="178" w:line="220" w:lineRule="auto"/>
              <w:ind w:right="4"/>
              <w:jc w:val="right"/>
              <w:rPr>
                <w:sz w:val="20"/>
                <w:szCs w:val="20"/>
              </w:rPr>
            </w:pPr>
            <w:r>
              <w:rPr>
                <w:sz w:val="20"/>
                <w:szCs w:val="20"/>
              </w:rPr>
              <w:t>52户，</w:t>
            </w:r>
          </w:p>
          <w:p w14:paraId="244CF641">
            <w:pPr>
              <w:pStyle w:val="6"/>
              <w:spacing w:before="44" w:line="222" w:lineRule="auto"/>
              <w:ind w:left="94"/>
              <w:rPr>
                <w:sz w:val="20"/>
                <w:szCs w:val="20"/>
              </w:rPr>
            </w:pPr>
            <w:r>
              <w:rPr>
                <w:spacing w:val="-2"/>
                <w:sz w:val="20"/>
                <w:szCs w:val="20"/>
              </w:rPr>
              <w:t>208人</w:t>
            </w:r>
          </w:p>
        </w:tc>
        <w:tc>
          <w:tcPr>
            <w:tcW w:w="769" w:type="dxa"/>
            <w:vAlign w:val="top"/>
          </w:tcPr>
          <w:p w14:paraId="1A9A0FD9">
            <w:pPr>
              <w:pStyle w:val="6"/>
              <w:spacing w:before="48" w:line="219" w:lineRule="auto"/>
              <w:ind w:left="175"/>
              <w:rPr>
                <w:sz w:val="20"/>
                <w:szCs w:val="20"/>
              </w:rPr>
            </w:pPr>
            <w:r>
              <w:rPr>
                <w:spacing w:val="-2"/>
                <w:sz w:val="20"/>
                <w:szCs w:val="20"/>
              </w:rPr>
              <w:t>6#阵</w:t>
            </w:r>
          </w:p>
          <w:p w14:paraId="51C5F5F3">
            <w:pPr>
              <w:pStyle w:val="6"/>
              <w:spacing w:before="44" w:line="220" w:lineRule="auto"/>
              <w:ind w:left="175"/>
              <w:rPr>
                <w:sz w:val="20"/>
                <w:szCs w:val="20"/>
              </w:rPr>
            </w:pPr>
            <w:r>
              <w:rPr>
                <w:spacing w:val="5"/>
                <w:sz w:val="20"/>
                <w:szCs w:val="20"/>
              </w:rPr>
              <w:t>列南</w:t>
            </w:r>
          </w:p>
          <w:p w14:paraId="409A7E8D">
            <w:pPr>
              <w:pStyle w:val="6"/>
              <w:spacing w:line="219" w:lineRule="auto"/>
              <w:ind w:left="276"/>
              <w:rPr>
                <w:sz w:val="20"/>
                <w:szCs w:val="20"/>
              </w:rPr>
            </w:pPr>
            <w:r>
              <w:rPr>
                <w:sz w:val="20"/>
                <w:szCs w:val="20"/>
              </w:rPr>
              <w:t>侧</w:t>
            </w:r>
          </w:p>
        </w:tc>
        <w:tc>
          <w:tcPr>
            <w:tcW w:w="799" w:type="dxa"/>
            <w:vAlign w:val="top"/>
          </w:tcPr>
          <w:p w14:paraId="66A0FBB1">
            <w:pPr>
              <w:spacing w:line="271" w:lineRule="auto"/>
              <w:rPr>
                <w:rFonts w:ascii="Arial"/>
                <w:sz w:val="21"/>
              </w:rPr>
            </w:pPr>
          </w:p>
          <w:p w14:paraId="79FC6623">
            <w:pPr>
              <w:pStyle w:val="6"/>
              <w:spacing w:before="65" w:line="241" w:lineRule="auto"/>
              <w:ind w:left="296"/>
              <w:rPr>
                <w:sz w:val="20"/>
                <w:szCs w:val="20"/>
              </w:rPr>
            </w:pPr>
            <w:r>
              <w:rPr>
                <w:spacing w:val="-3"/>
                <w:sz w:val="20"/>
                <w:szCs w:val="20"/>
              </w:rPr>
              <w:t>24</w:t>
            </w:r>
          </w:p>
        </w:tc>
        <w:tc>
          <w:tcPr>
            <w:tcW w:w="509" w:type="dxa"/>
            <w:textDirection w:val="tbRlV"/>
            <w:vAlign w:val="top"/>
          </w:tcPr>
          <w:p w14:paraId="57EC40C3">
            <w:pPr>
              <w:pStyle w:val="6"/>
              <w:spacing w:before="139" w:line="200" w:lineRule="auto"/>
              <w:ind w:left="174"/>
              <w:rPr>
                <w:sz w:val="20"/>
                <w:szCs w:val="20"/>
              </w:rPr>
            </w:pPr>
            <w:r>
              <w:rPr>
                <w:spacing w:val="16"/>
                <w:w w:val="135"/>
                <w:sz w:val="20"/>
                <w:szCs w:val="20"/>
              </w:rPr>
              <w:t>1类</w:t>
            </w:r>
          </w:p>
        </w:tc>
        <w:tc>
          <w:tcPr>
            <w:tcW w:w="1828" w:type="dxa"/>
            <w:vAlign w:val="top"/>
          </w:tcPr>
          <w:p w14:paraId="24BE92F2">
            <w:pPr>
              <w:pStyle w:val="6"/>
              <w:spacing w:before="48" w:line="220" w:lineRule="auto"/>
              <w:ind w:left="158"/>
              <w:rPr>
                <w:sz w:val="20"/>
                <w:szCs w:val="20"/>
              </w:rPr>
            </w:pPr>
            <w:r>
              <w:rPr>
                <w:spacing w:val="-3"/>
                <w:sz w:val="20"/>
                <w:szCs w:val="20"/>
              </w:rPr>
              <w:t>《声环境质量标</w:t>
            </w:r>
          </w:p>
          <w:p w14:paraId="5875DB58">
            <w:pPr>
              <w:pStyle w:val="6"/>
              <w:spacing w:before="52" w:line="215" w:lineRule="auto"/>
              <w:ind w:left="108" w:right="38" w:hanging="50"/>
              <w:rPr>
                <w:sz w:val="20"/>
                <w:szCs w:val="20"/>
              </w:rPr>
            </w:pPr>
            <w:r>
              <w:rPr>
                <w:spacing w:val="1"/>
                <w:sz w:val="20"/>
                <w:szCs w:val="20"/>
              </w:rPr>
              <w:t>准》</w:t>
            </w:r>
            <w:r>
              <w:rPr>
                <w:sz w:val="20"/>
                <w:szCs w:val="20"/>
              </w:rPr>
              <w:t>GB</w:t>
            </w:r>
            <w:r>
              <w:rPr>
                <w:spacing w:val="1"/>
                <w:sz w:val="20"/>
                <w:szCs w:val="20"/>
              </w:rPr>
              <w:t>3096-2008)1</w:t>
            </w:r>
            <w:r>
              <w:rPr>
                <w:spacing w:val="6"/>
                <w:sz w:val="20"/>
                <w:szCs w:val="20"/>
              </w:rPr>
              <w:t xml:space="preserve"> </w:t>
            </w:r>
            <w:r>
              <w:rPr>
                <w:spacing w:val="-2"/>
                <w:sz w:val="20"/>
                <w:szCs w:val="20"/>
              </w:rPr>
              <w:t>类标准</w:t>
            </w:r>
          </w:p>
        </w:tc>
        <w:tc>
          <w:tcPr>
            <w:tcW w:w="145" w:type="dxa"/>
            <w:vMerge w:val="continue"/>
            <w:tcBorders>
              <w:top w:val="nil"/>
            </w:tcBorders>
            <w:vAlign w:val="top"/>
          </w:tcPr>
          <w:p w14:paraId="0A0C1BE9">
            <w:pPr>
              <w:rPr>
                <w:rFonts w:ascii="Arial"/>
                <w:sz w:val="21"/>
              </w:rPr>
            </w:pPr>
          </w:p>
        </w:tc>
      </w:tr>
    </w:tbl>
    <w:p w14:paraId="373F63E8">
      <w:pPr>
        <w:pStyle w:val="2"/>
      </w:pPr>
    </w:p>
    <w:p w14:paraId="780E239A">
      <w:pPr>
        <w:sectPr>
          <w:footerReference r:id="rId73" w:type="default"/>
          <w:pgSz w:w="11910" w:h="16840"/>
          <w:pgMar w:top="1431" w:right="1564" w:bottom="1255" w:left="1405" w:header="0" w:footer="1093" w:gutter="0"/>
          <w:cols w:space="720" w:num="1"/>
        </w:sectPr>
      </w:pPr>
    </w:p>
    <w:p w14:paraId="44D10082">
      <w:pPr>
        <w:spacing w:line="93" w:lineRule="exact"/>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
        <w:gridCol w:w="120"/>
        <w:gridCol w:w="410"/>
        <w:gridCol w:w="539"/>
        <w:gridCol w:w="1478"/>
        <w:gridCol w:w="1398"/>
        <w:gridCol w:w="749"/>
        <w:gridCol w:w="769"/>
        <w:gridCol w:w="789"/>
        <w:gridCol w:w="519"/>
        <w:gridCol w:w="1808"/>
        <w:gridCol w:w="145"/>
      </w:tblGrid>
      <w:tr w14:paraId="65FA0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325" w:type="dxa"/>
            <w:vMerge w:val="restart"/>
            <w:tcBorders>
              <w:bottom w:val="nil"/>
            </w:tcBorders>
            <w:vAlign w:val="top"/>
          </w:tcPr>
          <w:p w14:paraId="49927433">
            <w:pPr>
              <w:rPr>
                <w:rFonts w:ascii="Arial"/>
                <w:sz w:val="21"/>
              </w:rPr>
            </w:pPr>
          </w:p>
        </w:tc>
        <w:tc>
          <w:tcPr>
            <w:tcW w:w="120" w:type="dxa"/>
            <w:tcBorders>
              <w:bottom w:val="nil"/>
            </w:tcBorders>
            <w:vAlign w:val="top"/>
          </w:tcPr>
          <w:p w14:paraId="5D56A8BE">
            <w:pPr>
              <w:rPr>
                <w:rFonts w:ascii="Arial"/>
                <w:sz w:val="21"/>
              </w:rPr>
            </w:pPr>
          </w:p>
        </w:tc>
        <w:tc>
          <w:tcPr>
            <w:tcW w:w="410" w:type="dxa"/>
            <w:vMerge w:val="restart"/>
            <w:tcBorders>
              <w:bottom w:val="nil"/>
            </w:tcBorders>
            <w:vAlign w:val="top"/>
          </w:tcPr>
          <w:p w14:paraId="07E2849E">
            <w:pPr>
              <w:rPr>
                <w:rFonts w:ascii="Arial"/>
                <w:sz w:val="21"/>
              </w:rPr>
            </w:pPr>
          </w:p>
        </w:tc>
        <w:tc>
          <w:tcPr>
            <w:tcW w:w="539" w:type="dxa"/>
            <w:textDirection w:val="tbRlV"/>
            <w:vAlign w:val="top"/>
          </w:tcPr>
          <w:p w14:paraId="22B00177">
            <w:pPr>
              <w:pStyle w:val="6"/>
              <w:spacing w:before="168" w:line="198" w:lineRule="auto"/>
              <w:ind w:left="122"/>
              <w:rPr>
                <w:sz w:val="21"/>
                <w:szCs w:val="21"/>
              </w:rPr>
            </w:pPr>
            <w:r>
              <w:rPr>
                <w:sz w:val="21"/>
                <w:szCs w:val="21"/>
              </w:rPr>
              <w:t>小</w:t>
            </w:r>
            <w:r>
              <w:rPr>
                <w:spacing w:val="30"/>
                <w:sz w:val="21"/>
                <w:szCs w:val="21"/>
              </w:rPr>
              <w:t xml:space="preserve"> </w:t>
            </w:r>
            <w:r>
              <w:rPr>
                <w:sz w:val="21"/>
                <w:szCs w:val="21"/>
              </w:rPr>
              <w:t>村</w:t>
            </w:r>
          </w:p>
        </w:tc>
        <w:tc>
          <w:tcPr>
            <w:tcW w:w="1478" w:type="dxa"/>
            <w:vAlign w:val="top"/>
          </w:tcPr>
          <w:p w14:paraId="3D656377">
            <w:pPr>
              <w:spacing w:line="254" w:lineRule="auto"/>
              <w:rPr>
                <w:rFonts w:ascii="Arial"/>
                <w:sz w:val="21"/>
              </w:rPr>
            </w:pPr>
          </w:p>
          <w:p w14:paraId="6C03DB0F">
            <w:pPr>
              <w:pStyle w:val="6"/>
              <w:spacing w:before="68" w:line="239" w:lineRule="auto"/>
              <w:jc w:val="right"/>
              <w:rPr>
                <w:sz w:val="21"/>
                <w:szCs w:val="21"/>
              </w:rPr>
            </w:pPr>
            <w:r>
              <w:rPr>
                <w:spacing w:val="-16"/>
                <w:sz w:val="21"/>
                <w:szCs w:val="21"/>
              </w:rPr>
              <w:t>103°34'34.293”</w:t>
            </w:r>
          </w:p>
        </w:tc>
        <w:tc>
          <w:tcPr>
            <w:tcW w:w="1398" w:type="dxa"/>
            <w:vAlign w:val="top"/>
          </w:tcPr>
          <w:p w14:paraId="59D727C9">
            <w:pPr>
              <w:spacing w:line="254" w:lineRule="auto"/>
              <w:rPr>
                <w:rFonts w:ascii="Arial"/>
                <w:sz w:val="21"/>
              </w:rPr>
            </w:pPr>
          </w:p>
          <w:p w14:paraId="7B5844D1">
            <w:pPr>
              <w:pStyle w:val="6"/>
              <w:spacing w:before="68" w:line="239" w:lineRule="auto"/>
              <w:jc w:val="right"/>
              <w:rPr>
                <w:sz w:val="21"/>
                <w:szCs w:val="21"/>
              </w:rPr>
            </w:pPr>
            <w:r>
              <w:rPr>
                <w:spacing w:val="-8"/>
                <w:sz w:val="21"/>
                <w:szCs w:val="21"/>
              </w:rPr>
              <w:t>26°0'33.865”</w:t>
            </w:r>
          </w:p>
        </w:tc>
        <w:tc>
          <w:tcPr>
            <w:tcW w:w="749" w:type="dxa"/>
            <w:vAlign w:val="top"/>
          </w:tcPr>
          <w:p w14:paraId="0AE062D7">
            <w:pPr>
              <w:pStyle w:val="6"/>
              <w:spacing w:before="154" w:line="220" w:lineRule="auto"/>
              <w:ind w:right="7"/>
              <w:jc w:val="right"/>
              <w:rPr>
                <w:sz w:val="21"/>
                <w:szCs w:val="21"/>
              </w:rPr>
            </w:pPr>
            <w:r>
              <w:rPr>
                <w:spacing w:val="-1"/>
                <w:sz w:val="21"/>
                <w:szCs w:val="21"/>
              </w:rPr>
              <w:t>32户，</w:t>
            </w:r>
          </w:p>
          <w:p w14:paraId="7C05372A">
            <w:pPr>
              <w:pStyle w:val="6"/>
              <w:spacing w:before="42" w:line="222" w:lineRule="auto"/>
              <w:ind w:left="105"/>
              <w:rPr>
                <w:sz w:val="21"/>
                <w:szCs w:val="21"/>
              </w:rPr>
            </w:pPr>
            <w:r>
              <w:rPr>
                <w:spacing w:val="1"/>
                <w:sz w:val="21"/>
                <w:szCs w:val="21"/>
              </w:rPr>
              <w:t>128人</w:t>
            </w:r>
          </w:p>
        </w:tc>
        <w:tc>
          <w:tcPr>
            <w:tcW w:w="769" w:type="dxa"/>
            <w:vAlign w:val="top"/>
          </w:tcPr>
          <w:p w14:paraId="4F53C85C">
            <w:pPr>
              <w:pStyle w:val="6"/>
              <w:spacing w:before="23" w:line="219" w:lineRule="auto"/>
              <w:ind w:left="115"/>
              <w:rPr>
                <w:sz w:val="21"/>
                <w:szCs w:val="21"/>
              </w:rPr>
            </w:pPr>
            <w:r>
              <w:rPr>
                <w:spacing w:val="1"/>
                <w:sz w:val="21"/>
                <w:szCs w:val="21"/>
              </w:rPr>
              <w:t>11#阵</w:t>
            </w:r>
          </w:p>
          <w:p w14:paraId="551ACAD8">
            <w:pPr>
              <w:pStyle w:val="6"/>
              <w:spacing w:before="30" w:line="219" w:lineRule="auto"/>
              <w:ind w:left="166"/>
              <w:rPr>
                <w:sz w:val="21"/>
                <w:szCs w:val="21"/>
              </w:rPr>
            </w:pPr>
            <w:r>
              <w:rPr>
                <w:spacing w:val="9"/>
                <w:sz w:val="21"/>
                <w:szCs w:val="21"/>
              </w:rPr>
              <w:t>列东</w:t>
            </w:r>
          </w:p>
          <w:p w14:paraId="3B208262">
            <w:pPr>
              <w:pStyle w:val="6"/>
              <w:spacing w:before="20" w:line="193" w:lineRule="auto"/>
              <w:ind w:left="275"/>
              <w:rPr>
                <w:sz w:val="21"/>
                <w:szCs w:val="21"/>
              </w:rPr>
            </w:pPr>
            <w:r>
              <w:rPr>
                <w:sz w:val="21"/>
                <w:szCs w:val="21"/>
              </w:rPr>
              <w:t>侧</w:t>
            </w:r>
          </w:p>
        </w:tc>
        <w:tc>
          <w:tcPr>
            <w:tcW w:w="789" w:type="dxa"/>
            <w:vAlign w:val="top"/>
          </w:tcPr>
          <w:p w14:paraId="65AA7111">
            <w:pPr>
              <w:spacing w:line="254" w:lineRule="auto"/>
              <w:rPr>
                <w:rFonts w:ascii="Arial"/>
                <w:sz w:val="21"/>
              </w:rPr>
            </w:pPr>
          </w:p>
          <w:p w14:paraId="67B4E598">
            <w:pPr>
              <w:pStyle w:val="6"/>
              <w:spacing w:before="68"/>
              <w:ind w:left="286"/>
              <w:rPr>
                <w:sz w:val="21"/>
                <w:szCs w:val="21"/>
              </w:rPr>
            </w:pPr>
            <w:r>
              <w:rPr>
                <w:spacing w:val="-6"/>
                <w:sz w:val="21"/>
                <w:szCs w:val="21"/>
              </w:rPr>
              <w:t>18</w:t>
            </w:r>
          </w:p>
        </w:tc>
        <w:tc>
          <w:tcPr>
            <w:tcW w:w="519" w:type="dxa"/>
            <w:textDirection w:val="tbRlV"/>
            <w:vAlign w:val="top"/>
          </w:tcPr>
          <w:p w14:paraId="733896A2">
            <w:pPr>
              <w:pStyle w:val="6"/>
              <w:spacing w:before="170" w:line="200" w:lineRule="auto"/>
              <w:ind w:left="158"/>
              <w:rPr>
                <w:sz w:val="21"/>
                <w:szCs w:val="21"/>
              </w:rPr>
            </w:pPr>
            <w:r>
              <w:rPr>
                <w:spacing w:val="16"/>
                <w:w w:val="136"/>
                <w:sz w:val="21"/>
                <w:szCs w:val="21"/>
              </w:rPr>
              <w:t>1类</w:t>
            </w:r>
          </w:p>
        </w:tc>
        <w:tc>
          <w:tcPr>
            <w:tcW w:w="1808" w:type="dxa"/>
            <w:vMerge w:val="restart"/>
            <w:tcBorders>
              <w:bottom w:val="nil"/>
            </w:tcBorders>
            <w:vAlign w:val="top"/>
          </w:tcPr>
          <w:p w14:paraId="6AF20D12">
            <w:pPr>
              <w:rPr>
                <w:rFonts w:ascii="Arial"/>
                <w:sz w:val="21"/>
              </w:rPr>
            </w:pPr>
          </w:p>
        </w:tc>
        <w:tc>
          <w:tcPr>
            <w:tcW w:w="145" w:type="dxa"/>
            <w:vMerge w:val="restart"/>
            <w:tcBorders>
              <w:bottom w:val="nil"/>
            </w:tcBorders>
            <w:vAlign w:val="top"/>
          </w:tcPr>
          <w:p w14:paraId="6846BC2E">
            <w:pPr>
              <w:rPr>
                <w:rFonts w:ascii="Arial"/>
                <w:sz w:val="21"/>
              </w:rPr>
            </w:pPr>
          </w:p>
        </w:tc>
      </w:tr>
      <w:tr w14:paraId="03A52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325" w:type="dxa"/>
            <w:vMerge w:val="continue"/>
            <w:tcBorders>
              <w:top w:val="nil"/>
              <w:bottom w:val="nil"/>
            </w:tcBorders>
            <w:vAlign w:val="top"/>
          </w:tcPr>
          <w:p w14:paraId="745CA464">
            <w:pPr>
              <w:rPr>
                <w:rFonts w:ascii="Arial"/>
                <w:sz w:val="21"/>
              </w:rPr>
            </w:pPr>
          </w:p>
        </w:tc>
        <w:tc>
          <w:tcPr>
            <w:tcW w:w="120" w:type="dxa"/>
            <w:tcBorders>
              <w:top w:val="nil"/>
              <w:bottom w:val="nil"/>
            </w:tcBorders>
            <w:vAlign w:val="top"/>
          </w:tcPr>
          <w:p w14:paraId="631FBCB4">
            <w:pPr>
              <w:rPr>
                <w:rFonts w:ascii="Arial"/>
                <w:sz w:val="21"/>
              </w:rPr>
            </w:pPr>
          </w:p>
        </w:tc>
        <w:tc>
          <w:tcPr>
            <w:tcW w:w="410" w:type="dxa"/>
            <w:vMerge w:val="continue"/>
            <w:tcBorders>
              <w:top w:val="nil"/>
              <w:bottom w:val="nil"/>
            </w:tcBorders>
            <w:vAlign w:val="top"/>
          </w:tcPr>
          <w:p w14:paraId="6CD9499B">
            <w:pPr>
              <w:rPr>
                <w:rFonts w:ascii="Arial"/>
                <w:sz w:val="21"/>
              </w:rPr>
            </w:pPr>
          </w:p>
        </w:tc>
        <w:tc>
          <w:tcPr>
            <w:tcW w:w="539" w:type="dxa"/>
            <w:textDirection w:val="tbRlV"/>
            <w:vAlign w:val="top"/>
          </w:tcPr>
          <w:p w14:paraId="3BA72CD5">
            <w:pPr>
              <w:pStyle w:val="6"/>
              <w:spacing w:before="157" w:line="201" w:lineRule="auto"/>
              <w:jc w:val="right"/>
              <w:rPr>
                <w:sz w:val="21"/>
                <w:szCs w:val="21"/>
              </w:rPr>
            </w:pPr>
            <w:r>
              <w:rPr>
                <w:spacing w:val="-1"/>
                <w:sz w:val="21"/>
                <w:szCs w:val="21"/>
              </w:rPr>
              <w:t>上</w:t>
            </w:r>
            <w:r>
              <w:rPr>
                <w:spacing w:val="-18"/>
                <w:sz w:val="21"/>
                <w:szCs w:val="21"/>
              </w:rPr>
              <w:t xml:space="preserve"> </w:t>
            </w:r>
            <w:r>
              <w:rPr>
                <w:spacing w:val="-1"/>
                <w:sz w:val="21"/>
                <w:szCs w:val="21"/>
              </w:rPr>
              <w:t>南</w:t>
            </w:r>
            <w:r>
              <w:rPr>
                <w:spacing w:val="-18"/>
                <w:sz w:val="21"/>
                <w:szCs w:val="21"/>
              </w:rPr>
              <w:t xml:space="preserve"> </w:t>
            </w:r>
            <w:r>
              <w:rPr>
                <w:spacing w:val="-1"/>
                <w:sz w:val="21"/>
                <w:szCs w:val="21"/>
              </w:rPr>
              <w:t>屯</w:t>
            </w:r>
          </w:p>
        </w:tc>
        <w:tc>
          <w:tcPr>
            <w:tcW w:w="1478" w:type="dxa"/>
            <w:vAlign w:val="top"/>
          </w:tcPr>
          <w:p w14:paraId="630B7F45">
            <w:pPr>
              <w:spacing w:line="261" w:lineRule="auto"/>
              <w:rPr>
                <w:rFonts w:ascii="Arial"/>
                <w:sz w:val="21"/>
              </w:rPr>
            </w:pPr>
          </w:p>
          <w:p w14:paraId="6806776B">
            <w:pPr>
              <w:pStyle w:val="6"/>
              <w:spacing w:before="68" w:line="239" w:lineRule="auto"/>
              <w:ind w:left="11"/>
              <w:rPr>
                <w:sz w:val="21"/>
                <w:szCs w:val="21"/>
              </w:rPr>
            </w:pPr>
            <w:r>
              <w:rPr>
                <w:spacing w:val="-2"/>
                <w:sz w:val="21"/>
                <w:szCs w:val="21"/>
              </w:rPr>
              <w:t>103°2120.093"</w:t>
            </w:r>
          </w:p>
        </w:tc>
        <w:tc>
          <w:tcPr>
            <w:tcW w:w="1398" w:type="dxa"/>
            <w:vAlign w:val="top"/>
          </w:tcPr>
          <w:p w14:paraId="28EB11D5">
            <w:pPr>
              <w:spacing w:line="261" w:lineRule="auto"/>
              <w:rPr>
                <w:rFonts w:ascii="Arial"/>
                <w:sz w:val="21"/>
              </w:rPr>
            </w:pPr>
          </w:p>
          <w:p w14:paraId="74D08FD8">
            <w:pPr>
              <w:pStyle w:val="6"/>
              <w:spacing w:before="68" w:line="239" w:lineRule="auto"/>
              <w:jc w:val="right"/>
              <w:rPr>
                <w:sz w:val="21"/>
                <w:szCs w:val="21"/>
              </w:rPr>
            </w:pPr>
            <w:r>
              <w:rPr>
                <w:spacing w:val="-8"/>
                <w:sz w:val="21"/>
                <w:szCs w:val="21"/>
              </w:rPr>
              <w:t>25°21'33.003"</w:t>
            </w:r>
          </w:p>
        </w:tc>
        <w:tc>
          <w:tcPr>
            <w:tcW w:w="749" w:type="dxa"/>
            <w:vAlign w:val="top"/>
          </w:tcPr>
          <w:p w14:paraId="2D23368B">
            <w:pPr>
              <w:pStyle w:val="6"/>
              <w:spacing w:before="181" w:line="220" w:lineRule="auto"/>
              <w:ind w:right="7"/>
              <w:jc w:val="right"/>
              <w:rPr>
                <w:sz w:val="21"/>
                <w:szCs w:val="21"/>
              </w:rPr>
            </w:pPr>
            <w:r>
              <w:rPr>
                <w:spacing w:val="-1"/>
                <w:sz w:val="21"/>
                <w:szCs w:val="21"/>
              </w:rPr>
              <w:t>42户，</w:t>
            </w:r>
          </w:p>
          <w:p w14:paraId="1B11E7C1">
            <w:pPr>
              <w:pStyle w:val="6"/>
              <w:spacing w:before="32" w:line="222" w:lineRule="auto"/>
              <w:ind w:left="105"/>
              <w:rPr>
                <w:sz w:val="21"/>
                <w:szCs w:val="21"/>
              </w:rPr>
            </w:pPr>
            <w:r>
              <w:rPr>
                <w:spacing w:val="1"/>
                <w:sz w:val="21"/>
                <w:szCs w:val="21"/>
              </w:rPr>
              <w:t>178人</w:t>
            </w:r>
          </w:p>
        </w:tc>
        <w:tc>
          <w:tcPr>
            <w:tcW w:w="769" w:type="dxa"/>
            <w:vAlign w:val="top"/>
          </w:tcPr>
          <w:p w14:paraId="07EE5A36">
            <w:pPr>
              <w:pStyle w:val="6"/>
              <w:spacing w:before="50" w:line="219" w:lineRule="auto"/>
              <w:ind w:left="115"/>
              <w:rPr>
                <w:sz w:val="21"/>
                <w:szCs w:val="21"/>
              </w:rPr>
            </w:pPr>
            <w:r>
              <w:rPr>
                <w:spacing w:val="1"/>
                <w:sz w:val="21"/>
                <w:szCs w:val="21"/>
              </w:rPr>
              <w:t>12#阵</w:t>
            </w:r>
          </w:p>
          <w:p w14:paraId="0EDC8E6F">
            <w:pPr>
              <w:pStyle w:val="6"/>
              <w:spacing w:before="20" w:line="211" w:lineRule="auto"/>
              <w:ind w:left="166"/>
              <w:rPr>
                <w:sz w:val="21"/>
                <w:szCs w:val="21"/>
              </w:rPr>
            </w:pPr>
            <w:r>
              <w:rPr>
                <w:spacing w:val="9"/>
                <w:sz w:val="21"/>
                <w:szCs w:val="21"/>
              </w:rPr>
              <w:t>列东</w:t>
            </w:r>
          </w:p>
          <w:p w14:paraId="47ACE30E">
            <w:pPr>
              <w:pStyle w:val="6"/>
              <w:spacing w:line="212" w:lineRule="auto"/>
              <w:ind w:left="275"/>
              <w:rPr>
                <w:sz w:val="21"/>
                <w:szCs w:val="21"/>
              </w:rPr>
            </w:pPr>
            <w:r>
              <w:rPr>
                <w:sz w:val="21"/>
                <w:szCs w:val="21"/>
              </w:rPr>
              <w:t>侧</w:t>
            </w:r>
          </w:p>
        </w:tc>
        <w:tc>
          <w:tcPr>
            <w:tcW w:w="789" w:type="dxa"/>
            <w:vAlign w:val="top"/>
          </w:tcPr>
          <w:p w14:paraId="4C422A24">
            <w:pPr>
              <w:spacing w:line="261" w:lineRule="auto"/>
              <w:rPr>
                <w:rFonts w:ascii="Arial"/>
                <w:sz w:val="21"/>
              </w:rPr>
            </w:pPr>
          </w:p>
          <w:p w14:paraId="1443A911">
            <w:pPr>
              <w:pStyle w:val="6"/>
              <w:spacing w:before="68"/>
              <w:ind w:left="286"/>
              <w:rPr>
                <w:sz w:val="21"/>
                <w:szCs w:val="21"/>
              </w:rPr>
            </w:pPr>
            <w:r>
              <w:rPr>
                <w:spacing w:val="-6"/>
                <w:sz w:val="21"/>
                <w:szCs w:val="21"/>
              </w:rPr>
              <w:t>17</w:t>
            </w:r>
          </w:p>
        </w:tc>
        <w:tc>
          <w:tcPr>
            <w:tcW w:w="519" w:type="dxa"/>
            <w:textDirection w:val="tbRlV"/>
            <w:vAlign w:val="top"/>
          </w:tcPr>
          <w:p w14:paraId="2EFD38FF">
            <w:pPr>
              <w:pStyle w:val="6"/>
              <w:spacing w:before="170" w:line="200" w:lineRule="auto"/>
              <w:ind w:left="165"/>
              <w:rPr>
                <w:sz w:val="21"/>
                <w:szCs w:val="21"/>
              </w:rPr>
            </w:pPr>
            <w:r>
              <w:rPr>
                <w:spacing w:val="16"/>
                <w:w w:val="136"/>
                <w:sz w:val="21"/>
                <w:szCs w:val="21"/>
              </w:rPr>
              <w:t>1类</w:t>
            </w:r>
          </w:p>
        </w:tc>
        <w:tc>
          <w:tcPr>
            <w:tcW w:w="1808" w:type="dxa"/>
            <w:vMerge w:val="continue"/>
            <w:tcBorders>
              <w:top w:val="nil"/>
              <w:bottom w:val="nil"/>
            </w:tcBorders>
            <w:vAlign w:val="top"/>
          </w:tcPr>
          <w:p w14:paraId="1148AB92">
            <w:pPr>
              <w:rPr>
                <w:rFonts w:ascii="Arial"/>
                <w:sz w:val="21"/>
              </w:rPr>
            </w:pPr>
          </w:p>
        </w:tc>
        <w:tc>
          <w:tcPr>
            <w:tcW w:w="145" w:type="dxa"/>
            <w:vMerge w:val="continue"/>
            <w:tcBorders>
              <w:top w:val="nil"/>
              <w:bottom w:val="nil"/>
            </w:tcBorders>
            <w:vAlign w:val="top"/>
          </w:tcPr>
          <w:p w14:paraId="726F940F">
            <w:pPr>
              <w:rPr>
                <w:rFonts w:ascii="Arial"/>
                <w:sz w:val="21"/>
              </w:rPr>
            </w:pPr>
          </w:p>
        </w:tc>
      </w:tr>
      <w:tr w14:paraId="015EC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325" w:type="dxa"/>
            <w:vMerge w:val="continue"/>
            <w:tcBorders>
              <w:top w:val="nil"/>
              <w:bottom w:val="nil"/>
            </w:tcBorders>
            <w:vAlign w:val="top"/>
          </w:tcPr>
          <w:p w14:paraId="56C40B6E">
            <w:pPr>
              <w:rPr>
                <w:rFonts w:ascii="Arial"/>
                <w:sz w:val="21"/>
              </w:rPr>
            </w:pPr>
          </w:p>
        </w:tc>
        <w:tc>
          <w:tcPr>
            <w:tcW w:w="120" w:type="dxa"/>
            <w:tcBorders>
              <w:top w:val="nil"/>
              <w:bottom w:val="nil"/>
            </w:tcBorders>
            <w:vAlign w:val="top"/>
          </w:tcPr>
          <w:p w14:paraId="03109C8D">
            <w:pPr>
              <w:rPr>
                <w:rFonts w:ascii="Arial"/>
                <w:sz w:val="21"/>
              </w:rPr>
            </w:pPr>
          </w:p>
        </w:tc>
        <w:tc>
          <w:tcPr>
            <w:tcW w:w="410" w:type="dxa"/>
            <w:vMerge w:val="continue"/>
            <w:tcBorders>
              <w:top w:val="nil"/>
              <w:bottom w:val="nil"/>
            </w:tcBorders>
            <w:vAlign w:val="top"/>
          </w:tcPr>
          <w:p w14:paraId="4F7FE535">
            <w:pPr>
              <w:rPr>
                <w:rFonts w:ascii="Arial"/>
                <w:sz w:val="21"/>
              </w:rPr>
            </w:pPr>
          </w:p>
        </w:tc>
        <w:tc>
          <w:tcPr>
            <w:tcW w:w="539" w:type="dxa"/>
            <w:textDirection w:val="tbRlV"/>
            <w:vAlign w:val="top"/>
          </w:tcPr>
          <w:p w14:paraId="4FF5E52A">
            <w:pPr>
              <w:pStyle w:val="6"/>
              <w:spacing w:before="169" w:line="198" w:lineRule="auto"/>
              <w:jc w:val="right"/>
              <w:rPr>
                <w:sz w:val="20"/>
                <w:szCs w:val="20"/>
              </w:rPr>
            </w:pPr>
            <w:r>
              <w:rPr>
                <w:spacing w:val="-10"/>
                <w:sz w:val="20"/>
                <w:szCs w:val="20"/>
              </w:rPr>
              <w:t>下</w:t>
            </w:r>
            <w:r>
              <w:rPr>
                <w:spacing w:val="25"/>
                <w:sz w:val="20"/>
                <w:szCs w:val="20"/>
              </w:rPr>
              <w:t xml:space="preserve"> </w:t>
            </w:r>
            <w:r>
              <w:rPr>
                <w:spacing w:val="-10"/>
                <w:sz w:val="20"/>
                <w:szCs w:val="20"/>
              </w:rPr>
              <w:t>南</w:t>
            </w:r>
            <w:r>
              <w:rPr>
                <w:spacing w:val="24"/>
                <w:sz w:val="20"/>
                <w:szCs w:val="20"/>
              </w:rPr>
              <w:t xml:space="preserve"> </w:t>
            </w:r>
            <w:r>
              <w:rPr>
                <w:spacing w:val="-10"/>
                <w:sz w:val="20"/>
                <w:szCs w:val="20"/>
              </w:rPr>
              <w:t>屯</w:t>
            </w:r>
          </w:p>
        </w:tc>
        <w:tc>
          <w:tcPr>
            <w:tcW w:w="1478" w:type="dxa"/>
            <w:vAlign w:val="top"/>
          </w:tcPr>
          <w:p w14:paraId="5DFF6F1B">
            <w:pPr>
              <w:spacing w:line="269" w:lineRule="auto"/>
              <w:rPr>
                <w:rFonts w:ascii="Arial"/>
                <w:sz w:val="21"/>
              </w:rPr>
            </w:pPr>
          </w:p>
          <w:p w14:paraId="0B64A321">
            <w:pPr>
              <w:pStyle w:val="6"/>
              <w:spacing w:before="68" w:line="239" w:lineRule="auto"/>
              <w:jc w:val="right"/>
              <w:rPr>
                <w:sz w:val="21"/>
                <w:szCs w:val="21"/>
              </w:rPr>
            </w:pPr>
            <w:r>
              <w:rPr>
                <w:spacing w:val="-9"/>
                <w:sz w:val="21"/>
                <w:szCs w:val="21"/>
              </w:rPr>
              <w:t>103°22'23.436"</w:t>
            </w:r>
          </w:p>
        </w:tc>
        <w:tc>
          <w:tcPr>
            <w:tcW w:w="1398" w:type="dxa"/>
            <w:vAlign w:val="top"/>
          </w:tcPr>
          <w:p w14:paraId="2DC6AEF9">
            <w:pPr>
              <w:spacing w:line="269" w:lineRule="auto"/>
              <w:rPr>
                <w:rFonts w:ascii="Arial"/>
                <w:sz w:val="21"/>
              </w:rPr>
            </w:pPr>
          </w:p>
          <w:p w14:paraId="1ABD66F4">
            <w:pPr>
              <w:pStyle w:val="6"/>
              <w:spacing w:before="68" w:line="239" w:lineRule="auto"/>
              <w:jc w:val="right"/>
              <w:rPr>
                <w:sz w:val="21"/>
                <w:szCs w:val="21"/>
              </w:rPr>
            </w:pPr>
            <w:r>
              <w:rPr>
                <w:spacing w:val="-8"/>
                <w:sz w:val="21"/>
                <w:szCs w:val="21"/>
              </w:rPr>
              <w:t>25°21'59.422"</w:t>
            </w:r>
          </w:p>
        </w:tc>
        <w:tc>
          <w:tcPr>
            <w:tcW w:w="749" w:type="dxa"/>
            <w:vAlign w:val="top"/>
          </w:tcPr>
          <w:p w14:paraId="6F8812A8">
            <w:pPr>
              <w:pStyle w:val="6"/>
              <w:spacing w:before="189" w:line="220" w:lineRule="auto"/>
              <w:ind w:right="7"/>
              <w:jc w:val="right"/>
              <w:rPr>
                <w:sz w:val="21"/>
                <w:szCs w:val="21"/>
              </w:rPr>
            </w:pPr>
            <w:r>
              <w:rPr>
                <w:spacing w:val="-1"/>
                <w:sz w:val="21"/>
                <w:szCs w:val="21"/>
              </w:rPr>
              <w:t>95户，</w:t>
            </w:r>
          </w:p>
          <w:p w14:paraId="4B475DAB">
            <w:pPr>
              <w:pStyle w:val="6"/>
              <w:spacing w:before="32" w:line="222" w:lineRule="auto"/>
              <w:ind w:left="105"/>
              <w:rPr>
                <w:sz w:val="21"/>
                <w:szCs w:val="21"/>
              </w:rPr>
            </w:pPr>
            <w:r>
              <w:rPr>
                <w:spacing w:val="-2"/>
                <w:sz w:val="21"/>
                <w:szCs w:val="21"/>
              </w:rPr>
              <w:t>354人</w:t>
            </w:r>
          </w:p>
        </w:tc>
        <w:tc>
          <w:tcPr>
            <w:tcW w:w="769" w:type="dxa"/>
            <w:vAlign w:val="top"/>
          </w:tcPr>
          <w:p w14:paraId="38D5133D">
            <w:pPr>
              <w:pStyle w:val="6"/>
              <w:spacing w:before="58" w:line="219" w:lineRule="auto"/>
              <w:ind w:left="115"/>
              <w:rPr>
                <w:sz w:val="21"/>
                <w:szCs w:val="21"/>
              </w:rPr>
            </w:pPr>
            <w:r>
              <w:rPr>
                <w:spacing w:val="1"/>
                <w:sz w:val="21"/>
                <w:szCs w:val="21"/>
              </w:rPr>
              <w:t>10#阵</w:t>
            </w:r>
          </w:p>
          <w:p w14:paraId="27951157">
            <w:pPr>
              <w:pStyle w:val="6"/>
              <w:spacing w:before="20" w:line="219" w:lineRule="auto"/>
              <w:ind w:left="166"/>
              <w:rPr>
                <w:sz w:val="21"/>
                <w:szCs w:val="21"/>
              </w:rPr>
            </w:pPr>
            <w:r>
              <w:rPr>
                <w:spacing w:val="9"/>
                <w:sz w:val="21"/>
                <w:szCs w:val="21"/>
              </w:rPr>
              <w:t>列东</w:t>
            </w:r>
          </w:p>
          <w:p w14:paraId="6244F73E">
            <w:pPr>
              <w:pStyle w:val="6"/>
              <w:spacing w:before="10" w:line="196" w:lineRule="auto"/>
              <w:ind w:left="275"/>
              <w:rPr>
                <w:sz w:val="21"/>
                <w:szCs w:val="21"/>
              </w:rPr>
            </w:pPr>
            <w:r>
              <w:rPr>
                <w:sz w:val="21"/>
                <w:szCs w:val="21"/>
              </w:rPr>
              <w:t>侧</w:t>
            </w:r>
          </w:p>
        </w:tc>
        <w:tc>
          <w:tcPr>
            <w:tcW w:w="789" w:type="dxa"/>
            <w:vAlign w:val="top"/>
          </w:tcPr>
          <w:p w14:paraId="21AC4749">
            <w:pPr>
              <w:spacing w:line="269" w:lineRule="auto"/>
              <w:rPr>
                <w:rFonts w:ascii="Arial"/>
                <w:sz w:val="21"/>
              </w:rPr>
            </w:pPr>
          </w:p>
          <w:p w14:paraId="5FEDF5B7">
            <w:pPr>
              <w:pStyle w:val="6"/>
              <w:spacing w:before="68" w:line="241" w:lineRule="auto"/>
              <w:ind w:left="286"/>
              <w:rPr>
                <w:sz w:val="21"/>
                <w:szCs w:val="21"/>
              </w:rPr>
            </w:pPr>
            <w:r>
              <w:rPr>
                <w:spacing w:val="-2"/>
                <w:sz w:val="21"/>
                <w:szCs w:val="21"/>
              </w:rPr>
              <w:t>44</w:t>
            </w:r>
          </w:p>
        </w:tc>
        <w:tc>
          <w:tcPr>
            <w:tcW w:w="519" w:type="dxa"/>
            <w:textDirection w:val="tbRlV"/>
            <w:vAlign w:val="top"/>
          </w:tcPr>
          <w:p w14:paraId="17971344">
            <w:pPr>
              <w:pStyle w:val="6"/>
              <w:spacing w:before="160" w:line="200" w:lineRule="auto"/>
              <w:ind w:left="163"/>
              <w:rPr>
                <w:sz w:val="21"/>
                <w:szCs w:val="21"/>
              </w:rPr>
            </w:pPr>
            <w:r>
              <w:rPr>
                <w:spacing w:val="16"/>
                <w:w w:val="136"/>
                <w:sz w:val="21"/>
                <w:szCs w:val="21"/>
              </w:rPr>
              <w:t>1类</w:t>
            </w:r>
          </w:p>
        </w:tc>
        <w:tc>
          <w:tcPr>
            <w:tcW w:w="1808" w:type="dxa"/>
            <w:vMerge w:val="continue"/>
            <w:tcBorders>
              <w:top w:val="nil"/>
              <w:bottom w:val="nil"/>
            </w:tcBorders>
            <w:vAlign w:val="top"/>
          </w:tcPr>
          <w:p w14:paraId="170B1C90">
            <w:pPr>
              <w:rPr>
                <w:rFonts w:ascii="Arial"/>
                <w:sz w:val="21"/>
              </w:rPr>
            </w:pPr>
          </w:p>
        </w:tc>
        <w:tc>
          <w:tcPr>
            <w:tcW w:w="145" w:type="dxa"/>
            <w:vMerge w:val="continue"/>
            <w:tcBorders>
              <w:top w:val="nil"/>
              <w:bottom w:val="nil"/>
            </w:tcBorders>
            <w:vAlign w:val="top"/>
          </w:tcPr>
          <w:p w14:paraId="4AE9FF5B">
            <w:pPr>
              <w:rPr>
                <w:rFonts w:ascii="Arial"/>
                <w:sz w:val="21"/>
              </w:rPr>
            </w:pPr>
          </w:p>
        </w:tc>
      </w:tr>
      <w:tr w14:paraId="71C3E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6" w:hRule="atLeast"/>
        </w:trPr>
        <w:tc>
          <w:tcPr>
            <w:tcW w:w="325" w:type="dxa"/>
            <w:vMerge w:val="continue"/>
            <w:tcBorders>
              <w:top w:val="nil"/>
              <w:bottom w:val="nil"/>
            </w:tcBorders>
            <w:vAlign w:val="top"/>
          </w:tcPr>
          <w:p w14:paraId="119CAEE5">
            <w:pPr>
              <w:rPr>
                <w:rFonts w:ascii="Arial"/>
                <w:sz w:val="21"/>
              </w:rPr>
            </w:pPr>
          </w:p>
        </w:tc>
        <w:tc>
          <w:tcPr>
            <w:tcW w:w="120" w:type="dxa"/>
            <w:tcBorders>
              <w:top w:val="nil"/>
              <w:bottom w:val="nil"/>
            </w:tcBorders>
            <w:vAlign w:val="top"/>
          </w:tcPr>
          <w:p w14:paraId="331EDB06">
            <w:pPr>
              <w:rPr>
                <w:rFonts w:ascii="Arial"/>
                <w:sz w:val="21"/>
              </w:rPr>
            </w:pPr>
          </w:p>
        </w:tc>
        <w:tc>
          <w:tcPr>
            <w:tcW w:w="410" w:type="dxa"/>
            <w:vMerge w:val="continue"/>
            <w:tcBorders>
              <w:top w:val="nil"/>
            </w:tcBorders>
            <w:vAlign w:val="top"/>
          </w:tcPr>
          <w:p w14:paraId="04137FBF">
            <w:pPr>
              <w:rPr>
                <w:rFonts w:ascii="Arial"/>
                <w:sz w:val="21"/>
              </w:rPr>
            </w:pPr>
          </w:p>
        </w:tc>
        <w:tc>
          <w:tcPr>
            <w:tcW w:w="539" w:type="dxa"/>
            <w:textDirection w:val="tbRlV"/>
            <w:vAlign w:val="top"/>
          </w:tcPr>
          <w:p w14:paraId="1206DB52">
            <w:pPr>
              <w:pStyle w:val="6"/>
              <w:spacing w:before="166" w:line="202" w:lineRule="auto"/>
              <w:ind w:left="27"/>
              <w:rPr>
                <w:sz w:val="21"/>
                <w:szCs w:val="21"/>
              </w:rPr>
            </w:pPr>
            <w:r>
              <w:rPr>
                <w:sz w:val="21"/>
                <w:szCs w:val="21"/>
              </w:rPr>
              <w:t>杨</w:t>
            </w:r>
            <w:r>
              <w:rPr>
                <w:spacing w:val="-24"/>
                <w:sz w:val="21"/>
                <w:szCs w:val="21"/>
              </w:rPr>
              <w:t xml:space="preserve"> </w:t>
            </w:r>
            <w:r>
              <w:rPr>
                <w:sz w:val="21"/>
                <w:szCs w:val="21"/>
              </w:rPr>
              <w:t>梅</w:t>
            </w:r>
            <w:r>
              <w:rPr>
                <w:spacing w:val="-24"/>
                <w:sz w:val="21"/>
                <w:szCs w:val="21"/>
              </w:rPr>
              <w:t xml:space="preserve"> </w:t>
            </w:r>
            <w:r>
              <w:rPr>
                <w:sz w:val="21"/>
                <w:szCs w:val="21"/>
              </w:rPr>
              <w:t>沟</w:t>
            </w:r>
            <w:r>
              <w:rPr>
                <w:spacing w:val="-24"/>
                <w:sz w:val="21"/>
                <w:szCs w:val="21"/>
              </w:rPr>
              <w:t xml:space="preserve"> </w:t>
            </w:r>
            <w:r>
              <w:rPr>
                <w:sz w:val="21"/>
                <w:szCs w:val="21"/>
              </w:rPr>
              <w:t>散</w:t>
            </w:r>
            <w:r>
              <w:rPr>
                <w:spacing w:val="-24"/>
                <w:sz w:val="21"/>
                <w:szCs w:val="21"/>
              </w:rPr>
              <w:t xml:space="preserve"> </w:t>
            </w:r>
            <w:r>
              <w:rPr>
                <w:sz w:val="21"/>
                <w:szCs w:val="21"/>
              </w:rPr>
              <w:t>户</w:t>
            </w:r>
          </w:p>
        </w:tc>
        <w:tc>
          <w:tcPr>
            <w:tcW w:w="1478" w:type="dxa"/>
            <w:vAlign w:val="top"/>
          </w:tcPr>
          <w:p w14:paraId="43C18318">
            <w:pPr>
              <w:spacing w:line="288" w:lineRule="auto"/>
              <w:rPr>
                <w:rFonts w:ascii="Arial"/>
                <w:sz w:val="21"/>
              </w:rPr>
            </w:pPr>
          </w:p>
          <w:p w14:paraId="6650E63E">
            <w:pPr>
              <w:spacing w:line="288" w:lineRule="auto"/>
              <w:rPr>
                <w:rFonts w:ascii="Arial"/>
                <w:sz w:val="21"/>
              </w:rPr>
            </w:pPr>
          </w:p>
          <w:p w14:paraId="559831C3">
            <w:pPr>
              <w:pStyle w:val="6"/>
              <w:spacing w:before="68" w:line="239" w:lineRule="auto"/>
              <w:jc w:val="right"/>
              <w:rPr>
                <w:sz w:val="21"/>
                <w:szCs w:val="21"/>
              </w:rPr>
            </w:pPr>
            <w:r>
              <w:rPr>
                <w:spacing w:val="-16"/>
                <w:sz w:val="21"/>
                <w:szCs w:val="21"/>
              </w:rPr>
              <w:t>103°22'37.186”</w:t>
            </w:r>
          </w:p>
        </w:tc>
        <w:tc>
          <w:tcPr>
            <w:tcW w:w="1398" w:type="dxa"/>
            <w:vAlign w:val="top"/>
          </w:tcPr>
          <w:p w14:paraId="6B7F1C40">
            <w:pPr>
              <w:spacing w:line="288" w:lineRule="auto"/>
              <w:rPr>
                <w:rFonts w:ascii="Arial"/>
                <w:sz w:val="21"/>
              </w:rPr>
            </w:pPr>
          </w:p>
          <w:p w14:paraId="31A8EA63">
            <w:pPr>
              <w:spacing w:line="288" w:lineRule="auto"/>
              <w:rPr>
                <w:rFonts w:ascii="Arial"/>
                <w:sz w:val="21"/>
              </w:rPr>
            </w:pPr>
          </w:p>
          <w:p w14:paraId="74548F34">
            <w:pPr>
              <w:pStyle w:val="6"/>
              <w:spacing w:before="68" w:line="239" w:lineRule="auto"/>
              <w:jc w:val="right"/>
              <w:rPr>
                <w:sz w:val="21"/>
                <w:szCs w:val="21"/>
              </w:rPr>
            </w:pPr>
            <w:r>
              <w:rPr>
                <w:spacing w:val="-8"/>
                <w:sz w:val="21"/>
                <w:szCs w:val="21"/>
              </w:rPr>
              <w:t>25°20'19.232"</w:t>
            </w:r>
          </w:p>
        </w:tc>
        <w:tc>
          <w:tcPr>
            <w:tcW w:w="749" w:type="dxa"/>
            <w:vAlign w:val="top"/>
          </w:tcPr>
          <w:p w14:paraId="446E7A7D">
            <w:pPr>
              <w:spacing w:line="437" w:lineRule="auto"/>
              <w:rPr>
                <w:rFonts w:ascii="Arial"/>
                <w:sz w:val="21"/>
              </w:rPr>
            </w:pPr>
          </w:p>
          <w:p w14:paraId="4A60D821">
            <w:pPr>
              <w:pStyle w:val="6"/>
              <w:spacing w:before="68" w:line="220" w:lineRule="auto"/>
              <w:ind w:left="154"/>
              <w:rPr>
                <w:sz w:val="21"/>
                <w:szCs w:val="21"/>
              </w:rPr>
            </w:pPr>
            <w:r>
              <w:rPr>
                <w:sz w:val="21"/>
                <w:szCs w:val="21"/>
              </w:rPr>
              <w:t>3户，</w:t>
            </w:r>
          </w:p>
          <w:p w14:paraId="54C30954">
            <w:pPr>
              <w:pStyle w:val="6"/>
              <w:spacing w:before="22" w:line="222" w:lineRule="auto"/>
              <w:ind w:left="154"/>
              <w:rPr>
                <w:sz w:val="21"/>
                <w:szCs w:val="21"/>
              </w:rPr>
            </w:pPr>
            <w:r>
              <w:rPr>
                <w:spacing w:val="3"/>
                <w:sz w:val="21"/>
                <w:szCs w:val="21"/>
              </w:rPr>
              <w:t>12人</w:t>
            </w:r>
          </w:p>
        </w:tc>
        <w:tc>
          <w:tcPr>
            <w:tcW w:w="769" w:type="dxa"/>
            <w:vAlign w:val="top"/>
          </w:tcPr>
          <w:p w14:paraId="15F27BB4">
            <w:pPr>
              <w:spacing w:line="297" w:lineRule="auto"/>
              <w:rPr>
                <w:rFonts w:ascii="Arial"/>
                <w:sz w:val="21"/>
              </w:rPr>
            </w:pPr>
          </w:p>
          <w:p w14:paraId="66D4DFDF">
            <w:pPr>
              <w:pStyle w:val="6"/>
              <w:spacing w:before="68" w:line="219" w:lineRule="auto"/>
              <w:ind w:left="115"/>
              <w:rPr>
                <w:sz w:val="21"/>
                <w:szCs w:val="21"/>
              </w:rPr>
            </w:pPr>
            <w:r>
              <w:rPr>
                <w:spacing w:val="-2"/>
                <w:sz w:val="21"/>
                <w:szCs w:val="21"/>
              </w:rPr>
              <w:t>29#阵</w:t>
            </w:r>
          </w:p>
          <w:p w14:paraId="06ED709D">
            <w:pPr>
              <w:pStyle w:val="6"/>
              <w:spacing w:before="21" w:line="221" w:lineRule="auto"/>
              <w:ind w:left="166"/>
              <w:rPr>
                <w:sz w:val="21"/>
                <w:szCs w:val="21"/>
              </w:rPr>
            </w:pPr>
            <w:r>
              <w:rPr>
                <w:spacing w:val="8"/>
                <w:sz w:val="21"/>
                <w:szCs w:val="21"/>
              </w:rPr>
              <w:t>列西</w:t>
            </w:r>
          </w:p>
          <w:p w14:paraId="57E46664">
            <w:pPr>
              <w:pStyle w:val="6"/>
              <w:spacing w:before="27" w:line="219" w:lineRule="auto"/>
              <w:ind w:left="275"/>
              <w:rPr>
                <w:sz w:val="21"/>
                <w:szCs w:val="21"/>
              </w:rPr>
            </w:pPr>
            <w:r>
              <w:rPr>
                <w:sz w:val="21"/>
                <w:szCs w:val="21"/>
              </w:rPr>
              <w:t>侧</w:t>
            </w:r>
          </w:p>
        </w:tc>
        <w:tc>
          <w:tcPr>
            <w:tcW w:w="789" w:type="dxa"/>
            <w:vAlign w:val="top"/>
          </w:tcPr>
          <w:p w14:paraId="3119C94F">
            <w:pPr>
              <w:spacing w:line="288" w:lineRule="auto"/>
              <w:rPr>
                <w:rFonts w:ascii="Arial"/>
                <w:sz w:val="21"/>
              </w:rPr>
            </w:pPr>
          </w:p>
          <w:p w14:paraId="614ED990">
            <w:pPr>
              <w:spacing w:line="288" w:lineRule="auto"/>
              <w:rPr>
                <w:rFonts w:ascii="Arial"/>
                <w:sz w:val="21"/>
              </w:rPr>
            </w:pPr>
          </w:p>
          <w:p w14:paraId="2C0BED7A">
            <w:pPr>
              <w:pStyle w:val="6"/>
              <w:spacing w:before="68"/>
              <w:ind w:left="286"/>
              <w:rPr>
                <w:sz w:val="21"/>
                <w:szCs w:val="21"/>
              </w:rPr>
            </w:pPr>
            <w:r>
              <w:rPr>
                <w:spacing w:val="-2"/>
                <w:sz w:val="21"/>
                <w:szCs w:val="21"/>
              </w:rPr>
              <w:t>45</w:t>
            </w:r>
          </w:p>
        </w:tc>
        <w:tc>
          <w:tcPr>
            <w:tcW w:w="519" w:type="dxa"/>
            <w:textDirection w:val="tbRlV"/>
            <w:vAlign w:val="top"/>
          </w:tcPr>
          <w:p w14:paraId="23F13D0C">
            <w:pPr>
              <w:pStyle w:val="6"/>
              <w:spacing w:before="170" w:line="200" w:lineRule="auto"/>
              <w:ind w:left="472"/>
              <w:rPr>
                <w:sz w:val="21"/>
                <w:szCs w:val="21"/>
              </w:rPr>
            </w:pPr>
            <w:r>
              <w:rPr>
                <w:spacing w:val="16"/>
                <w:w w:val="136"/>
                <w:sz w:val="21"/>
                <w:szCs w:val="21"/>
              </w:rPr>
              <w:t>1类</w:t>
            </w:r>
          </w:p>
        </w:tc>
        <w:tc>
          <w:tcPr>
            <w:tcW w:w="1808" w:type="dxa"/>
            <w:vMerge w:val="continue"/>
            <w:tcBorders>
              <w:top w:val="nil"/>
            </w:tcBorders>
            <w:vAlign w:val="top"/>
          </w:tcPr>
          <w:p w14:paraId="4BC47C75">
            <w:pPr>
              <w:rPr>
                <w:rFonts w:ascii="Arial"/>
                <w:sz w:val="21"/>
              </w:rPr>
            </w:pPr>
          </w:p>
        </w:tc>
        <w:tc>
          <w:tcPr>
            <w:tcW w:w="145" w:type="dxa"/>
            <w:vMerge w:val="continue"/>
            <w:tcBorders>
              <w:top w:val="nil"/>
              <w:bottom w:val="nil"/>
            </w:tcBorders>
            <w:vAlign w:val="top"/>
          </w:tcPr>
          <w:p w14:paraId="47B17D36">
            <w:pPr>
              <w:rPr>
                <w:rFonts w:ascii="Arial"/>
                <w:sz w:val="21"/>
              </w:rPr>
            </w:pPr>
          </w:p>
        </w:tc>
      </w:tr>
      <w:tr w14:paraId="2BA05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325" w:type="dxa"/>
            <w:vMerge w:val="continue"/>
            <w:tcBorders>
              <w:top w:val="nil"/>
              <w:bottom w:val="nil"/>
            </w:tcBorders>
            <w:vAlign w:val="top"/>
          </w:tcPr>
          <w:p w14:paraId="4784663F">
            <w:pPr>
              <w:rPr>
                <w:rFonts w:ascii="Arial"/>
                <w:sz w:val="21"/>
              </w:rPr>
            </w:pPr>
          </w:p>
        </w:tc>
        <w:tc>
          <w:tcPr>
            <w:tcW w:w="120" w:type="dxa"/>
            <w:tcBorders>
              <w:top w:val="nil"/>
              <w:bottom w:val="nil"/>
            </w:tcBorders>
            <w:vAlign w:val="top"/>
          </w:tcPr>
          <w:p w14:paraId="2456E9BA">
            <w:pPr>
              <w:rPr>
                <w:rFonts w:ascii="Arial"/>
                <w:sz w:val="21"/>
              </w:rPr>
            </w:pPr>
          </w:p>
        </w:tc>
        <w:tc>
          <w:tcPr>
            <w:tcW w:w="410" w:type="dxa"/>
            <w:vMerge w:val="restart"/>
            <w:tcBorders>
              <w:bottom w:val="nil"/>
            </w:tcBorders>
            <w:textDirection w:val="tbRlV"/>
            <w:vAlign w:val="top"/>
          </w:tcPr>
          <w:p w14:paraId="6F4A1829">
            <w:pPr>
              <w:pStyle w:val="6"/>
              <w:spacing w:before="97" w:line="202" w:lineRule="auto"/>
              <w:ind w:left="2331"/>
              <w:rPr>
                <w:sz w:val="21"/>
                <w:szCs w:val="21"/>
              </w:rPr>
            </w:pPr>
            <w:r>
              <w:rPr>
                <w:sz w:val="21"/>
                <w:szCs w:val="21"/>
              </w:rPr>
              <w:t>地</w:t>
            </w:r>
            <w:r>
              <w:rPr>
                <w:spacing w:val="-13"/>
                <w:sz w:val="21"/>
                <w:szCs w:val="21"/>
              </w:rPr>
              <w:t xml:space="preserve"> </w:t>
            </w:r>
            <w:r>
              <w:rPr>
                <w:sz w:val="21"/>
                <w:szCs w:val="21"/>
              </w:rPr>
              <w:t>表</w:t>
            </w:r>
            <w:r>
              <w:rPr>
                <w:spacing w:val="-13"/>
                <w:sz w:val="21"/>
                <w:szCs w:val="21"/>
              </w:rPr>
              <w:t xml:space="preserve"> </w:t>
            </w:r>
            <w:r>
              <w:rPr>
                <w:sz w:val="21"/>
                <w:szCs w:val="21"/>
              </w:rPr>
              <w:t>水</w:t>
            </w:r>
          </w:p>
        </w:tc>
        <w:tc>
          <w:tcPr>
            <w:tcW w:w="539" w:type="dxa"/>
            <w:textDirection w:val="tbRlV"/>
            <w:vAlign w:val="top"/>
          </w:tcPr>
          <w:p w14:paraId="09B36AC8">
            <w:pPr>
              <w:pStyle w:val="6"/>
              <w:spacing w:before="127" w:line="202" w:lineRule="auto"/>
              <w:ind w:left="12"/>
              <w:rPr>
                <w:sz w:val="21"/>
                <w:szCs w:val="21"/>
              </w:rPr>
            </w:pPr>
            <w:r>
              <w:rPr>
                <w:sz w:val="21"/>
                <w:szCs w:val="21"/>
              </w:rPr>
              <w:t>中</w:t>
            </w:r>
            <w:r>
              <w:rPr>
                <w:spacing w:val="-32"/>
                <w:sz w:val="21"/>
                <w:szCs w:val="21"/>
              </w:rPr>
              <w:t xml:space="preserve"> </w:t>
            </w:r>
            <w:r>
              <w:rPr>
                <w:sz w:val="21"/>
                <w:szCs w:val="21"/>
              </w:rPr>
              <w:t>寨</w:t>
            </w:r>
            <w:r>
              <w:rPr>
                <w:spacing w:val="-32"/>
                <w:sz w:val="21"/>
                <w:szCs w:val="21"/>
              </w:rPr>
              <w:t xml:space="preserve"> </w:t>
            </w:r>
            <w:r>
              <w:rPr>
                <w:sz w:val="21"/>
                <w:szCs w:val="21"/>
              </w:rPr>
              <w:t>河</w:t>
            </w:r>
          </w:p>
        </w:tc>
        <w:tc>
          <w:tcPr>
            <w:tcW w:w="3625" w:type="dxa"/>
            <w:gridSpan w:val="3"/>
            <w:vAlign w:val="top"/>
          </w:tcPr>
          <w:p w14:paraId="17A51CC0">
            <w:pPr>
              <w:pStyle w:val="6"/>
              <w:spacing w:before="301" w:line="219" w:lineRule="auto"/>
              <w:ind w:left="1071"/>
              <w:rPr>
                <w:sz w:val="21"/>
                <w:szCs w:val="21"/>
              </w:rPr>
            </w:pPr>
            <w:r>
              <w:rPr>
                <w:spacing w:val="-1"/>
                <w:sz w:val="21"/>
                <w:szCs w:val="21"/>
              </w:rPr>
              <w:t>地块四东侧800m</w:t>
            </w:r>
          </w:p>
        </w:tc>
        <w:tc>
          <w:tcPr>
            <w:tcW w:w="1558" w:type="dxa"/>
            <w:gridSpan w:val="2"/>
            <w:vMerge w:val="restart"/>
            <w:tcBorders>
              <w:bottom w:val="nil"/>
            </w:tcBorders>
            <w:vAlign w:val="top"/>
          </w:tcPr>
          <w:p w14:paraId="696800D3">
            <w:pPr>
              <w:spacing w:line="242" w:lineRule="auto"/>
              <w:rPr>
                <w:rFonts w:ascii="Arial"/>
                <w:sz w:val="21"/>
              </w:rPr>
            </w:pPr>
          </w:p>
          <w:p w14:paraId="03EF2508">
            <w:pPr>
              <w:spacing w:line="242" w:lineRule="auto"/>
              <w:rPr>
                <w:rFonts w:ascii="Arial"/>
                <w:sz w:val="21"/>
              </w:rPr>
            </w:pPr>
          </w:p>
          <w:p w14:paraId="795E23F3">
            <w:pPr>
              <w:spacing w:line="243" w:lineRule="auto"/>
              <w:rPr>
                <w:rFonts w:ascii="Arial"/>
                <w:sz w:val="21"/>
              </w:rPr>
            </w:pPr>
          </w:p>
          <w:p w14:paraId="7990EFBF">
            <w:pPr>
              <w:spacing w:line="243" w:lineRule="auto"/>
              <w:rPr>
                <w:rFonts w:ascii="Arial"/>
                <w:sz w:val="21"/>
              </w:rPr>
            </w:pPr>
          </w:p>
          <w:p w14:paraId="0C466E74">
            <w:pPr>
              <w:spacing w:line="243" w:lineRule="auto"/>
              <w:rPr>
                <w:rFonts w:ascii="Arial"/>
                <w:sz w:val="21"/>
              </w:rPr>
            </w:pPr>
          </w:p>
          <w:p w14:paraId="228A83BC">
            <w:pPr>
              <w:spacing w:line="243" w:lineRule="auto"/>
              <w:rPr>
                <w:rFonts w:ascii="Arial"/>
                <w:sz w:val="21"/>
              </w:rPr>
            </w:pPr>
          </w:p>
          <w:p w14:paraId="409F4D91">
            <w:pPr>
              <w:spacing w:line="243" w:lineRule="auto"/>
              <w:rPr>
                <w:rFonts w:ascii="Arial"/>
                <w:sz w:val="21"/>
              </w:rPr>
            </w:pPr>
          </w:p>
          <w:p w14:paraId="74E85E78">
            <w:pPr>
              <w:spacing w:line="243" w:lineRule="auto"/>
              <w:rPr>
                <w:rFonts w:ascii="Arial"/>
                <w:sz w:val="21"/>
              </w:rPr>
            </w:pPr>
          </w:p>
          <w:p w14:paraId="08AEB291">
            <w:pPr>
              <w:spacing w:line="243" w:lineRule="auto"/>
              <w:rPr>
                <w:rFonts w:ascii="Arial"/>
                <w:sz w:val="21"/>
              </w:rPr>
            </w:pPr>
          </w:p>
          <w:p w14:paraId="7ABEC351">
            <w:pPr>
              <w:spacing w:line="243" w:lineRule="auto"/>
              <w:rPr>
                <w:rFonts w:ascii="Arial"/>
                <w:sz w:val="21"/>
              </w:rPr>
            </w:pPr>
          </w:p>
          <w:p w14:paraId="65A10E83">
            <w:pPr>
              <w:pStyle w:val="6"/>
              <w:spacing w:before="69" w:line="249" w:lineRule="auto"/>
              <w:ind w:left="565" w:right="134" w:hanging="419"/>
              <w:rPr>
                <w:sz w:val="21"/>
                <w:szCs w:val="21"/>
              </w:rPr>
            </w:pPr>
            <w:r>
              <w:rPr>
                <w:spacing w:val="1"/>
                <w:sz w:val="21"/>
                <w:szCs w:val="21"/>
              </w:rPr>
              <w:t>马龙河马龙保</w:t>
            </w:r>
            <w:r>
              <w:rPr>
                <w:sz w:val="21"/>
                <w:szCs w:val="21"/>
              </w:rPr>
              <w:t xml:space="preserve"> </w:t>
            </w:r>
            <w:r>
              <w:rPr>
                <w:spacing w:val="9"/>
                <w:sz w:val="21"/>
                <w:szCs w:val="21"/>
              </w:rPr>
              <w:t>留区</w:t>
            </w:r>
          </w:p>
        </w:tc>
        <w:tc>
          <w:tcPr>
            <w:tcW w:w="519" w:type="dxa"/>
            <w:vMerge w:val="restart"/>
            <w:tcBorders>
              <w:bottom w:val="nil"/>
            </w:tcBorders>
            <w:textDirection w:val="tbRlV"/>
            <w:vAlign w:val="top"/>
          </w:tcPr>
          <w:p w14:paraId="43E3BD2C">
            <w:pPr>
              <w:pStyle w:val="6"/>
              <w:spacing w:before="168" w:line="202" w:lineRule="auto"/>
              <w:ind w:left="2505"/>
              <w:rPr>
                <w:sz w:val="21"/>
                <w:szCs w:val="21"/>
              </w:rPr>
            </w:pPr>
            <w:r>
              <w:rPr>
                <w:spacing w:val="15"/>
                <w:sz w:val="21"/>
                <w:szCs w:val="21"/>
              </w:rPr>
              <w:t>Ⅲ类</w:t>
            </w:r>
          </w:p>
        </w:tc>
        <w:tc>
          <w:tcPr>
            <w:tcW w:w="1808" w:type="dxa"/>
            <w:vMerge w:val="restart"/>
            <w:tcBorders>
              <w:bottom w:val="nil"/>
            </w:tcBorders>
            <w:vAlign w:val="top"/>
          </w:tcPr>
          <w:p w14:paraId="68C78B36">
            <w:pPr>
              <w:spacing w:line="241" w:lineRule="auto"/>
              <w:rPr>
                <w:rFonts w:ascii="Arial"/>
                <w:sz w:val="21"/>
              </w:rPr>
            </w:pPr>
          </w:p>
          <w:p w14:paraId="6AB9AA9D">
            <w:pPr>
              <w:spacing w:line="241" w:lineRule="auto"/>
              <w:rPr>
                <w:rFonts w:ascii="Arial"/>
                <w:sz w:val="21"/>
              </w:rPr>
            </w:pPr>
          </w:p>
          <w:p w14:paraId="0D3BCFBE">
            <w:pPr>
              <w:spacing w:line="241" w:lineRule="auto"/>
              <w:rPr>
                <w:rFonts w:ascii="Arial"/>
                <w:sz w:val="21"/>
              </w:rPr>
            </w:pPr>
          </w:p>
          <w:p w14:paraId="3EB885F0">
            <w:pPr>
              <w:spacing w:line="241" w:lineRule="auto"/>
              <w:rPr>
                <w:rFonts w:ascii="Arial"/>
                <w:sz w:val="21"/>
              </w:rPr>
            </w:pPr>
          </w:p>
          <w:p w14:paraId="6574BF43">
            <w:pPr>
              <w:spacing w:line="241" w:lineRule="auto"/>
              <w:rPr>
                <w:rFonts w:ascii="Arial"/>
                <w:sz w:val="21"/>
              </w:rPr>
            </w:pPr>
          </w:p>
          <w:p w14:paraId="166F2B47">
            <w:pPr>
              <w:spacing w:line="241" w:lineRule="auto"/>
              <w:rPr>
                <w:rFonts w:ascii="Arial"/>
                <w:sz w:val="21"/>
              </w:rPr>
            </w:pPr>
          </w:p>
          <w:p w14:paraId="3DE8AF01">
            <w:pPr>
              <w:spacing w:line="241" w:lineRule="auto"/>
              <w:rPr>
                <w:rFonts w:ascii="Arial"/>
                <w:sz w:val="21"/>
              </w:rPr>
            </w:pPr>
          </w:p>
          <w:p w14:paraId="111C0475">
            <w:pPr>
              <w:spacing w:line="241" w:lineRule="auto"/>
              <w:rPr>
                <w:rFonts w:ascii="Arial"/>
                <w:sz w:val="21"/>
              </w:rPr>
            </w:pPr>
          </w:p>
          <w:p w14:paraId="43EA33D4">
            <w:pPr>
              <w:spacing w:line="242" w:lineRule="auto"/>
              <w:rPr>
                <w:rFonts w:ascii="Arial"/>
                <w:sz w:val="21"/>
              </w:rPr>
            </w:pPr>
          </w:p>
          <w:p w14:paraId="2125A743">
            <w:pPr>
              <w:pStyle w:val="6"/>
              <w:spacing w:before="69" w:line="244" w:lineRule="auto"/>
              <w:ind w:left="77" w:right="4" w:hanging="24"/>
              <w:jc w:val="both"/>
              <w:rPr>
                <w:sz w:val="21"/>
                <w:szCs w:val="21"/>
              </w:rPr>
            </w:pPr>
            <w:r>
              <w:rPr>
                <w:sz w:val="21"/>
                <w:szCs w:val="21"/>
              </w:rPr>
              <w:t>《地表水环境质量</w:t>
            </w:r>
            <w:r>
              <w:rPr>
                <w:spacing w:val="4"/>
                <w:sz w:val="21"/>
                <w:szCs w:val="21"/>
              </w:rPr>
              <w:t xml:space="preserve"> </w:t>
            </w:r>
            <w:r>
              <w:rPr>
                <w:spacing w:val="-13"/>
                <w:sz w:val="21"/>
                <w:szCs w:val="21"/>
              </w:rPr>
              <w:t>标</w:t>
            </w:r>
            <w:r>
              <w:rPr>
                <w:spacing w:val="10"/>
                <w:sz w:val="21"/>
                <w:szCs w:val="21"/>
              </w:rPr>
              <w:t xml:space="preserve">    </w:t>
            </w:r>
            <w:r>
              <w:rPr>
                <w:spacing w:val="-13"/>
                <w:sz w:val="21"/>
                <w:szCs w:val="21"/>
              </w:rPr>
              <w:t>准</w:t>
            </w:r>
            <w:r>
              <w:rPr>
                <w:spacing w:val="5"/>
                <w:sz w:val="21"/>
                <w:szCs w:val="21"/>
              </w:rPr>
              <w:t xml:space="preserve">      </w:t>
            </w:r>
            <w:r>
              <w:rPr>
                <w:spacing w:val="-13"/>
                <w:sz w:val="21"/>
                <w:szCs w:val="21"/>
              </w:rPr>
              <w:t>》</w:t>
            </w:r>
            <w:r>
              <w:rPr>
                <w:spacing w:val="2"/>
                <w:sz w:val="21"/>
                <w:szCs w:val="21"/>
              </w:rPr>
              <w:t xml:space="preserve"> (</w:t>
            </w:r>
            <w:r>
              <w:rPr>
                <w:sz w:val="21"/>
                <w:szCs w:val="21"/>
              </w:rPr>
              <w:t>GB</w:t>
            </w:r>
            <w:r>
              <w:rPr>
                <w:spacing w:val="2"/>
                <w:sz w:val="21"/>
                <w:szCs w:val="21"/>
              </w:rPr>
              <w:t>3838-2002)Ⅲ</w:t>
            </w:r>
            <w:r>
              <w:rPr>
                <w:spacing w:val="4"/>
                <w:sz w:val="21"/>
                <w:szCs w:val="21"/>
              </w:rPr>
              <w:t xml:space="preserve">  </w:t>
            </w:r>
            <w:r>
              <w:rPr>
                <w:sz w:val="21"/>
                <w:szCs w:val="21"/>
              </w:rPr>
              <w:t>类</w:t>
            </w:r>
          </w:p>
        </w:tc>
        <w:tc>
          <w:tcPr>
            <w:tcW w:w="145" w:type="dxa"/>
            <w:vMerge w:val="continue"/>
            <w:tcBorders>
              <w:top w:val="nil"/>
              <w:bottom w:val="nil"/>
            </w:tcBorders>
            <w:vAlign w:val="top"/>
          </w:tcPr>
          <w:p w14:paraId="44D6444A">
            <w:pPr>
              <w:rPr>
                <w:rFonts w:ascii="Arial"/>
                <w:sz w:val="21"/>
              </w:rPr>
            </w:pPr>
          </w:p>
        </w:tc>
      </w:tr>
      <w:tr w14:paraId="53819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325" w:type="dxa"/>
            <w:vMerge w:val="continue"/>
            <w:tcBorders>
              <w:top w:val="nil"/>
              <w:bottom w:val="nil"/>
            </w:tcBorders>
            <w:vAlign w:val="top"/>
          </w:tcPr>
          <w:p w14:paraId="78EA2D4A">
            <w:pPr>
              <w:rPr>
                <w:rFonts w:ascii="Arial"/>
                <w:sz w:val="21"/>
              </w:rPr>
            </w:pPr>
          </w:p>
        </w:tc>
        <w:tc>
          <w:tcPr>
            <w:tcW w:w="120" w:type="dxa"/>
            <w:tcBorders>
              <w:top w:val="nil"/>
              <w:bottom w:val="nil"/>
            </w:tcBorders>
            <w:vAlign w:val="top"/>
          </w:tcPr>
          <w:p w14:paraId="389D9BD6">
            <w:pPr>
              <w:rPr>
                <w:rFonts w:ascii="Arial"/>
                <w:sz w:val="21"/>
              </w:rPr>
            </w:pPr>
          </w:p>
        </w:tc>
        <w:tc>
          <w:tcPr>
            <w:tcW w:w="410" w:type="dxa"/>
            <w:vMerge w:val="continue"/>
            <w:tcBorders>
              <w:top w:val="nil"/>
              <w:bottom w:val="nil"/>
            </w:tcBorders>
            <w:textDirection w:val="tbRlV"/>
            <w:vAlign w:val="top"/>
          </w:tcPr>
          <w:p w14:paraId="054730C6">
            <w:pPr>
              <w:rPr>
                <w:rFonts w:ascii="Arial"/>
                <w:sz w:val="21"/>
              </w:rPr>
            </w:pPr>
          </w:p>
        </w:tc>
        <w:tc>
          <w:tcPr>
            <w:tcW w:w="539" w:type="dxa"/>
            <w:textDirection w:val="tbRlV"/>
            <w:vAlign w:val="top"/>
          </w:tcPr>
          <w:p w14:paraId="2BF95DD6">
            <w:pPr>
              <w:pStyle w:val="6"/>
              <w:spacing w:before="137" w:line="200" w:lineRule="auto"/>
              <w:ind w:left="16"/>
              <w:rPr>
                <w:sz w:val="21"/>
                <w:szCs w:val="21"/>
              </w:rPr>
            </w:pPr>
            <w:r>
              <w:rPr>
                <w:sz w:val="21"/>
                <w:szCs w:val="21"/>
              </w:rPr>
              <w:t>中</w:t>
            </w:r>
            <w:r>
              <w:rPr>
                <w:spacing w:val="-34"/>
                <w:sz w:val="21"/>
                <w:szCs w:val="21"/>
              </w:rPr>
              <w:t xml:space="preserve"> </w:t>
            </w:r>
            <w:r>
              <w:rPr>
                <w:sz w:val="21"/>
                <w:szCs w:val="21"/>
              </w:rPr>
              <w:t>路</w:t>
            </w:r>
            <w:r>
              <w:rPr>
                <w:spacing w:val="-34"/>
                <w:sz w:val="21"/>
                <w:szCs w:val="21"/>
              </w:rPr>
              <w:t xml:space="preserve"> </w:t>
            </w:r>
            <w:r>
              <w:rPr>
                <w:sz w:val="21"/>
                <w:szCs w:val="21"/>
              </w:rPr>
              <w:t>水</w:t>
            </w:r>
            <w:r>
              <w:rPr>
                <w:spacing w:val="-34"/>
                <w:sz w:val="21"/>
                <w:szCs w:val="21"/>
              </w:rPr>
              <w:t xml:space="preserve"> </w:t>
            </w:r>
            <w:r>
              <w:rPr>
                <w:sz w:val="21"/>
                <w:szCs w:val="21"/>
              </w:rPr>
              <w:t>库</w:t>
            </w:r>
          </w:p>
        </w:tc>
        <w:tc>
          <w:tcPr>
            <w:tcW w:w="3625" w:type="dxa"/>
            <w:gridSpan w:val="3"/>
            <w:vAlign w:val="top"/>
          </w:tcPr>
          <w:p w14:paraId="21879287">
            <w:pPr>
              <w:spacing w:line="275" w:lineRule="auto"/>
              <w:rPr>
                <w:rFonts w:ascii="Arial"/>
                <w:sz w:val="21"/>
              </w:rPr>
            </w:pPr>
          </w:p>
          <w:p w14:paraId="345D2AAB">
            <w:pPr>
              <w:pStyle w:val="6"/>
              <w:spacing w:before="69" w:line="219" w:lineRule="auto"/>
              <w:jc w:val="right"/>
              <w:rPr>
                <w:sz w:val="21"/>
                <w:szCs w:val="21"/>
              </w:rPr>
            </w:pPr>
            <w:r>
              <w:rPr>
                <w:spacing w:val="-4"/>
                <w:sz w:val="21"/>
                <w:szCs w:val="21"/>
              </w:rPr>
              <w:t>农灌用水，小二型水库。地块五30#阵列</w:t>
            </w:r>
          </w:p>
          <w:p w14:paraId="17CB758F">
            <w:pPr>
              <w:pStyle w:val="6"/>
              <w:spacing w:before="10" w:line="219" w:lineRule="auto"/>
              <w:ind w:left="1381"/>
              <w:rPr>
                <w:sz w:val="21"/>
                <w:szCs w:val="21"/>
              </w:rPr>
            </w:pPr>
            <w:r>
              <w:rPr>
                <w:spacing w:val="-1"/>
                <w:sz w:val="21"/>
                <w:szCs w:val="21"/>
              </w:rPr>
              <w:t>西侧30m。</w:t>
            </w:r>
          </w:p>
        </w:tc>
        <w:tc>
          <w:tcPr>
            <w:tcW w:w="1558" w:type="dxa"/>
            <w:gridSpan w:val="2"/>
            <w:vMerge w:val="continue"/>
            <w:tcBorders>
              <w:top w:val="nil"/>
              <w:bottom w:val="nil"/>
            </w:tcBorders>
            <w:vAlign w:val="top"/>
          </w:tcPr>
          <w:p w14:paraId="6AC10C87">
            <w:pPr>
              <w:rPr>
                <w:rFonts w:ascii="Arial"/>
                <w:sz w:val="21"/>
              </w:rPr>
            </w:pPr>
          </w:p>
        </w:tc>
        <w:tc>
          <w:tcPr>
            <w:tcW w:w="519" w:type="dxa"/>
            <w:vMerge w:val="continue"/>
            <w:tcBorders>
              <w:top w:val="nil"/>
              <w:bottom w:val="nil"/>
            </w:tcBorders>
            <w:textDirection w:val="tbRlV"/>
            <w:vAlign w:val="top"/>
          </w:tcPr>
          <w:p w14:paraId="5A997C3A">
            <w:pPr>
              <w:rPr>
                <w:rFonts w:ascii="Arial"/>
                <w:sz w:val="21"/>
              </w:rPr>
            </w:pPr>
          </w:p>
        </w:tc>
        <w:tc>
          <w:tcPr>
            <w:tcW w:w="1808" w:type="dxa"/>
            <w:vMerge w:val="continue"/>
            <w:tcBorders>
              <w:top w:val="nil"/>
              <w:bottom w:val="nil"/>
            </w:tcBorders>
            <w:vAlign w:val="top"/>
          </w:tcPr>
          <w:p w14:paraId="771994AB">
            <w:pPr>
              <w:rPr>
                <w:rFonts w:ascii="Arial"/>
                <w:sz w:val="21"/>
              </w:rPr>
            </w:pPr>
          </w:p>
        </w:tc>
        <w:tc>
          <w:tcPr>
            <w:tcW w:w="145" w:type="dxa"/>
            <w:vMerge w:val="continue"/>
            <w:tcBorders>
              <w:top w:val="nil"/>
              <w:bottom w:val="nil"/>
            </w:tcBorders>
            <w:vAlign w:val="top"/>
          </w:tcPr>
          <w:p w14:paraId="072D2C73">
            <w:pPr>
              <w:rPr>
                <w:rFonts w:ascii="Arial"/>
                <w:sz w:val="21"/>
              </w:rPr>
            </w:pPr>
          </w:p>
        </w:tc>
      </w:tr>
      <w:tr w14:paraId="3FF2E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325" w:type="dxa"/>
            <w:vMerge w:val="continue"/>
            <w:tcBorders>
              <w:top w:val="nil"/>
              <w:bottom w:val="nil"/>
            </w:tcBorders>
            <w:vAlign w:val="top"/>
          </w:tcPr>
          <w:p w14:paraId="6E755408">
            <w:pPr>
              <w:rPr>
                <w:rFonts w:ascii="Arial"/>
                <w:sz w:val="21"/>
              </w:rPr>
            </w:pPr>
          </w:p>
        </w:tc>
        <w:tc>
          <w:tcPr>
            <w:tcW w:w="120" w:type="dxa"/>
            <w:tcBorders>
              <w:top w:val="nil"/>
              <w:bottom w:val="nil"/>
            </w:tcBorders>
            <w:vAlign w:val="top"/>
          </w:tcPr>
          <w:p w14:paraId="1F7F7300">
            <w:pPr>
              <w:rPr>
                <w:rFonts w:ascii="Arial"/>
                <w:sz w:val="21"/>
              </w:rPr>
            </w:pPr>
          </w:p>
        </w:tc>
        <w:tc>
          <w:tcPr>
            <w:tcW w:w="410" w:type="dxa"/>
            <w:vMerge w:val="continue"/>
            <w:tcBorders>
              <w:top w:val="nil"/>
              <w:bottom w:val="nil"/>
            </w:tcBorders>
            <w:textDirection w:val="tbRlV"/>
            <w:vAlign w:val="top"/>
          </w:tcPr>
          <w:p w14:paraId="5BE052C8">
            <w:pPr>
              <w:rPr>
                <w:rFonts w:ascii="Arial"/>
                <w:sz w:val="21"/>
              </w:rPr>
            </w:pPr>
          </w:p>
        </w:tc>
        <w:tc>
          <w:tcPr>
            <w:tcW w:w="539" w:type="dxa"/>
            <w:textDirection w:val="tbRlV"/>
            <w:vAlign w:val="top"/>
          </w:tcPr>
          <w:p w14:paraId="68D5C95B">
            <w:pPr>
              <w:pStyle w:val="6"/>
              <w:spacing w:before="158" w:line="199" w:lineRule="auto"/>
              <w:ind w:left="4"/>
              <w:rPr>
                <w:sz w:val="21"/>
                <w:szCs w:val="21"/>
              </w:rPr>
            </w:pPr>
            <w:r>
              <w:rPr>
                <w:sz w:val="21"/>
                <w:szCs w:val="21"/>
              </w:rPr>
              <w:t>己</w:t>
            </w:r>
            <w:r>
              <w:rPr>
                <w:spacing w:val="-23"/>
                <w:sz w:val="21"/>
                <w:szCs w:val="21"/>
              </w:rPr>
              <w:t xml:space="preserve"> </w:t>
            </w:r>
            <w:r>
              <w:rPr>
                <w:sz w:val="21"/>
                <w:szCs w:val="21"/>
              </w:rPr>
              <w:t>沃</w:t>
            </w:r>
            <w:r>
              <w:rPr>
                <w:spacing w:val="-23"/>
                <w:sz w:val="21"/>
                <w:szCs w:val="21"/>
              </w:rPr>
              <w:t xml:space="preserve"> </w:t>
            </w:r>
            <w:r>
              <w:rPr>
                <w:sz w:val="21"/>
                <w:szCs w:val="21"/>
              </w:rPr>
              <w:t>水</w:t>
            </w:r>
            <w:r>
              <w:rPr>
                <w:spacing w:val="-23"/>
                <w:sz w:val="21"/>
                <w:szCs w:val="21"/>
              </w:rPr>
              <w:t xml:space="preserve"> </w:t>
            </w:r>
            <w:r>
              <w:rPr>
                <w:sz w:val="21"/>
                <w:szCs w:val="21"/>
              </w:rPr>
              <w:t>库</w:t>
            </w:r>
          </w:p>
        </w:tc>
        <w:tc>
          <w:tcPr>
            <w:tcW w:w="3625" w:type="dxa"/>
            <w:gridSpan w:val="3"/>
            <w:vAlign w:val="top"/>
          </w:tcPr>
          <w:p w14:paraId="6A041C65">
            <w:pPr>
              <w:spacing w:line="276" w:lineRule="auto"/>
              <w:rPr>
                <w:rFonts w:ascii="Arial"/>
                <w:sz w:val="21"/>
              </w:rPr>
            </w:pPr>
          </w:p>
          <w:p w14:paraId="77F359D0">
            <w:pPr>
              <w:pStyle w:val="6"/>
              <w:spacing w:before="68" w:line="219" w:lineRule="auto"/>
              <w:jc w:val="right"/>
              <w:rPr>
                <w:sz w:val="21"/>
                <w:szCs w:val="21"/>
              </w:rPr>
            </w:pPr>
            <w:r>
              <w:rPr>
                <w:spacing w:val="-4"/>
                <w:sz w:val="21"/>
                <w:szCs w:val="21"/>
              </w:rPr>
              <w:t>农灌用水，小二型水库。地块五36#阵列</w:t>
            </w:r>
          </w:p>
          <w:p w14:paraId="1547DAA7">
            <w:pPr>
              <w:pStyle w:val="6"/>
              <w:spacing w:before="10" w:line="219" w:lineRule="auto"/>
              <w:ind w:left="1331"/>
              <w:rPr>
                <w:sz w:val="21"/>
                <w:szCs w:val="21"/>
              </w:rPr>
            </w:pPr>
            <w:r>
              <w:rPr>
                <w:spacing w:val="-1"/>
                <w:sz w:val="21"/>
                <w:szCs w:val="21"/>
              </w:rPr>
              <w:t>西侧500m。</w:t>
            </w:r>
          </w:p>
        </w:tc>
        <w:tc>
          <w:tcPr>
            <w:tcW w:w="1558" w:type="dxa"/>
            <w:gridSpan w:val="2"/>
            <w:vMerge w:val="continue"/>
            <w:tcBorders>
              <w:top w:val="nil"/>
              <w:bottom w:val="nil"/>
            </w:tcBorders>
            <w:vAlign w:val="top"/>
          </w:tcPr>
          <w:p w14:paraId="118CEE52">
            <w:pPr>
              <w:rPr>
                <w:rFonts w:ascii="Arial"/>
                <w:sz w:val="21"/>
              </w:rPr>
            </w:pPr>
          </w:p>
        </w:tc>
        <w:tc>
          <w:tcPr>
            <w:tcW w:w="519" w:type="dxa"/>
            <w:vMerge w:val="continue"/>
            <w:tcBorders>
              <w:top w:val="nil"/>
              <w:bottom w:val="nil"/>
            </w:tcBorders>
            <w:textDirection w:val="tbRlV"/>
            <w:vAlign w:val="top"/>
          </w:tcPr>
          <w:p w14:paraId="24BCBC27">
            <w:pPr>
              <w:rPr>
                <w:rFonts w:ascii="Arial"/>
                <w:sz w:val="21"/>
              </w:rPr>
            </w:pPr>
          </w:p>
        </w:tc>
        <w:tc>
          <w:tcPr>
            <w:tcW w:w="1808" w:type="dxa"/>
            <w:vMerge w:val="continue"/>
            <w:tcBorders>
              <w:top w:val="nil"/>
              <w:bottom w:val="nil"/>
            </w:tcBorders>
            <w:vAlign w:val="top"/>
          </w:tcPr>
          <w:p w14:paraId="2B519430">
            <w:pPr>
              <w:rPr>
                <w:rFonts w:ascii="Arial"/>
                <w:sz w:val="21"/>
              </w:rPr>
            </w:pPr>
          </w:p>
        </w:tc>
        <w:tc>
          <w:tcPr>
            <w:tcW w:w="145" w:type="dxa"/>
            <w:vMerge w:val="continue"/>
            <w:tcBorders>
              <w:top w:val="nil"/>
              <w:bottom w:val="nil"/>
            </w:tcBorders>
            <w:vAlign w:val="top"/>
          </w:tcPr>
          <w:p w14:paraId="43582365">
            <w:pPr>
              <w:rPr>
                <w:rFonts w:ascii="Arial"/>
                <w:sz w:val="21"/>
              </w:rPr>
            </w:pPr>
          </w:p>
        </w:tc>
      </w:tr>
      <w:tr w14:paraId="442F2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325" w:type="dxa"/>
            <w:vMerge w:val="continue"/>
            <w:tcBorders>
              <w:top w:val="nil"/>
              <w:bottom w:val="nil"/>
            </w:tcBorders>
            <w:vAlign w:val="top"/>
          </w:tcPr>
          <w:p w14:paraId="541694FC">
            <w:pPr>
              <w:rPr>
                <w:rFonts w:ascii="Arial"/>
                <w:sz w:val="21"/>
              </w:rPr>
            </w:pPr>
          </w:p>
        </w:tc>
        <w:tc>
          <w:tcPr>
            <w:tcW w:w="120" w:type="dxa"/>
            <w:tcBorders>
              <w:top w:val="nil"/>
              <w:bottom w:val="nil"/>
            </w:tcBorders>
            <w:vAlign w:val="top"/>
          </w:tcPr>
          <w:p w14:paraId="62D41817">
            <w:pPr>
              <w:rPr>
                <w:rFonts w:ascii="Arial"/>
                <w:sz w:val="21"/>
              </w:rPr>
            </w:pPr>
          </w:p>
        </w:tc>
        <w:tc>
          <w:tcPr>
            <w:tcW w:w="410" w:type="dxa"/>
            <w:vMerge w:val="continue"/>
            <w:tcBorders>
              <w:top w:val="nil"/>
              <w:bottom w:val="nil"/>
            </w:tcBorders>
            <w:textDirection w:val="tbRlV"/>
            <w:vAlign w:val="top"/>
          </w:tcPr>
          <w:p w14:paraId="40645F0C">
            <w:pPr>
              <w:rPr>
                <w:rFonts w:ascii="Arial"/>
                <w:sz w:val="21"/>
              </w:rPr>
            </w:pPr>
          </w:p>
        </w:tc>
        <w:tc>
          <w:tcPr>
            <w:tcW w:w="539" w:type="dxa"/>
            <w:textDirection w:val="tbRlV"/>
            <w:vAlign w:val="top"/>
          </w:tcPr>
          <w:p w14:paraId="466A4A70">
            <w:pPr>
              <w:pStyle w:val="6"/>
              <w:spacing w:before="157" w:line="201" w:lineRule="auto"/>
              <w:jc w:val="right"/>
              <w:rPr>
                <w:sz w:val="21"/>
                <w:szCs w:val="21"/>
              </w:rPr>
            </w:pPr>
            <w:r>
              <w:rPr>
                <w:spacing w:val="-2"/>
                <w:sz w:val="21"/>
                <w:szCs w:val="21"/>
              </w:rPr>
              <w:t>龙</w:t>
            </w:r>
            <w:r>
              <w:rPr>
                <w:spacing w:val="-20"/>
                <w:sz w:val="21"/>
                <w:szCs w:val="21"/>
              </w:rPr>
              <w:t xml:space="preserve"> </w:t>
            </w:r>
            <w:r>
              <w:rPr>
                <w:spacing w:val="-2"/>
                <w:sz w:val="21"/>
                <w:szCs w:val="21"/>
              </w:rPr>
              <w:t>海</w:t>
            </w:r>
            <w:r>
              <w:rPr>
                <w:spacing w:val="-21"/>
                <w:sz w:val="21"/>
                <w:szCs w:val="21"/>
              </w:rPr>
              <w:t xml:space="preserve"> </w:t>
            </w:r>
            <w:r>
              <w:rPr>
                <w:spacing w:val="-2"/>
                <w:sz w:val="21"/>
                <w:szCs w:val="21"/>
              </w:rPr>
              <w:t>水</w:t>
            </w:r>
            <w:r>
              <w:rPr>
                <w:spacing w:val="-20"/>
                <w:sz w:val="21"/>
                <w:szCs w:val="21"/>
              </w:rPr>
              <w:t xml:space="preserve"> </w:t>
            </w:r>
            <w:r>
              <w:rPr>
                <w:spacing w:val="-2"/>
                <w:sz w:val="21"/>
                <w:szCs w:val="21"/>
              </w:rPr>
              <w:t>库</w:t>
            </w:r>
          </w:p>
        </w:tc>
        <w:tc>
          <w:tcPr>
            <w:tcW w:w="3625" w:type="dxa"/>
            <w:gridSpan w:val="3"/>
            <w:vAlign w:val="top"/>
          </w:tcPr>
          <w:p w14:paraId="2A265EEA">
            <w:pPr>
              <w:spacing w:line="246" w:lineRule="auto"/>
              <w:rPr>
                <w:rFonts w:ascii="Arial"/>
                <w:sz w:val="21"/>
              </w:rPr>
            </w:pPr>
          </w:p>
          <w:p w14:paraId="0C711779">
            <w:pPr>
              <w:pStyle w:val="6"/>
              <w:spacing w:before="69" w:line="219" w:lineRule="auto"/>
              <w:jc w:val="right"/>
              <w:rPr>
                <w:sz w:val="21"/>
                <w:szCs w:val="21"/>
              </w:rPr>
            </w:pPr>
            <w:r>
              <w:rPr>
                <w:spacing w:val="-4"/>
                <w:sz w:val="21"/>
                <w:szCs w:val="21"/>
              </w:rPr>
              <w:t>农灌用水，小二型水库。地块三18#阵列</w:t>
            </w:r>
          </w:p>
          <w:p w14:paraId="0CEDDBBF">
            <w:pPr>
              <w:pStyle w:val="6"/>
              <w:spacing w:before="30" w:line="219" w:lineRule="auto"/>
              <w:ind w:left="1331"/>
              <w:rPr>
                <w:sz w:val="21"/>
                <w:szCs w:val="21"/>
              </w:rPr>
            </w:pPr>
            <w:r>
              <w:rPr>
                <w:spacing w:val="-1"/>
                <w:sz w:val="21"/>
                <w:szCs w:val="21"/>
              </w:rPr>
              <w:t>北侧300m。</w:t>
            </w:r>
          </w:p>
        </w:tc>
        <w:tc>
          <w:tcPr>
            <w:tcW w:w="1558" w:type="dxa"/>
            <w:gridSpan w:val="2"/>
            <w:vMerge w:val="continue"/>
            <w:tcBorders>
              <w:top w:val="nil"/>
              <w:bottom w:val="nil"/>
            </w:tcBorders>
            <w:vAlign w:val="top"/>
          </w:tcPr>
          <w:p w14:paraId="0045B9B7">
            <w:pPr>
              <w:rPr>
                <w:rFonts w:ascii="Arial"/>
                <w:sz w:val="21"/>
              </w:rPr>
            </w:pPr>
          </w:p>
        </w:tc>
        <w:tc>
          <w:tcPr>
            <w:tcW w:w="519" w:type="dxa"/>
            <w:vMerge w:val="continue"/>
            <w:tcBorders>
              <w:top w:val="nil"/>
              <w:bottom w:val="nil"/>
            </w:tcBorders>
            <w:textDirection w:val="tbRlV"/>
            <w:vAlign w:val="top"/>
          </w:tcPr>
          <w:p w14:paraId="276125DF">
            <w:pPr>
              <w:rPr>
                <w:rFonts w:ascii="Arial"/>
                <w:sz w:val="21"/>
              </w:rPr>
            </w:pPr>
          </w:p>
        </w:tc>
        <w:tc>
          <w:tcPr>
            <w:tcW w:w="1808" w:type="dxa"/>
            <w:vMerge w:val="continue"/>
            <w:tcBorders>
              <w:top w:val="nil"/>
              <w:bottom w:val="nil"/>
            </w:tcBorders>
            <w:vAlign w:val="top"/>
          </w:tcPr>
          <w:p w14:paraId="08E29C2D">
            <w:pPr>
              <w:rPr>
                <w:rFonts w:ascii="Arial"/>
                <w:sz w:val="21"/>
              </w:rPr>
            </w:pPr>
          </w:p>
        </w:tc>
        <w:tc>
          <w:tcPr>
            <w:tcW w:w="145" w:type="dxa"/>
            <w:vMerge w:val="continue"/>
            <w:tcBorders>
              <w:top w:val="nil"/>
              <w:bottom w:val="nil"/>
            </w:tcBorders>
            <w:vAlign w:val="top"/>
          </w:tcPr>
          <w:p w14:paraId="67E17AC0">
            <w:pPr>
              <w:rPr>
                <w:rFonts w:ascii="Arial"/>
                <w:sz w:val="21"/>
              </w:rPr>
            </w:pPr>
          </w:p>
        </w:tc>
      </w:tr>
      <w:tr w14:paraId="5C8D3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6" w:hRule="atLeast"/>
        </w:trPr>
        <w:tc>
          <w:tcPr>
            <w:tcW w:w="325" w:type="dxa"/>
            <w:vMerge w:val="continue"/>
            <w:tcBorders>
              <w:top w:val="nil"/>
              <w:bottom w:val="nil"/>
            </w:tcBorders>
            <w:vAlign w:val="top"/>
          </w:tcPr>
          <w:p w14:paraId="749FC35B">
            <w:pPr>
              <w:rPr>
                <w:rFonts w:ascii="Arial"/>
                <w:sz w:val="21"/>
              </w:rPr>
            </w:pPr>
          </w:p>
        </w:tc>
        <w:tc>
          <w:tcPr>
            <w:tcW w:w="120" w:type="dxa"/>
            <w:tcBorders>
              <w:top w:val="nil"/>
              <w:bottom w:val="nil"/>
            </w:tcBorders>
            <w:vAlign w:val="top"/>
          </w:tcPr>
          <w:p w14:paraId="36AAA6E0">
            <w:pPr>
              <w:rPr>
                <w:rFonts w:ascii="Arial"/>
                <w:sz w:val="21"/>
              </w:rPr>
            </w:pPr>
          </w:p>
        </w:tc>
        <w:tc>
          <w:tcPr>
            <w:tcW w:w="410" w:type="dxa"/>
            <w:vMerge w:val="continue"/>
            <w:tcBorders>
              <w:top w:val="nil"/>
            </w:tcBorders>
            <w:textDirection w:val="tbRlV"/>
            <w:vAlign w:val="top"/>
          </w:tcPr>
          <w:p w14:paraId="508191B4">
            <w:pPr>
              <w:rPr>
                <w:rFonts w:ascii="Arial"/>
                <w:sz w:val="21"/>
              </w:rPr>
            </w:pPr>
          </w:p>
        </w:tc>
        <w:tc>
          <w:tcPr>
            <w:tcW w:w="539" w:type="dxa"/>
            <w:textDirection w:val="tbRlV"/>
            <w:vAlign w:val="top"/>
          </w:tcPr>
          <w:p w14:paraId="281D93B2">
            <w:pPr>
              <w:pStyle w:val="6"/>
              <w:spacing w:before="158" w:line="199" w:lineRule="auto"/>
              <w:jc w:val="right"/>
              <w:rPr>
                <w:sz w:val="21"/>
                <w:szCs w:val="21"/>
              </w:rPr>
            </w:pPr>
            <w:r>
              <w:rPr>
                <w:spacing w:val="-1"/>
                <w:sz w:val="21"/>
                <w:szCs w:val="21"/>
              </w:rPr>
              <w:t>周</w:t>
            </w:r>
            <w:r>
              <w:rPr>
                <w:spacing w:val="-21"/>
                <w:sz w:val="21"/>
                <w:szCs w:val="21"/>
              </w:rPr>
              <w:t xml:space="preserve"> </w:t>
            </w:r>
            <w:r>
              <w:rPr>
                <w:spacing w:val="-1"/>
                <w:sz w:val="21"/>
                <w:szCs w:val="21"/>
              </w:rPr>
              <w:t>家</w:t>
            </w:r>
            <w:r>
              <w:rPr>
                <w:spacing w:val="-23"/>
                <w:sz w:val="21"/>
                <w:szCs w:val="21"/>
              </w:rPr>
              <w:t xml:space="preserve"> </w:t>
            </w:r>
            <w:r>
              <w:rPr>
                <w:spacing w:val="-1"/>
                <w:sz w:val="21"/>
                <w:szCs w:val="21"/>
              </w:rPr>
              <w:t>箐</w:t>
            </w:r>
            <w:r>
              <w:rPr>
                <w:spacing w:val="-23"/>
                <w:sz w:val="21"/>
                <w:szCs w:val="21"/>
              </w:rPr>
              <w:t xml:space="preserve"> </w:t>
            </w:r>
            <w:r>
              <w:rPr>
                <w:spacing w:val="-1"/>
                <w:sz w:val="21"/>
                <w:szCs w:val="21"/>
              </w:rPr>
              <w:t>水</w:t>
            </w:r>
            <w:r>
              <w:rPr>
                <w:spacing w:val="-24"/>
                <w:sz w:val="21"/>
                <w:szCs w:val="21"/>
              </w:rPr>
              <w:t xml:space="preserve"> </w:t>
            </w:r>
            <w:r>
              <w:rPr>
                <w:spacing w:val="-1"/>
                <w:sz w:val="21"/>
                <w:szCs w:val="21"/>
              </w:rPr>
              <w:t>库</w:t>
            </w:r>
          </w:p>
        </w:tc>
        <w:tc>
          <w:tcPr>
            <w:tcW w:w="3625" w:type="dxa"/>
            <w:gridSpan w:val="3"/>
            <w:vAlign w:val="top"/>
          </w:tcPr>
          <w:p w14:paraId="4B489997">
            <w:pPr>
              <w:spacing w:line="261" w:lineRule="auto"/>
              <w:rPr>
                <w:rFonts w:ascii="Arial"/>
                <w:sz w:val="21"/>
              </w:rPr>
            </w:pPr>
          </w:p>
          <w:p w14:paraId="49BCC6BE">
            <w:pPr>
              <w:pStyle w:val="6"/>
              <w:spacing w:before="69" w:line="219" w:lineRule="auto"/>
              <w:jc w:val="right"/>
              <w:rPr>
                <w:sz w:val="21"/>
                <w:szCs w:val="21"/>
              </w:rPr>
            </w:pPr>
            <w:r>
              <w:rPr>
                <w:spacing w:val="-4"/>
                <w:sz w:val="21"/>
                <w:szCs w:val="21"/>
              </w:rPr>
              <w:t>饮用水库。水库水面距地块五32#阵列西</w:t>
            </w:r>
          </w:p>
          <w:p w14:paraId="6ABC1592">
            <w:pPr>
              <w:pStyle w:val="6"/>
              <w:spacing w:before="17" w:line="216" w:lineRule="auto"/>
              <w:ind w:left="70"/>
              <w:rPr>
                <w:sz w:val="21"/>
                <w:szCs w:val="21"/>
              </w:rPr>
            </w:pPr>
            <w:r>
              <w:rPr>
                <w:sz w:val="21"/>
                <w:szCs w:val="21"/>
              </w:rPr>
              <w:t>北侧900m,与水库饮用水水源二级保护</w:t>
            </w:r>
          </w:p>
          <w:p w14:paraId="53109E8E">
            <w:pPr>
              <w:pStyle w:val="6"/>
              <w:spacing w:before="27" w:line="220" w:lineRule="auto"/>
              <w:ind w:left="1280"/>
              <w:rPr>
                <w:sz w:val="21"/>
                <w:szCs w:val="21"/>
              </w:rPr>
            </w:pPr>
            <w:r>
              <w:rPr>
                <w:spacing w:val="-1"/>
                <w:sz w:val="21"/>
                <w:szCs w:val="21"/>
              </w:rPr>
              <w:t>区距离12m。</w:t>
            </w:r>
          </w:p>
        </w:tc>
        <w:tc>
          <w:tcPr>
            <w:tcW w:w="1558" w:type="dxa"/>
            <w:gridSpan w:val="2"/>
            <w:vMerge w:val="continue"/>
            <w:tcBorders>
              <w:top w:val="nil"/>
            </w:tcBorders>
            <w:vAlign w:val="top"/>
          </w:tcPr>
          <w:p w14:paraId="2DB90CDB">
            <w:pPr>
              <w:rPr>
                <w:rFonts w:ascii="Arial"/>
                <w:sz w:val="21"/>
              </w:rPr>
            </w:pPr>
          </w:p>
        </w:tc>
        <w:tc>
          <w:tcPr>
            <w:tcW w:w="519" w:type="dxa"/>
            <w:vMerge w:val="continue"/>
            <w:tcBorders>
              <w:top w:val="nil"/>
            </w:tcBorders>
            <w:textDirection w:val="tbRlV"/>
            <w:vAlign w:val="top"/>
          </w:tcPr>
          <w:p w14:paraId="38EC4192">
            <w:pPr>
              <w:rPr>
                <w:rFonts w:ascii="Arial"/>
                <w:sz w:val="21"/>
              </w:rPr>
            </w:pPr>
          </w:p>
        </w:tc>
        <w:tc>
          <w:tcPr>
            <w:tcW w:w="1808" w:type="dxa"/>
            <w:vMerge w:val="continue"/>
            <w:tcBorders>
              <w:top w:val="nil"/>
            </w:tcBorders>
            <w:vAlign w:val="top"/>
          </w:tcPr>
          <w:p w14:paraId="77BE7D0F">
            <w:pPr>
              <w:rPr>
                <w:rFonts w:ascii="Arial"/>
                <w:sz w:val="21"/>
              </w:rPr>
            </w:pPr>
          </w:p>
        </w:tc>
        <w:tc>
          <w:tcPr>
            <w:tcW w:w="145" w:type="dxa"/>
            <w:vMerge w:val="continue"/>
            <w:tcBorders>
              <w:top w:val="nil"/>
              <w:bottom w:val="nil"/>
            </w:tcBorders>
            <w:vAlign w:val="top"/>
          </w:tcPr>
          <w:p w14:paraId="03A2B251">
            <w:pPr>
              <w:rPr>
                <w:rFonts w:ascii="Arial"/>
                <w:sz w:val="21"/>
              </w:rPr>
            </w:pPr>
          </w:p>
        </w:tc>
      </w:tr>
      <w:tr w14:paraId="7F16C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25" w:type="dxa"/>
            <w:vMerge w:val="continue"/>
            <w:tcBorders>
              <w:top w:val="nil"/>
              <w:bottom w:val="nil"/>
            </w:tcBorders>
            <w:vAlign w:val="top"/>
          </w:tcPr>
          <w:p w14:paraId="423F4E40">
            <w:pPr>
              <w:rPr>
                <w:rFonts w:ascii="Arial"/>
                <w:sz w:val="21"/>
              </w:rPr>
            </w:pPr>
          </w:p>
        </w:tc>
        <w:tc>
          <w:tcPr>
            <w:tcW w:w="120" w:type="dxa"/>
            <w:tcBorders>
              <w:top w:val="nil"/>
              <w:bottom w:val="nil"/>
            </w:tcBorders>
            <w:vAlign w:val="top"/>
          </w:tcPr>
          <w:p w14:paraId="76ED9020">
            <w:pPr>
              <w:rPr>
                <w:rFonts w:ascii="Arial"/>
                <w:sz w:val="21"/>
              </w:rPr>
            </w:pPr>
          </w:p>
        </w:tc>
        <w:tc>
          <w:tcPr>
            <w:tcW w:w="410" w:type="dxa"/>
            <w:textDirection w:val="tbRlV"/>
            <w:vAlign w:val="top"/>
          </w:tcPr>
          <w:p w14:paraId="1F6E2A0D">
            <w:pPr>
              <w:pStyle w:val="6"/>
              <w:spacing w:before="118" w:line="201" w:lineRule="auto"/>
              <w:ind w:left="6"/>
              <w:rPr>
                <w:sz w:val="21"/>
                <w:szCs w:val="21"/>
              </w:rPr>
            </w:pPr>
            <w:r>
              <w:rPr>
                <w:sz w:val="21"/>
                <w:szCs w:val="21"/>
              </w:rPr>
              <w:t>生</w:t>
            </w:r>
            <w:r>
              <w:rPr>
                <w:spacing w:val="-27"/>
                <w:sz w:val="21"/>
                <w:szCs w:val="21"/>
              </w:rPr>
              <w:t xml:space="preserve"> </w:t>
            </w:r>
            <w:r>
              <w:rPr>
                <w:sz w:val="21"/>
                <w:szCs w:val="21"/>
              </w:rPr>
              <w:t>态</w:t>
            </w:r>
            <w:r>
              <w:rPr>
                <w:spacing w:val="-27"/>
                <w:sz w:val="21"/>
                <w:szCs w:val="21"/>
              </w:rPr>
              <w:t xml:space="preserve"> </w:t>
            </w:r>
            <w:r>
              <w:rPr>
                <w:sz w:val="21"/>
                <w:szCs w:val="21"/>
              </w:rPr>
              <w:t>环</w:t>
            </w:r>
            <w:r>
              <w:rPr>
                <w:spacing w:val="-27"/>
                <w:sz w:val="21"/>
                <w:szCs w:val="21"/>
              </w:rPr>
              <w:t xml:space="preserve"> </w:t>
            </w:r>
            <w:r>
              <w:rPr>
                <w:sz w:val="21"/>
                <w:szCs w:val="21"/>
              </w:rPr>
              <w:t>境</w:t>
            </w:r>
          </w:p>
        </w:tc>
        <w:tc>
          <w:tcPr>
            <w:tcW w:w="8049" w:type="dxa"/>
            <w:gridSpan w:val="8"/>
            <w:vAlign w:val="top"/>
          </w:tcPr>
          <w:p w14:paraId="51A8E9A7">
            <w:pPr>
              <w:spacing w:line="373" w:lineRule="auto"/>
              <w:rPr>
                <w:rFonts w:ascii="Arial"/>
                <w:sz w:val="21"/>
              </w:rPr>
            </w:pPr>
          </w:p>
          <w:p w14:paraId="7AE96AFC">
            <w:pPr>
              <w:pStyle w:val="6"/>
              <w:spacing w:before="68" w:line="218" w:lineRule="auto"/>
              <w:jc w:val="right"/>
              <w:rPr>
                <w:sz w:val="21"/>
                <w:szCs w:val="21"/>
              </w:rPr>
            </w:pPr>
            <w:r>
              <w:rPr>
                <w:spacing w:val="-12"/>
                <w:sz w:val="21"/>
                <w:szCs w:val="21"/>
              </w:rPr>
              <w:t>工程占</w:t>
            </w:r>
            <w:r>
              <w:rPr>
                <w:spacing w:val="-11"/>
                <w:sz w:val="21"/>
                <w:szCs w:val="21"/>
              </w:rPr>
              <w:t>地区外延500m范围的区域植被、植物、动物，保护评价区内生</w:t>
            </w:r>
            <w:r>
              <w:rPr>
                <w:spacing w:val="-12"/>
                <w:sz w:val="21"/>
                <w:szCs w:val="21"/>
              </w:rPr>
              <w:t>态系统稳定性和完整</w:t>
            </w:r>
            <w:r>
              <w:rPr>
                <w:spacing w:val="-9"/>
                <w:sz w:val="21"/>
                <w:szCs w:val="21"/>
              </w:rPr>
              <w:t>性</w:t>
            </w:r>
          </w:p>
        </w:tc>
        <w:tc>
          <w:tcPr>
            <w:tcW w:w="145" w:type="dxa"/>
            <w:vMerge w:val="continue"/>
            <w:tcBorders>
              <w:top w:val="nil"/>
              <w:bottom w:val="nil"/>
            </w:tcBorders>
            <w:vAlign w:val="top"/>
          </w:tcPr>
          <w:p w14:paraId="232F0927">
            <w:pPr>
              <w:rPr>
                <w:rFonts w:ascii="Arial"/>
                <w:sz w:val="21"/>
              </w:rPr>
            </w:pPr>
          </w:p>
        </w:tc>
      </w:tr>
      <w:tr w14:paraId="1CF5C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25" w:type="dxa"/>
            <w:vMerge w:val="continue"/>
            <w:tcBorders>
              <w:top w:val="nil"/>
              <w:bottom w:val="nil"/>
            </w:tcBorders>
            <w:vAlign w:val="top"/>
          </w:tcPr>
          <w:p w14:paraId="0946C8A8">
            <w:pPr>
              <w:rPr>
                <w:rFonts w:ascii="Arial"/>
                <w:sz w:val="21"/>
              </w:rPr>
            </w:pPr>
          </w:p>
        </w:tc>
        <w:tc>
          <w:tcPr>
            <w:tcW w:w="120" w:type="dxa"/>
            <w:tcBorders>
              <w:top w:val="nil"/>
            </w:tcBorders>
            <w:vAlign w:val="top"/>
          </w:tcPr>
          <w:p w14:paraId="1CA08122">
            <w:pPr>
              <w:rPr>
                <w:rFonts w:ascii="Arial"/>
                <w:sz w:val="21"/>
              </w:rPr>
            </w:pPr>
          </w:p>
        </w:tc>
        <w:tc>
          <w:tcPr>
            <w:tcW w:w="8459" w:type="dxa"/>
            <w:gridSpan w:val="9"/>
            <w:vAlign w:val="top"/>
          </w:tcPr>
          <w:p w14:paraId="6482D61C">
            <w:pPr>
              <w:pStyle w:val="6"/>
              <w:spacing w:before="16" w:line="246" w:lineRule="auto"/>
              <w:ind w:left="79"/>
              <w:rPr>
                <w:sz w:val="21"/>
                <w:szCs w:val="21"/>
              </w:rPr>
            </w:pPr>
            <w:r>
              <w:rPr>
                <w:spacing w:val="-16"/>
                <w:sz w:val="21"/>
                <w:szCs w:val="21"/>
              </w:rPr>
              <w:t>备注：项目逆变</w:t>
            </w:r>
            <w:r>
              <w:rPr>
                <w:spacing w:val="-15"/>
                <w:sz w:val="21"/>
                <w:szCs w:val="21"/>
              </w:rPr>
              <w:t>器安装于光伏阵列内光伏支架立柱上，箱式</w:t>
            </w:r>
            <w:r>
              <w:rPr>
                <w:spacing w:val="-16"/>
                <w:sz w:val="21"/>
                <w:szCs w:val="21"/>
              </w:rPr>
              <w:t>变压器位于光伏阵列内道路附近，箱</w:t>
            </w:r>
            <w:r>
              <w:rPr>
                <w:spacing w:val="-9"/>
                <w:sz w:val="21"/>
                <w:szCs w:val="21"/>
              </w:rPr>
              <w:t>式</w:t>
            </w:r>
            <w:r>
              <w:rPr>
                <w:sz w:val="21"/>
                <w:szCs w:val="21"/>
              </w:rPr>
              <w:t xml:space="preserve"> </w:t>
            </w:r>
            <w:r>
              <w:rPr>
                <w:spacing w:val="-1"/>
                <w:sz w:val="21"/>
                <w:szCs w:val="21"/>
              </w:rPr>
              <w:t>变压器与最近居民点距离为95m(上南屯)。</w:t>
            </w:r>
          </w:p>
          <w:p w14:paraId="7F70C19A">
            <w:pPr>
              <w:pStyle w:val="6"/>
              <w:spacing w:line="196" w:lineRule="auto"/>
              <w:ind w:left="79"/>
              <w:rPr>
                <w:sz w:val="21"/>
                <w:szCs w:val="21"/>
              </w:rPr>
            </w:pPr>
            <w:r>
              <w:rPr>
                <w:sz w:val="21"/>
                <w:szCs w:val="21"/>
              </w:rPr>
              <w:t>项目占地与周家箐水库饮用水源保护区的位置关系详见附图6。</w:t>
            </w:r>
          </w:p>
        </w:tc>
        <w:tc>
          <w:tcPr>
            <w:tcW w:w="145" w:type="dxa"/>
            <w:vMerge w:val="continue"/>
            <w:tcBorders>
              <w:top w:val="nil"/>
            </w:tcBorders>
            <w:vAlign w:val="top"/>
          </w:tcPr>
          <w:p w14:paraId="23F79940">
            <w:pPr>
              <w:rPr>
                <w:rFonts w:ascii="Arial"/>
                <w:sz w:val="21"/>
              </w:rPr>
            </w:pPr>
          </w:p>
        </w:tc>
      </w:tr>
      <w:tr w14:paraId="23E86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3" w:hRule="atLeast"/>
        </w:trPr>
        <w:tc>
          <w:tcPr>
            <w:tcW w:w="325" w:type="dxa"/>
            <w:vMerge w:val="continue"/>
            <w:tcBorders>
              <w:top w:val="nil"/>
            </w:tcBorders>
            <w:vAlign w:val="top"/>
          </w:tcPr>
          <w:p w14:paraId="132D7090">
            <w:pPr>
              <w:rPr>
                <w:rFonts w:ascii="Arial"/>
                <w:sz w:val="21"/>
              </w:rPr>
            </w:pPr>
          </w:p>
        </w:tc>
        <w:tc>
          <w:tcPr>
            <w:tcW w:w="8724" w:type="dxa"/>
            <w:gridSpan w:val="11"/>
            <w:vAlign w:val="top"/>
          </w:tcPr>
          <w:p w14:paraId="46329652">
            <w:pPr>
              <w:pStyle w:val="6"/>
              <w:spacing w:before="37" w:line="411" w:lineRule="auto"/>
              <w:ind w:left="79" w:right="979" w:firstLine="519"/>
              <w:rPr>
                <w:sz w:val="21"/>
                <w:szCs w:val="21"/>
              </w:rPr>
            </w:pPr>
            <w:r>
              <w:rPr>
                <w:spacing w:val="3"/>
                <w:sz w:val="21"/>
                <w:szCs w:val="21"/>
              </w:rPr>
              <w:t>本项目电磁辐射环境保护目标：升压站站外40m范围内的住宅</w:t>
            </w:r>
            <w:r>
              <w:rPr>
                <w:spacing w:val="2"/>
                <w:sz w:val="21"/>
                <w:szCs w:val="21"/>
              </w:rPr>
              <w:t>、学校、医院、</w:t>
            </w:r>
            <w:r>
              <w:rPr>
                <w:sz w:val="21"/>
                <w:szCs w:val="21"/>
              </w:rPr>
              <w:t xml:space="preserve"> 办公楼、工厂等有公众居住、工作或学习的建筑物应列为电磁辐射环境保护目标，</w:t>
            </w:r>
            <w:r>
              <w:rPr>
                <w:spacing w:val="14"/>
                <w:sz w:val="21"/>
                <w:szCs w:val="21"/>
              </w:rPr>
              <w:t xml:space="preserve"> </w:t>
            </w:r>
            <w:r>
              <w:rPr>
                <w:sz w:val="21"/>
                <w:szCs w:val="21"/>
              </w:rPr>
              <w:t>经过现场踏勘，该范围内无电磁环境敏感点分布。但项目升压站内常驻有10名工</w:t>
            </w:r>
            <w:r>
              <w:rPr>
                <w:spacing w:val="3"/>
                <w:sz w:val="21"/>
                <w:szCs w:val="21"/>
              </w:rPr>
              <w:t xml:space="preserve">   </w:t>
            </w:r>
            <w:r>
              <w:rPr>
                <w:sz w:val="21"/>
                <w:szCs w:val="21"/>
              </w:rPr>
              <w:t>作人员，故本工程电磁环境保护目标确定为升压站生产楼(含生活区)。本项目升</w:t>
            </w:r>
          </w:p>
          <w:p w14:paraId="1E2C9C1D">
            <w:pPr>
              <w:pStyle w:val="6"/>
              <w:spacing w:before="20" w:line="219" w:lineRule="auto"/>
              <w:ind w:left="129"/>
              <w:rPr>
                <w:sz w:val="21"/>
                <w:szCs w:val="21"/>
              </w:rPr>
            </w:pPr>
            <w:r>
              <w:rPr>
                <w:sz w:val="21"/>
                <w:szCs w:val="21"/>
              </w:rPr>
              <w:t>压站电磁辐射环境保护目标一览表详见3-9。</w:t>
            </w:r>
          </w:p>
        </w:tc>
      </w:tr>
    </w:tbl>
    <w:p w14:paraId="0440EBF5">
      <w:pPr>
        <w:pStyle w:val="2"/>
      </w:pPr>
    </w:p>
    <w:p w14:paraId="7E1C685C">
      <w:pPr>
        <w:sectPr>
          <w:footerReference r:id="rId74" w:type="default"/>
          <w:pgSz w:w="11910" w:h="16840"/>
          <w:pgMar w:top="1431" w:right="1445" w:bottom="1234" w:left="1405" w:header="0" w:footer="1099" w:gutter="0"/>
          <w:cols w:space="720" w:num="1"/>
        </w:sectPr>
      </w:pPr>
    </w:p>
    <w:p w14:paraId="05DBC5A0">
      <w:pPr>
        <w:spacing w:line="83" w:lineRule="exact"/>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
        <w:gridCol w:w="220"/>
        <w:gridCol w:w="639"/>
        <w:gridCol w:w="649"/>
        <w:gridCol w:w="170"/>
        <w:gridCol w:w="679"/>
        <w:gridCol w:w="1229"/>
        <w:gridCol w:w="320"/>
        <w:gridCol w:w="679"/>
        <w:gridCol w:w="140"/>
        <w:gridCol w:w="469"/>
        <w:gridCol w:w="649"/>
        <w:gridCol w:w="509"/>
        <w:gridCol w:w="2237"/>
        <w:gridCol w:w="125"/>
      </w:tblGrid>
      <w:tr w14:paraId="4CBDF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45" w:type="dxa"/>
            <w:gridSpan w:val="2"/>
            <w:vMerge w:val="restart"/>
            <w:tcBorders>
              <w:bottom w:val="nil"/>
            </w:tcBorders>
            <w:vAlign w:val="top"/>
          </w:tcPr>
          <w:p w14:paraId="1D3DC92A">
            <w:pPr>
              <w:rPr>
                <w:rFonts w:ascii="Arial"/>
                <w:sz w:val="21"/>
              </w:rPr>
            </w:pPr>
          </w:p>
        </w:tc>
        <w:tc>
          <w:tcPr>
            <w:tcW w:w="8494" w:type="dxa"/>
            <w:gridSpan w:val="13"/>
            <w:vAlign w:val="top"/>
          </w:tcPr>
          <w:p w14:paraId="1EEAF942">
            <w:pPr>
              <w:pStyle w:val="6"/>
              <w:spacing w:before="19" w:line="219" w:lineRule="auto"/>
              <w:ind w:left="1513"/>
              <w:rPr>
                <w:sz w:val="22"/>
                <w:szCs w:val="22"/>
              </w:rPr>
            </w:pPr>
            <w:r>
              <w:rPr>
                <w:b/>
                <w:bCs/>
                <w:spacing w:val="-3"/>
                <w:sz w:val="22"/>
                <w:szCs w:val="22"/>
              </w:rPr>
              <w:t>表3-9本项目升压站电磁辐射环境保护目标一览表</w:t>
            </w:r>
          </w:p>
        </w:tc>
      </w:tr>
      <w:tr w14:paraId="52EEF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545" w:type="dxa"/>
            <w:gridSpan w:val="2"/>
            <w:vMerge w:val="continue"/>
            <w:tcBorders>
              <w:top w:val="nil"/>
              <w:bottom w:val="nil"/>
            </w:tcBorders>
            <w:vAlign w:val="top"/>
          </w:tcPr>
          <w:p w14:paraId="58D3658E">
            <w:pPr>
              <w:rPr>
                <w:rFonts w:ascii="Arial"/>
                <w:sz w:val="21"/>
              </w:rPr>
            </w:pPr>
          </w:p>
        </w:tc>
        <w:tc>
          <w:tcPr>
            <w:tcW w:w="639" w:type="dxa"/>
            <w:textDirection w:val="tbRlV"/>
            <w:vAlign w:val="top"/>
          </w:tcPr>
          <w:p w14:paraId="6BA9EAA6">
            <w:pPr>
              <w:pStyle w:val="6"/>
              <w:spacing w:before="218" w:line="200" w:lineRule="auto"/>
              <w:ind w:left="168"/>
              <w:rPr>
                <w:sz w:val="22"/>
                <w:szCs w:val="22"/>
              </w:rPr>
            </w:pPr>
            <w:r>
              <w:rPr>
                <w:sz w:val="22"/>
                <w:szCs w:val="22"/>
              </w:rPr>
              <w:t>类别</w:t>
            </w:r>
          </w:p>
        </w:tc>
        <w:tc>
          <w:tcPr>
            <w:tcW w:w="649" w:type="dxa"/>
            <w:vAlign w:val="top"/>
          </w:tcPr>
          <w:p w14:paraId="262CCFB0">
            <w:pPr>
              <w:pStyle w:val="6"/>
              <w:spacing w:before="39" w:line="220" w:lineRule="auto"/>
              <w:ind w:left="90"/>
              <w:rPr>
                <w:sz w:val="22"/>
                <w:szCs w:val="22"/>
              </w:rPr>
            </w:pPr>
            <w:r>
              <w:rPr>
                <w:spacing w:val="9"/>
                <w:sz w:val="22"/>
                <w:szCs w:val="22"/>
              </w:rPr>
              <w:t>所属</w:t>
            </w:r>
          </w:p>
          <w:p w14:paraId="61C1E277">
            <w:pPr>
              <w:pStyle w:val="6"/>
              <w:spacing w:before="7" w:line="220" w:lineRule="auto"/>
              <w:ind w:left="90"/>
              <w:rPr>
                <w:sz w:val="22"/>
                <w:szCs w:val="22"/>
              </w:rPr>
            </w:pPr>
            <w:r>
              <w:rPr>
                <w:spacing w:val="4"/>
                <w:sz w:val="22"/>
                <w:szCs w:val="22"/>
              </w:rPr>
              <w:t>行政</w:t>
            </w:r>
          </w:p>
          <w:p w14:paraId="4123773B">
            <w:pPr>
              <w:pStyle w:val="6"/>
              <w:spacing w:before="8" w:line="192" w:lineRule="auto"/>
              <w:ind w:left="90"/>
              <w:rPr>
                <w:sz w:val="22"/>
                <w:szCs w:val="22"/>
              </w:rPr>
            </w:pPr>
            <w:r>
              <w:rPr>
                <w:spacing w:val="4"/>
                <w:sz w:val="22"/>
                <w:szCs w:val="22"/>
              </w:rPr>
              <w:t>区域</w:t>
            </w:r>
          </w:p>
        </w:tc>
        <w:tc>
          <w:tcPr>
            <w:tcW w:w="849" w:type="dxa"/>
            <w:gridSpan w:val="2"/>
            <w:vAlign w:val="top"/>
          </w:tcPr>
          <w:p w14:paraId="3728D4A6">
            <w:pPr>
              <w:pStyle w:val="6"/>
              <w:spacing w:before="302" w:line="221" w:lineRule="auto"/>
              <w:ind w:left="191"/>
              <w:rPr>
                <w:sz w:val="22"/>
                <w:szCs w:val="22"/>
              </w:rPr>
            </w:pPr>
            <w:r>
              <w:rPr>
                <w:spacing w:val="5"/>
                <w:sz w:val="22"/>
                <w:szCs w:val="22"/>
              </w:rPr>
              <w:t>名称</w:t>
            </w:r>
          </w:p>
        </w:tc>
        <w:tc>
          <w:tcPr>
            <w:tcW w:w="1229" w:type="dxa"/>
            <w:vAlign w:val="top"/>
          </w:tcPr>
          <w:p w14:paraId="422361D3">
            <w:pPr>
              <w:pStyle w:val="6"/>
              <w:spacing w:before="29" w:line="218" w:lineRule="auto"/>
              <w:ind w:left="53" w:right="23"/>
              <w:jc w:val="both"/>
              <w:rPr>
                <w:sz w:val="22"/>
                <w:szCs w:val="22"/>
              </w:rPr>
            </w:pPr>
            <w:r>
              <w:rPr>
                <w:spacing w:val="8"/>
                <w:sz w:val="22"/>
                <w:szCs w:val="22"/>
              </w:rPr>
              <w:t>最近环保目</w:t>
            </w:r>
            <w:r>
              <w:rPr>
                <w:spacing w:val="1"/>
                <w:sz w:val="22"/>
                <w:szCs w:val="22"/>
              </w:rPr>
              <w:t xml:space="preserve"> </w:t>
            </w:r>
            <w:r>
              <w:rPr>
                <w:spacing w:val="-2"/>
                <w:sz w:val="22"/>
                <w:szCs w:val="22"/>
              </w:rPr>
              <w:t>标相对方位</w:t>
            </w:r>
            <w:r>
              <w:rPr>
                <w:sz w:val="22"/>
                <w:szCs w:val="22"/>
              </w:rPr>
              <w:t xml:space="preserve"> </w:t>
            </w:r>
            <w:r>
              <w:rPr>
                <w:spacing w:val="18"/>
                <w:sz w:val="22"/>
                <w:szCs w:val="22"/>
              </w:rPr>
              <w:t>及距离(m)</w:t>
            </w:r>
          </w:p>
        </w:tc>
        <w:tc>
          <w:tcPr>
            <w:tcW w:w="999" w:type="dxa"/>
            <w:gridSpan w:val="2"/>
            <w:vAlign w:val="top"/>
          </w:tcPr>
          <w:p w14:paraId="2EE45719">
            <w:pPr>
              <w:pStyle w:val="6"/>
              <w:spacing w:before="178" w:line="230" w:lineRule="auto"/>
              <w:ind w:left="163" w:right="64" w:hanging="110"/>
              <w:rPr>
                <w:sz w:val="22"/>
                <w:szCs w:val="22"/>
              </w:rPr>
            </w:pPr>
            <w:r>
              <w:rPr>
                <w:spacing w:val="-3"/>
                <w:sz w:val="22"/>
                <w:szCs w:val="22"/>
              </w:rPr>
              <w:t>房屋层数</w:t>
            </w:r>
            <w:r>
              <w:rPr>
                <w:spacing w:val="1"/>
                <w:sz w:val="22"/>
                <w:szCs w:val="22"/>
              </w:rPr>
              <w:t xml:space="preserve"> </w:t>
            </w:r>
            <w:r>
              <w:rPr>
                <w:spacing w:val="4"/>
                <w:sz w:val="22"/>
                <w:szCs w:val="22"/>
              </w:rPr>
              <w:t>及结构</w:t>
            </w:r>
          </w:p>
        </w:tc>
        <w:tc>
          <w:tcPr>
            <w:tcW w:w="609" w:type="dxa"/>
            <w:gridSpan w:val="2"/>
            <w:vAlign w:val="top"/>
          </w:tcPr>
          <w:p w14:paraId="287AB6D1">
            <w:pPr>
              <w:pStyle w:val="6"/>
              <w:spacing w:before="49" w:line="220" w:lineRule="auto"/>
              <w:ind w:left="74"/>
              <w:rPr>
                <w:sz w:val="22"/>
                <w:szCs w:val="22"/>
              </w:rPr>
            </w:pPr>
            <w:r>
              <w:rPr>
                <w:spacing w:val="5"/>
                <w:sz w:val="22"/>
                <w:szCs w:val="22"/>
              </w:rPr>
              <w:t>房屋</w:t>
            </w:r>
          </w:p>
          <w:p w14:paraId="57C438B3">
            <w:pPr>
              <w:pStyle w:val="6"/>
              <w:spacing w:before="6" w:line="213" w:lineRule="auto"/>
              <w:ind w:left="74"/>
              <w:rPr>
                <w:sz w:val="22"/>
                <w:szCs w:val="22"/>
              </w:rPr>
            </w:pPr>
            <w:r>
              <w:rPr>
                <w:spacing w:val="6"/>
                <w:sz w:val="22"/>
                <w:szCs w:val="22"/>
              </w:rPr>
              <w:t>高度</w:t>
            </w:r>
          </w:p>
          <w:p w14:paraId="74B9D0CE">
            <w:pPr>
              <w:pStyle w:val="6"/>
              <w:spacing w:line="198" w:lineRule="auto"/>
              <w:ind w:left="134"/>
              <w:rPr>
                <w:sz w:val="22"/>
                <w:szCs w:val="22"/>
              </w:rPr>
            </w:pPr>
            <w:r>
              <w:rPr>
                <w:spacing w:val="-11"/>
                <w:sz w:val="22"/>
                <w:szCs w:val="22"/>
              </w:rPr>
              <w:t>(m)</w:t>
            </w:r>
          </w:p>
        </w:tc>
        <w:tc>
          <w:tcPr>
            <w:tcW w:w="649" w:type="dxa"/>
            <w:vAlign w:val="top"/>
          </w:tcPr>
          <w:p w14:paraId="0EF53FF2">
            <w:pPr>
              <w:pStyle w:val="6"/>
              <w:spacing w:before="11" w:line="223" w:lineRule="auto"/>
              <w:ind w:left="95"/>
              <w:rPr>
                <w:sz w:val="22"/>
                <w:szCs w:val="22"/>
              </w:rPr>
            </w:pPr>
            <w:r>
              <w:rPr>
                <w:spacing w:val="6"/>
                <w:sz w:val="22"/>
                <w:szCs w:val="22"/>
              </w:rPr>
              <w:t>影响</w:t>
            </w:r>
            <w:r>
              <w:rPr>
                <w:sz w:val="22"/>
                <w:szCs w:val="22"/>
              </w:rPr>
              <w:t xml:space="preserve"> </w:t>
            </w:r>
            <w:r>
              <w:rPr>
                <w:spacing w:val="-7"/>
                <w:sz w:val="22"/>
                <w:szCs w:val="22"/>
              </w:rPr>
              <w:t>规模</w:t>
            </w:r>
            <w:r>
              <w:rPr>
                <w:sz w:val="22"/>
                <w:szCs w:val="22"/>
              </w:rPr>
              <w:t xml:space="preserve">  </w:t>
            </w:r>
            <w:r>
              <w:rPr>
                <w:spacing w:val="34"/>
                <w:sz w:val="22"/>
                <w:szCs w:val="22"/>
              </w:rPr>
              <w:t>(人)</w:t>
            </w:r>
          </w:p>
        </w:tc>
        <w:tc>
          <w:tcPr>
            <w:tcW w:w="509" w:type="dxa"/>
            <w:textDirection w:val="tbRlV"/>
            <w:vAlign w:val="top"/>
          </w:tcPr>
          <w:p w14:paraId="71F6D852">
            <w:pPr>
              <w:pStyle w:val="6"/>
              <w:spacing w:before="153" w:line="197" w:lineRule="auto"/>
              <w:ind w:left="169"/>
              <w:rPr>
                <w:sz w:val="22"/>
                <w:szCs w:val="22"/>
              </w:rPr>
            </w:pPr>
            <w:r>
              <w:rPr>
                <w:sz w:val="22"/>
                <w:szCs w:val="22"/>
              </w:rPr>
              <w:t>功能</w:t>
            </w:r>
          </w:p>
        </w:tc>
        <w:tc>
          <w:tcPr>
            <w:tcW w:w="2362" w:type="dxa"/>
            <w:gridSpan w:val="2"/>
            <w:vAlign w:val="top"/>
          </w:tcPr>
          <w:p w14:paraId="4DC5EEF3">
            <w:pPr>
              <w:pStyle w:val="6"/>
              <w:spacing w:before="299" w:line="220" w:lineRule="auto"/>
              <w:ind w:left="737"/>
              <w:rPr>
                <w:sz w:val="22"/>
                <w:szCs w:val="22"/>
              </w:rPr>
            </w:pPr>
            <w:r>
              <w:rPr>
                <w:spacing w:val="4"/>
                <w:sz w:val="22"/>
                <w:szCs w:val="22"/>
              </w:rPr>
              <w:t>保护级别</w:t>
            </w:r>
          </w:p>
        </w:tc>
      </w:tr>
      <w:tr w14:paraId="30340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545" w:type="dxa"/>
            <w:gridSpan w:val="2"/>
            <w:vMerge w:val="continue"/>
            <w:tcBorders>
              <w:top w:val="nil"/>
              <w:bottom w:val="nil"/>
            </w:tcBorders>
            <w:vAlign w:val="top"/>
          </w:tcPr>
          <w:p w14:paraId="4DC786B4">
            <w:pPr>
              <w:rPr>
                <w:rFonts w:ascii="Arial"/>
                <w:sz w:val="21"/>
              </w:rPr>
            </w:pPr>
          </w:p>
        </w:tc>
        <w:tc>
          <w:tcPr>
            <w:tcW w:w="639" w:type="dxa"/>
            <w:textDirection w:val="tbRlV"/>
            <w:vAlign w:val="top"/>
          </w:tcPr>
          <w:p w14:paraId="79FF706E">
            <w:pPr>
              <w:pStyle w:val="6"/>
              <w:spacing w:before="217" w:line="202" w:lineRule="auto"/>
              <w:rPr>
                <w:sz w:val="22"/>
                <w:szCs w:val="22"/>
              </w:rPr>
            </w:pPr>
            <w:r>
              <w:rPr>
                <w:spacing w:val="49"/>
                <w:sz w:val="22"/>
                <w:szCs w:val="22"/>
              </w:rPr>
              <w:t>电磁辐射</w:t>
            </w:r>
          </w:p>
        </w:tc>
        <w:tc>
          <w:tcPr>
            <w:tcW w:w="649" w:type="dxa"/>
            <w:vAlign w:val="top"/>
          </w:tcPr>
          <w:p w14:paraId="0001D6FA">
            <w:pPr>
              <w:pStyle w:val="6"/>
              <w:spacing w:before="180" w:line="221" w:lineRule="auto"/>
              <w:ind w:left="90" w:right="87"/>
              <w:rPr>
                <w:sz w:val="22"/>
                <w:szCs w:val="22"/>
              </w:rPr>
            </w:pPr>
            <w:r>
              <w:rPr>
                <w:spacing w:val="4"/>
                <w:sz w:val="22"/>
                <w:szCs w:val="22"/>
              </w:rPr>
              <w:t>马龙</w:t>
            </w:r>
            <w:r>
              <w:rPr>
                <w:sz w:val="22"/>
                <w:szCs w:val="22"/>
              </w:rPr>
              <w:t xml:space="preserve"> </w:t>
            </w:r>
            <w:r>
              <w:rPr>
                <w:spacing w:val="10"/>
                <w:sz w:val="22"/>
                <w:szCs w:val="22"/>
              </w:rPr>
              <w:t>区马</w:t>
            </w:r>
          </w:p>
          <w:p w14:paraId="65EC8834">
            <w:pPr>
              <w:pStyle w:val="6"/>
              <w:spacing w:before="13" w:line="220" w:lineRule="auto"/>
              <w:ind w:left="90"/>
              <w:rPr>
                <w:sz w:val="22"/>
                <w:szCs w:val="22"/>
              </w:rPr>
            </w:pPr>
            <w:r>
              <w:rPr>
                <w:spacing w:val="15"/>
                <w:sz w:val="22"/>
                <w:szCs w:val="22"/>
              </w:rPr>
              <w:t>鸣乡</w:t>
            </w:r>
          </w:p>
        </w:tc>
        <w:tc>
          <w:tcPr>
            <w:tcW w:w="849" w:type="dxa"/>
            <w:gridSpan w:val="2"/>
            <w:vAlign w:val="top"/>
          </w:tcPr>
          <w:p w14:paraId="175BADF0">
            <w:pPr>
              <w:pStyle w:val="6"/>
              <w:spacing w:before="178" w:line="233" w:lineRule="auto"/>
              <w:ind w:left="142" w:right="86" w:hanging="60"/>
              <w:jc w:val="both"/>
              <w:rPr>
                <w:sz w:val="22"/>
                <w:szCs w:val="22"/>
              </w:rPr>
            </w:pPr>
            <w:r>
              <w:rPr>
                <w:spacing w:val="3"/>
                <w:sz w:val="22"/>
                <w:szCs w:val="22"/>
              </w:rPr>
              <w:t>生产楼</w:t>
            </w:r>
            <w:r>
              <w:rPr>
                <w:sz w:val="22"/>
                <w:szCs w:val="22"/>
              </w:rPr>
              <w:t xml:space="preserve"> </w:t>
            </w:r>
            <w:r>
              <w:rPr>
                <w:spacing w:val="3"/>
                <w:sz w:val="22"/>
                <w:szCs w:val="22"/>
              </w:rPr>
              <w:t>(含生</w:t>
            </w:r>
            <w:r>
              <w:rPr>
                <w:sz w:val="22"/>
                <w:szCs w:val="22"/>
              </w:rPr>
              <w:t xml:space="preserve"> </w:t>
            </w:r>
            <w:r>
              <w:rPr>
                <w:spacing w:val="16"/>
                <w:sz w:val="22"/>
                <w:szCs w:val="22"/>
              </w:rPr>
              <w:t>活区)</w:t>
            </w:r>
          </w:p>
        </w:tc>
        <w:tc>
          <w:tcPr>
            <w:tcW w:w="1229" w:type="dxa"/>
            <w:vAlign w:val="top"/>
          </w:tcPr>
          <w:p w14:paraId="77DF128C">
            <w:pPr>
              <w:spacing w:line="366" w:lineRule="auto"/>
              <w:rPr>
                <w:rFonts w:ascii="Arial"/>
                <w:sz w:val="21"/>
              </w:rPr>
            </w:pPr>
          </w:p>
          <w:p w14:paraId="1FE83AA9">
            <w:pPr>
              <w:pStyle w:val="6"/>
              <w:spacing w:before="71" w:line="219" w:lineRule="auto"/>
              <w:ind w:left="162"/>
              <w:rPr>
                <w:sz w:val="22"/>
                <w:szCs w:val="22"/>
              </w:rPr>
            </w:pPr>
            <w:r>
              <w:rPr>
                <w:spacing w:val="7"/>
                <w:sz w:val="22"/>
                <w:szCs w:val="22"/>
              </w:rPr>
              <w:t>升压站内</w:t>
            </w:r>
          </w:p>
        </w:tc>
        <w:tc>
          <w:tcPr>
            <w:tcW w:w="999" w:type="dxa"/>
            <w:gridSpan w:val="2"/>
            <w:vAlign w:val="top"/>
          </w:tcPr>
          <w:p w14:paraId="779348FC">
            <w:pPr>
              <w:pStyle w:val="6"/>
              <w:spacing w:before="177" w:line="216" w:lineRule="auto"/>
              <w:ind w:left="103"/>
              <w:rPr>
                <w:sz w:val="22"/>
                <w:szCs w:val="22"/>
              </w:rPr>
            </w:pPr>
            <w:r>
              <w:rPr>
                <w:spacing w:val="-2"/>
                <w:sz w:val="22"/>
                <w:szCs w:val="22"/>
              </w:rPr>
              <w:t>2F,混凝</w:t>
            </w:r>
          </w:p>
          <w:p w14:paraId="2D5968D7">
            <w:pPr>
              <w:pStyle w:val="6"/>
              <w:spacing w:before="25" w:line="219" w:lineRule="auto"/>
              <w:ind w:left="53"/>
              <w:rPr>
                <w:sz w:val="22"/>
                <w:szCs w:val="22"/>
              </w:rPr>
            </w:pPr>
            <w:r>
              <w:rPr>
                <w:spacing w:val="3"/>
                <w:sz w:val="22"/>
                <w:szCs w:val="22"/>
              </w:rPr>
              <w:t>土框架结</w:t>
            </w:r>
          </w:p>
          <w:p w14:paraId="2BEB9928">
            <w:pPr>
              <w:pStyle w:val="6"/>
              <w:spacing w:before="8" w:line="219" w:lineRule="auto"/>
              <w:ind w:left="164"/>
              <w:rPr>
                <w:sz w:val="22"/>
                <w:szCs w:val="22"/>
              </w:rPr>
            </w:pPr>
            <w:r>
              <w:rPr>
                <w:spacing w:val="3"/>
                <w:sz w:val="22"/>
                <w:szCs w:val="22"/>
              </w:rPr>
              <w:t>构平顶</w:t>
            </w:r>
          </w:p>
        </w:tc>
        <w:tc>
          <w:tcPr>
            <w:tcW w:w="609" w:type="dxa"/>
            <w:gridSpan w:val="2"/>
            <w:vAlign w:val="top"/>
          </w:tcPr>
          <w:p w14:paraId="74A0CACB">
            <w:pPr>
              <w:spacing w:line="387" w:lineRule="auto"/>
              <w:rPr>
                <w:rFonts w:ascii="Arial"/>
                <w:sz w:val="21"/>
              </w:rPr>
            </w:pPr>
          </w:p>
          <w:p w14:paraId="62DFAA3D">
            <w:pPr>
              <w:pStyle w:val="6"/>
              <w:spacing w:before="72"/>
              <w:ind w:left="245"/>
              <w:rPr>
                <w:sz w:val="22"/>
                <w:szCs w:val="22"/>
              </w:rPr>
            </w:pPr>
            <w:r>
              <w:rPr>
                <w:sz w:val="22"/>
                <w:szCs w:val="22"/>
              </w:rPr>
              <w:t>6</w:t>
            </w:r>
          </w:p>
        </w:tc>
        <w:tc>
          <w:tcPr>
            <w:tcW w:w="649" w:type="dxa"/>
            <w:vAlign w:val="top"/>
          </w:tcPr>
          <w:p w14:paraId="4AA9A84F">
            <w:pPr>
              <w:spacing w:line="369" w:lineRule="auto"/>
              <w:rPr>
                <w:rFonts w:ascii="Arial"/>
                <w:sz w:val="21"/>
              </w:rPr>
            </w:pPr>
          </w:p>
          <w:p w14:paraId="2479F8AD">
            <w:pPr>
              <w:pStyle w:val="6"/>
              <w:spacing w:before="72" w:line="222" w:lineRule="auto"/>
              <w:ind w:left="95"/>
              <w:rPr>
                <w:sz w:val="22"/>
                <w:szCs w:val="22"/>
              </w:rPr>
            </w:pPr>
            <w:r>
              <w:rPr>
                <w:spacing w:val="3"/>
                <w:sz w:val="22"/>
                <w:szCs w:val="22"/>
              </w:rPr>
              <w:t>10人</w:t>
            </w:r>
          </w:p>
        </w:tc>
        <w:tc>
          <w:tcPr>
            <w:tcW w:w="509" w:type="dxa"/>
            <w:textDirection w:val="tbRlV"/>
            <w:vAlign w:val="top"/>
          </w:tcPr>
          <w:p w14:paraId="280DBDFA">
            <w:pPr>
              <w:pStyle w:val="6"/>
              <w:spacing w:before="143" w:line="199" w:lineRule="auto"/>
              <w:rPr>
                <w:sz w:val="22"/>
                <w:szCs w:val="22"/>
              </w:rPr>
            </w:pPr>
            <w:r>
              <w:rPr>
                <w:spacing w:val="49"/>
                <w:sz w:val="22"/>
                <w:szCs w:val="22"/>
              </w:rPr>
              <w:t>办公居住</w:t>
            </w:r>
          </w:p>
        </w:tc>
        <w:tc>
          <w:tcPr>
            <w:tcW w:w="2362" w:type="dxa"/>
            <w:gridSpan w:val="2"/>
            <w:vAlign w:val="top"/>
          </w:tcPr>
          <w:p w14:paraId="61D26DCD">
            <w:pPr>
              <w:pStyle w:val="6"/>
              <w:spacing w:before="40" w:line="219" w:lineRule="auto"/>
              <w:ind w:left="77"/>
              <w:rPr>
                <w:sz w:val="22"/>
                <w:szCs w:val="22"/>
              </w:rPr>
            </w:pPr>
            <w:r>
              <w:rPr>
                <w:spacing w:val="-2"/>
                <w:sz w:val="22"/>
                <w:szCs w:val="22"/>
              </w:rPr>
              <w:t>《电磁环境控制限值》</w:t>
            </w:r>
          </w:p>
          <w:p w14:paraId="1F9DC5DE">
            <w:pPr>
              <w:pStyle w:val="6"/>
              <w:spacing w:before="9" w:line="220" w:lineRule="auto"/>
              <w:ind w:left="17"/>
              <w:rPr>
                <w:sz w:val="22"/>
                <w:szCs w:val="22"/>
              </w:rPr>
            </w:pPr>
            <w:r>
              <w:rPr>
                <w:sz w:val="22"/>
                <w:szCs w:val="22"/>
              </w:rPr>
              <w:t>(GB8702-2014)工频电场</w:t>
            </w:r>
          </w:p>
          <w:p w14:paraId="476819F6">
            <w:pPr>
              <w:pStyle w:val="6"/>
              <w:spacing w:before="7" w:line="220" w:lineRule="auto"/>
              <w:jc w:val="right"/>
              <w:rPr>
                <w:sz w:val="22"/>
                <w:szCs w:val="22"/>
              </w:rPr>
            </w:pPr>
            <w:r>
              <w:rPr>
                <w:spacing w:val="-15"/>
                <w:sz w:val="22"/>
                <w:szCs w:val="22"/>
              </w:rPr>
              <w:t>强度40</w:t>
            </w:r>
            <w:r>
              <w:rPr>
                <w:spacing w:val="-14"/>
                <w:sz w:val="22"/>
                <w:szCs w:val="22"/>
              </w:rPr>
              <w:t>00V/m和工频磁感</w:t>
            </w:r>
            <w:r>
              <w:rPr>
                <w:spacing w:val="-10"/>
                <w:sz w:val="22"/>
                <w:szCs w:val="22"/>
              </w:rPr>
              <w:t>应</w:t>
            </w:r>
          </w:p>
          <w:p w14:paraId="0949358E">
            <w:pPr>
              <w:pStyle w:val="6"/>
              <w:spacing w:before="17" w:line="192" w:lineRule="auto"/>
              <w:ind w:left="347"/>
              <w:rPr>
                <w:sz w:val="22"/>
                <w:szCs w:val="22"/>
              </w:rPr>
            </w:pPr>
            <w:r>
              <w:rPr>
                <w:spacing w:val="4"/>
                <w:sz w:val="22"/>
                <w:szCs w:val="22"/>
              </w:rPr>
              <w:t>强度限值100μT;</w:t>
            </w:r>
          </w:p>
        </w:tc>
      </w:tr>
      <w:tr w14:paraId="71AC4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545" w:type="dxa"/>
            <w:gridSpan w:val="2"/>
            <w:vMerge w:val="continue"/>
            <w:tcBorders>
              <w:top w:val="nil"/>
              <w:bottom w:val="nil"/>
            </w:tcBorders>
            <w:vAlign w:val="top"/>
          </w:tcPr>
          <w:p w14:paraId="31399264">
            <w:pPr>
              <w:rPr>
                <w:rFonts w:ascii="Arial"/>
                <w:sz w:val="21"/>
              </w:rPr>
            </w:pPr>
          </w:p>
        </w:tc>
        <w:tc>
          <w:tcPr>
            <w:tcW w:w="8494" w:type="dxa"/>
            <w:gridSpan w:val="13"/>
            <w:vAlign w:val="top"/>
          </w:tcPr>
          <w:p w14:paraId="44B4F52C">
            <w:pPr>
              <w:pStyle w:val="6"/>
              <w:spacing w:before="30" w:line="377" w:lineRule="auto"/>
              <w:ind w:left="1203" w:right="1204" w:hanging="633"/>
              <w:rPr>
                <w:sz w:val="22"/>
                <w:szCs w:val="22"/>
              </w:rPr>
            </w:pPr>
            <w:r>
              <w:rPr>
                <w:sz w:val="22"/>
                <w:szCs w:val="22"/>
              </w:rPr>
              <w:t>项目与生态保护红线和永久基本农田的位置关系见下表，详见附图</w:t>
            </w:r>
            <w:r>
              <w:rPr>
                <w:spacing w:val="-1"/>
                <w:sz w:val="22"/>
                <w:szCs w:val="22"/>
              </w:rPr>
              <w:t>7。</w:t>
            </w:r>
            <w:r>
              <w:rPr>
                <w:sz w:val="22"/>
                <w:szCs w:val="22"/>
              </w:rPr>
              <w:t xml:space="preserve"> </w:t>
            </w:r>
            <w:r>
              <w:rPr>
                <w:b/>
                <w:bCs/>
                <w:spacing w:val="-2"/>
                <w:sz w:val="22"/>
                <w:szCs w:val="22"/>
              </w:rPr>
              <w:t>表3-10项目与生态保护红线、永久基本农田的位置关系</w:t>
            </w:r>
          </w:p>
        </w:tc>
      </w:tr>
      <w:tr w14:paraId="1B38F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545" w:type="dxa"/>
            <w:gridSpan w:val="2"/>
            <w:vMerge w:val="continue"/>
            <w:tcBorders>
              <w:top w:val="nil"/>
              <w:bottom w:val="nil"/>
            </w:tcBorders>
            <w:vAlign w:val="top"/>
          </w:tcPr>
          <w:p w14:paraId="6F3B544E">
            <w:pPr>
              <w:rPr>
                <w:rFonts w:ascii="Arial"/>
                <w:sz w:val="21"/>
              </w:rPr>
            </w:pPr>
          </w:p>
        </w:tc>
        <w:tc>
          <w:tcPr>
            <w:tcW w:w="4505" w:type="dxa"/>
            <w:gridSpan w:val="8"/>
            <w:vAlign w:val="top"/>
          </w:tcPr>
          <w:p w14:paraId="7495BDC3">
            <w:pPr>
              <w:pStyle w:val="6"/>
              <w:spacing w:before="22" w:line="191" w:lineRule="auto"/>
              <w:ind w:left="1809"/>
              <w:rPr>
                <w:sz w:val="22"/>
                <w:szCs w:val="22"/>
              </w:rPr>
            </w:pPr>
            <w:r>
              <w:rPr>
                <w:spacing w:val="3"/>
                <w:sz w:val="22"/>
                <w:szCs w:val="22"/>
              </w:rPr>
              <w:t>生态红线</w:t>
            </w:r>
          </w:p>
        </w:tc>
        <w:tc>
          <w:tcPr>
            <w:tcW w:w="3989" w:type="dxa"/>
            <w:gridSpan w:val="5"/>
            <w:vAlign w:val="top"/>
          </w:tcPr>
          <w:p w14:paraId="4CADC390">
            <w:pPr>
              <w:pStyle w:val="6"/>
              <w:spacing w:before="21" w:line="192" w:lineRule="auto"/>
              <w:ind w:left="1354"/>
              <w:rPr>
                <w:sz w:val="22"/>
                <w:szCs w:val="22"/>
              </w:rPr>
            </w:pPr>
            <w:r>
              <w:rPr>
                <w:spacing w:val="4"/>
                <w:sz w:val="22"/>
                <w:szCs w:val="22"/>
              </w:rPr>
              <w:t>永久基本农田</w:t>
            </w:r>
          </w:p>
        </w:tc>
      </w:tr>
      <w:tr w14:paraId="089AD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545" w:type="dxa"/>
            <w:gridSpan w:val="2"/>
            <w:vMerge w:val="continue"/>
            <w:tcBorders>
              <w:top w:val="nil"/>
              <w:bottom w:val="nil"/>
            </w:tcBorders>
            <w:vAlign w:val="top"/>
          </w:tcPr>
          <w:p w14:paraId="335EE026">
            <w:pPr>
              <w:rPr>
                <w:rFonts w:ascii="Arial"/>
                <w:sz w:val="21"/>
              </w:rPr>
            </w:pPr>
          </w:p>
        </w:tc>
        <w:tc>
          <w:tcPr>
            <w:tcW w:w="1458" w:type="dxa"/>
            <w:gridSpan w:val="3"/>
            <w:vAlign w:val="top"/>
          </w:tcPr>
          <w:p w14:paraId="0781B4E2">
            <w:pPr>
              <w:pStyle w:val="6"/>
              <w:spacing w:before="21" w:line="192" w:lineRule="auto"/>
              <w:ind w:left="389"/>
              <w:rPr>
                <w:sz w:val="22"/>
                <w:szCs w:val="22"/>
              </w:rPr>
            </w:pPr>
            <w:r>
              <w:rPr>
                <w:spacing w:val="14"/>
                <w:sz w:val="22"/>
                <w:szCs w:val="22"/>
              </w:rPr>
              <w:t>本项目</w:t>
            </w:r>
          </w:p>
        </w:tc>
        <w:tc>
          <w:tcPr>
            <w:tcW w:w="3047" w:type="dxa"/>
            <w:gridSpan w:val="5"/>
            <w:vAlign w:val="top"/>
          </w:tcPr>
          <w:p w14:paraId="67DE6048">
            <w:pPr>
              <w:pStyle w:val="6"/>
              <w:spacing w:before="22" w:line="191" w:lineRule="auto"/>
              <w:ind w:left="141"/>
              <w:rPr>
                <w:sz w:val="22"/>
                <w:szCs w:val="22"/>
              </w:rPr>
            </w:pPr>
            <w:r>
              <w:rPr>
                <w:spacing w:val="3"/>
                <w:sz w:val="22"/>
                <w:szCs w:val="22"/>
              </w:rPr>
              <w:t>距生态保护红线最近距离(m)</w:t>
            </w:r>
          </w:p>
        </w:tc>
        <w:tc>
          <w:tcPr>
            <w:tcW w:w="1118" w:type="dxa"/>
            <w:gridSpan w:val="2"/>
            <w:vAlign w:val="top"/>
          </w:tcPr>
          <w:p w14:paraId="55857D67">
            <w:pPr>
              <w:pStyle w:val="6"/>
              <w:spacing w:before="21" w:line="192" w:lineRule="auto"/>
              <w:ind w:left="224"/>
              <w:rPr>
                <w:sz w:val="22"/>
                <w:szCs w:val="22"/>
              </w:rPr>
            </w:pPr>
            <w:r>
              <w:rPr>
                <w:spacing w:val="14"/>
                <w:sz w:val="22"/>
                <w:szCs w:val="22"/>
              </w:rPr>
              <w:t>本项目</w:t>
            </w:r>
          </w:p>
        </w:tc>
        <w:tc>
          <w:tcPr>
            <w:tcW w:w="2871" w:type="dxa"/>
            <w:gridSpan w:val="3"/>
            <w:vAlign w:val="top"/>
          </w:tcPr>
          <w:p w14:paraId="0870E41E">
            <w:pPr>
              <w:pStyle w:val="6"/>
              <w:spacing w:before="21" w:line="192" w:lineRule="auto"/>
              <w:ind w:right="5"/>
              <w:jc w:val="right"/>
              <w:rPr>
                <w:sz w:val="22"/>
                <w:szCs w:val="22"/>
              </w:rPr>
            </w:pPr>
            <w:r>
              <w:rPr>
                <w:spacing w:val="3"/>
                <w:sz w:val="22"/>
                <w:szCs w:val="22"/>
              </w:rPr>
              <w:t>距永久基本农田最近距离(m)</w:t>
            </w:r>
          </w:p>
        </w:tc>
      </w:tr>
      <w:tr w14:paraId="6EA73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45" w:type="dxa"/>
            <w:gridSpan w:val="2"/>
            <w:vMerge w:val="continue"/>
            <w:tcBorders>
              <w:top w:val="nil"/>
              <w:bottom w:val="nil"/>
            </w:tcBorders>
            <w:vAlign w:val="top"/>
          </w:tcPr>
          <w:p w14:paraId="1ACE89A5">
            <w:pPr>
              <w:rPr>
                <w:rFonts w:ascii="Arial"/>
                <w:sz w:val="21"/>
              </w:rPr>
            </w:pPr>
          </w:p>
        </w:tc>
        <w:tc>
          <w:tcPr>
            <w:tcW w:w="1458" w:type="dxa"/>
            <w:gridSpan w:val="3"/>
            <w:vAlign w:val="top"/>
          </w:tcPr>
          <w:p w14:paraId="0373AC02">
            <w:pPr>
              <w:pStyle w:val="6"/>
              <w:spacing w:before="172" w:line="219" w:lineRule="auto"/>
              <w:ind w:left="60"/>
              <w:rPr>
                <w:sz w:val="22"/>
                <w:szCs w:val="22"/>
              </w:rPr>
            </w:pPr>
            <w:r>
              <w:rPr>
                <w:spacing w:val="2"/>
                <w:sz w:val="22"/>
                <w:szCs w:val="22"/>
              </w:rPr>
              <w:t>地块一1#阵列</w:t>
            </w:r>
          </w:p>
        </w:tc>
        <w:tc>
          <w:tcPr>
            <w:tcW w:w="3047" w:type="dxa"/>
            <w:gridSpan w:val="5"/>
            <w:vAlign w:val="top"/>
          </w:tcPr>
          <w:p w14:paraId="22C83FC5">
            <w:pPr>
              <w:pStyle w:val="6"/>
              <w:spacing w:before="172" w:line="219" w:lineRule="auto"/>
              <w:ind w:left="1071"/>
              <w:rPr>
                <w:sz w:val="22"/>
                <w:szCs w:val="22"/>
              </w:rPr>
            </w:pPr>
            <w:r>
              <w:rPr>
                <w:spacing w:val="-3"/>
                <w:sz w:val="22"/>
                <w:szCs w:val="22"/>
              </w:rPr>
              <w:t>东北侧7m</w:t>
            </w:r>
          </w:p>
        </w:tc>
        <w:tc>
          <w:tcPr>
            <w:tcW w:w="1118" w:type="dxa"/>
            <w:gridSpan w:val="2"/>
            <w:vAlign w:val="top"/>
          </w:tcPr>
          <w:p w14:paraId="041D26AF">
            <w:pPr>
              <w:pStyle w:val="6"/>
              <w:spacing w:before="42" w:line="213" w:lineRule="auto"/>
              <w:ind w:left="334" w:right="121" w:hanging="219"/>
              <w:rPr>
                <w:sz w:val="22"/>
                <w:szCs w:val="22"/>
              </w:rPr>
            </w:pPr>
            <w:r>
              <w:rPr>
                <w:spacing w:val="-2"/>
                <w:sz w:val="22"/>
                <w:szCs w:val="22"/>
              </w:rPr>
              <w:t>地块一6#</w:t>
            </w:r>
            <w:r>
              <w:rPr>
                <w:sz w:val="22"/>
                <w:szCs w:val="22"/>
              </w:rPr>
              <w:t xml:space="preserve"> </w:t>
            </w:r>
            <w:r>
              <w:rPr>
                <w:spacing w:val="8"/>
                <w:sz w:val="22"/>
                <w:szCs w:val="22"/>
              </w:rPr>
              <w:t>阵列</w:t>
            </w:r>
          </w:p>
        </w:tc>
        <w:tc>
          <w:tcPr>
            <w:tcW w:w="2871" w:type="dxa"/>
            <w:gridSpan w:val="3"/>
            <w:vAlign w:val="top"/>
          </w:tcPr>
          <w:p w14:paraId="430442D0">
            <w:pPr>
              <w:pStyle w:val="6"/>
              <w:spacing w:before="172" w:line="219" w:lineRule="auto"/>
              <w:ind w:left="1046"/>
              <w:rPr>
                <w:sz w:val="22"/>
                <w:szCs w:val="22"/>
              </w:rPr>
            </w:pPr>
            <w:r>
              <w:rPr>
                <w:spacing w:val="-2"/>
                <w:sz w:val="22"/>
                <w:szCs w:val="22"/>
              </w:rPr>
              <w:t>南侧/7m</w:t>
            </w:r>
          </w:p>
        </w:tc>
      </w:tr>
      <w:tr w14:paraId="77956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545" w:type="dxa"/>
            <w:gridSpan w:val="2"/>
            <w:vMerge w:val="continue"/>
            <w:tcBorders>
              <w:top w:val="nil"/>
              <w:bottom w:val="nil"/>
            </w:tcBorders>
            <w:vAlign w:val="top"/>
          </w:tcPr>
          <w:p w14:paraId="1947844B">
            <w:pPr>
              <w:rPr>
                <w:rFonts w:ascii="Arial"/>
                <w:sz w:val="21"/>
              </w:rPr>
            </w:pPr>
          </w:p>
        </w:tc>
        <w:tc>
          <w:tcPr>
            <w:tcW w:w="1458" w:type="dxa"/>
            <w:gridSpan w:val="3"/>
            <w:vAlign w:val="top"/>
          </w:tcPr>
          <w:p w14:paraId="5D1C35E0">
            <w:pPr>
              <w:pStyle w:val="6"/>
              <w:spacing w:before="162" w:line="220" w:lineRule="auto"/>
              <w:ind w:left="389"/>
              <w:rPr>
                <w:sz w:val="22"/>
                <w:szCs w:val="22"/>
              </w:rPr>
            </w:pPr>
            <w:r>
              <w:rPr>
                <w:spacing w:val="4"/>
                <w:sz w:val="22"/>
                <w:szCs w:val="22"/>
              </w:rPr>
              <w:t>地块二</w:t>
            </w:r>
          </w:p>
        </w:tc>
        <w:tc>
          <w:tcPr>
            <w:tcW w:w="3047" w:type="dxa"/>
            <w:gridSpan w:val="5"/>
            <w:vAlign w:val="top"/>
          </w:tcPr>
          <w:p w14:paraId="1DD71829">
            <w:pPr>
              <w:pStyle w:val="6"/>
              <w:spacing w:before="168" w:line="224" w:lineRule="auto"/>
              <w:ind w:left="1461"/>
              <w:rPr>
                <w:sz w:val="22"/>
                <w:szCs w:val="22"/>
              </w:rPr>
            </w:pPr>
            <w:r>
              <w:rPr>
                <w:sz w:val="22"/>
                <w:szCs w:val="22"/>
              </w:rPr>
              <w:t>/</w:t>
            </w:r>
          </w:p>
        </w:tc>
        <w:tc>
          <w:tcPr>
            <w:tcW w:w="1118" w:type="dxa"/>
            <w:gridSpan w:val="2"/>
            <w:vAlign w:val="top"/>
          </w:tcPr>
          <w:p w14:paraId="79C8B95C">
            <w:pPr>
              <w:pStyle w:val="6"/>
              <w:spacing w:before="33" w:line="208" w:lineRule="auto"/>
              <w:ind w:left="334" w:right="121" w:hanging="219"/>
              <w:rPr>
                <w:sz w:val="22"/>
                <w:szCs w:val="22"/>
              </w:rPr>
            </w:pPr>
            <w:r>
              <w:rPr>
                <w:spacing w:val="-2"/>
                <w:sz w:val="22"/>
                <w:szCs w:val="22"/>
              </w:rPr>
              <w:t>地块二8#</w:t>
            </w:r>
            <w:r>
              <w:rPr>
                <w:sz w:val="22"/>
                <w:szCs w:val="22"/>
              </w:rPr>
              <w:t xml:space="preserve"> </w:t>
            </w:r>
            <w:r>
              <w:rPr>
                <w:spacing w:val="8"/>
                <w:sz w:val="22"/>
                <w:szCs w:val="22"/>
              </w:rPr>
              <w:t>阵列</w:t>
            </w:r>
          </w:p>
        </w:tc>
        <w:tc>
          <w:tcPr>
            <w:tcW w:w="2871" w:type="dxa"/>
            <w:gridSpan w:val="3"/>
            <w:vAlign w:val="top"/>
          </w:tcPr>
          <w:p w14:paraId="58DC5A47">
            <w:pPr>
              <w:pStyle w:val="6"/>
              <w:spacing w:before="162" w:line="219" w:lineRule="auto"/>
              <w:ind w:left="1046"/>
              <w:rPr>
                <w:sz w:val="22"/>
                <w:szCs w:val="22"/>
              </w:rPr>
            </w:pPr>
            <w:r>
              <w:rPr>
                <w:spacing w:val="-2"/>
                <w:sz w:val="22"/>
                <w:szCs w:val="22"/>
              </w:rPr>
              <w:t>南侧/9m</w:t>
            </w:r>
          </w:p>
        </w:tc>
      </w:tr>
      <w:tr w14:paraId="6B906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45" w:type="dxa"/>
            <w:gridSpan w:val="2"/>
            <w:vMerge w:val="continue"/>
            <w:tcBorders>
              <w:top w:val="nil"/>
              <w:bottom w:val="nil"/>
            </w:tcBorders>
            <w:vAlign w:val="top"/>
          </w:tcPr>
          <w:p w14:paraId="67C06F82">
            <w:pPr>
              <w:rPr>
                <w:rFonts w:ascii="Arial"/>
                <w:sz w:val="21"/>
              </w:rPr>
            </w:pPr>
          </w:p>
        </w:tc>
        <w:tc>
          <w:tcPr>
            <w:tcW w:w="1458" w:type="dxa"/>
            <w:gridSpan w:val="3"/>
            <w:vAlign w:val="top"/>
          </w:tcPr>
          <w:p w14:paraId="67F89E68">
            <w:pPr>
              <w:pStyle w:val="6"/>
              <w:spacing w:before="163" w:line="219" w:lineRule="auto"/>
              <w:jc w:val="right"/>
              <w:rPr>
                <w:sz w:val="22"/>
                <w:szCs w:val="22"/>
              </w:rPr>
            </w:pPr>
            <w:r>
              <w:rPr>
                <w:spacing w:val="2"/>
                <w:sz w:val="22"/>
                <w:szCs w:val="22"/>
              </w:rPr>
              <w:t>地块三19#阵列</w:t>
            </w:r>
          </w:p>
        </w:tc>
        <w:tc>
          <w:tcPr>
            <w:tcW w:w="3047" w:type="dxa"/>
            <w:gridSpan w:val="5"/>
            <w:vAlign w:val="top"/>
          </w:tcPr>
          <w:p w14:paraId="72B0F1FB">
            <w:pPr>
              <w:pStyle w:val="6"/>
              <w:spacing w:before="163" w:line="219" w:lineRule="auto"/>
              <w:ind w:left="1071"/>
              <w:rPr>
                <w:sz w:val="22"/>
                <w:szCs w:val="22"/>
              </w:rPr>
            </w:pPr>
            <w:r>
              <w:rPr>
                <w:spacing w:val="-3"/>
                <w:sz w:val="22"/>
                <w:szCs w:val="22"/>
              </w:rPr>
              <w:t>东北侧7m</w:t>
            </w:r>
          </w:p>
        </w:tc>
        <w:tc>
          <w:tcPr>
            <w:tcW w:w="1118" w:type="dxa"/>
            <w:gridSpan w:val="2"/>
            <w:vAlign w:val="top"/>
          </w:tcPr>
          <w:p w14:paraId="3455163D">
            <w:pPr>
              <w:pStyle w:val="6"/>
              <w:spacing w:before="43" w:line="200" w:lineRule="auto"/>
              <w:ind w:left="334" w:right="71" w:hanging="280"/>
              <w:rPr>
                <w:sz w:val="22"/>
                <w:szCs w:val="22"/>
              </w:rPr>
            </w:pPr>
            <w:r>
              <w:rPr>
                <w:spacing w:val="-2"/>
                <w:sz w:val="22"/>
                <w:szCs w:val="22"/>
              </w:rPr>
              <w:t>地块三12#</w:t>
            </w:r>
            <w:r>
              <w:rPr>
                <w:spacing w:val="2"/>
                <w:sz w:val="22"/>
                <w:szCs w:val="22"/>
              </w:rPr>
              <w:t xml:space="preserve"> </w:t>
            </w:r>
            <w:r>
              <w:rPr>
                <w:spacing w:val="8"/>
                <w:sz w:val="22"/>
                <w:szCs w:val="22"/>
              </w:rPr>
              <w:t>阵列</w:t>
            </w:r>
          </w:p>
        </w:tc>
        <w:tc>
          <w:tcPr>
            <w:tcW w:w="2871" w:type="dxa"/>
            <w:gridSpan w:val="3"/>
            <w:vAlign w:val="top"/>
          </w:tcPr>
          <w:p w14:paraId="57DDD0CD">
            <w:pPr>
              <w:pStyle w:val="6"/>
              <w:spacing w:before="163" w:line="219" w:lineRule="auto"/>
              <w:ind w:left="1046"/>
              <w:rPr>
                <w:sz w:val="22"/>
                <w:szCs w:val="22"/>
              </w:rPr>
            </w:pPr>
            <w:r>
              <w:rPr>
                <w:spacing w:val="-3"/>
                <w:sz w:val="22"/>
                <w:szCs w:val="22"/>
              </w:rPr>
              <w:t>东侧/8m</w:t>
            </w:r>
          </w:p>
        </w:tc>
      </w:tr>
      <w:tr w14:paraId="11513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545" w:type="dxa"/>
            <w:gridSpan w:val="2"/>
            <w:vMerge w:val="continue"/>
            <w:tcBorders>
              <w:top w:val="nil"/>
              <w:bottom w:val="nil"/>
            </w:tcBorders>
            <w:vAlign w:val="top"/>
          </w:tcPr>
          <w:p w14:paraId="78E6468E">
            <w:pPr>
              <w:rPr>
                <w:rFonts w:ascii="Arial"/>
                <w:sz w:val="21"/>
              </w:rPr>
            </w:pPr>
          </w:p>
        </w:tc>
        <w:tc>
          <w:tcPr>
            <w:tcW w:w="1458" w:type="dxa"/>
            <w:gridSpan w:val="3"/>
            <w:vAlign w:val="top"/>
          </w:tcPr>
          <w:p w14:paraId="238865AF">
            <w:pPr>
              <w:pStyle w:val="6"/>
              <w:spacing w:before="303" w:line="220" w:lineRule="auto"/>
              <w:ind w:left="389"/>
              <w:rPr>
                <w:sz w:val="22"/>
                <w:szCs w:val="22"/>
              </w:rPr>
            </w:pPr>
            <w:r>
              <w:rPr>
                <w:spacing w:val="7"/>
                <w:sz w:val="22"/>
                <w:szCs w:val="22"/>
              </w:rPr>
              <w:t>地块四</w:t>
            </w:r>
          </w:p>
        </w:tc>
        <w:tc>
          <w:tcPr>
            <w:tcW w:w="3047" w:type="dxa"/>
            <w:gridSpan w:val="5"/>
            <w:vAlign w:val="top"/>
          </w:tcPr>
          <w:p w14:paraId="34DD8C06">
            <w:pPr>
              <w:pStyle w:val="6"/>
              <w:spacing w:before="309" w:line="224" w:lineRule="auto"/>
              <w:ind w:left="1461"/>
              <w:rPr>
                <w:sz w:val="22"/>
                <w:szCs w:val="22"/>
              </w:rPr>
            </w:pPr>
            <w:r>
              <w:rPr>
                <w:sz w:val="22"/>
                <w:szCs w:val="22"/>
              </w:rPr>
              <w:t>/</w:t>
            </w:r>
          </w:p>
        </w:tc>
        <w:tc>
          <w:tcPr>
            <w:tcW w:w="1118" w:type="dxa"/>
            <w:gridSpan w:val="2"/>
            <w:vAlign w:val="top"/>
          </w:tcPr>
          <w:p w14:paraId="18441699">
            <w:pPr>
              <w:pStyle w:val="6"/>
              <w:spacing w:before="53" w:line="220" w:lineRule="auto"/>
              <w:ind w:left="224"/>
              <w:rPr>
                <w:sz w:val="22"/>
                <w:szCs w:val="22"/>
              </w:rPr>
            </w:pPr>
            <w:r>
              <w:rPr>
                <w:spacing w:val="-2"/>
                <w:sz w:val="22"/>
                <w:szCs w:val="22"/>
              </w:rPr>
              <w:t>地块三</w:t>
            </w:r>
          </w:p>
          <w:p w14:paraId="6F1A0D67">
            <w:pPr>
              <w:pStyle w:val="6"/>
              <w:spacing w:before="22" w:line="188" w:lineRule="auto"/>
              <w:ind w:left="54"/>
              <w:rPr>
                <w:sz w:val="22"/>
                <w:szCs w:val="22"/>
              </w:rPr>
            </w:pPr>
            <w:r>
              <w:rPr>
                <w:spacing w:val="-2"/>
                <w:sz w:val="22"/>
                <w:szCs w:val="22"/>
              </w:rPr>
              <w:t>24/27/28#</w:t>
            </w:r>
          </w:p>
          <w:p w14:paraId="531879BC">
            <w:pPr>
              <w:pStyle w:val="6"/>
              <w:spacing w:line="198" w:lineRule="auto"/>
              <w:ind w:left="334"/>
              <w:rPr>
                <w:sz w:val="22"/>
                <w:szCs w:val="22"/>
              </w:rPr>
            </w:pPr>
            <w:r>
              <w:rPr>
                <w:spacing w:val="8"/>
                <w:sz w:val="22"/>
                <w:szCs w:val="22"/>
              </w:rPr>
              <w:t>阵列</w:t>
            </w:r>
          </w:p>
        </w:tc>
        <w:tc>
          <w:tcPr>
            <w:tcW w:w="2871" w:type="dxa"/>
            <w:gridSpan w:val="3"/>
            <w:vAlign w:val="top"/>
          </w:tcPr>
          <w:p w14:paraId="5CF3D487">
            <w:pPr>
              <w:pStyle w:val="6"/>
              <w:spacing w:before="303" w:line="219" w:lineRule="auto"/>
              <w:ind w:left="826"/>
              <w:rPr>
                <w:sz w:val="22"/>
                <w:szCs w:val="22"/>
              </w:rPr>
            </w:pPr>
            <w:r>
              <w:rPr>
                <w:spacing w:val="-2"/>
                <w:sz w:val="22"/>
                <w:szCs w:val="22"/>
              </w:rPr>
              <w:t>西、北侧/8m</w:t>
            </w:r>
          </w:p>
        </w:tc>
      </w:tr>
      <w:tr w14:paraId="33414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45" w:type="dxa"/>
            <w:gridSpan w:val="2"/>
            <w:vMerge w:val="continue"/>
            <w:tcBorders>
              <w:top w:val="nil"/>
            </w:tcBorders>
            <w:vAlign w:val="top"/>
          </w:tcPr>
          <w:p w14:paraId="43CB112B">
            <w:pPr>
              <w:rPr>
                <w:rFonts w:ascii="Arial"/>
                <w:sz w:val="21"/>
              </w:rPr>
            </w:pPr>
          </w:p>
        </w:tc>
        <w:tc>
          <w:tcPr>
            <w:tcW w:w="1458" w:type="dxa"/>
            <w:gridSpan w:val="3"/>
            <w:vAlign w:val="top"/>
          </w:tcPr>
          <w:p w14:paraId="4FBCD5C4">
            <w:pPr>
              <w:pStyle w:val="6"/>
              <w:spacing w:before="164" w:line="219" w:lineRule="auto"/>
              <w:jc w:val="right"/>
              <w:rPr>
                <w:sz w:val="22"/>
                <w:szCs w:val="22"/>
              </w:rPr>
            </w:pPr>
            <w:r>
              <w:rPr>
                <w:spacing w:val="2"/>
                <w:sz w:val="22"/>
                <w:szCs w:val="22"/>
              </w:rPr>
              <w:t>地块五31#阵列</w:t>
            </w:r>
          </w:p>
        </w:tc>
        <w:tc>
          <w:tcPr>
            <w:tcW w:w="3047" w:type="dxa"/>
            <w:gridSpan w:val="5"/>
            <w:vAlign w:val="top"/>
          </w:tcPr>
          <w:p w14:paraId="43CBA8ED">
            <w:pPr>
              <w:pStyle w:val="6"/>
              <w:spacing w:before="164" w:line="219" w:lineRule="auto"/>
              <w:ind w:left="1131"/>
              <w:rPr>
                <w:sz w:val="22"/>
                <w:szCs w:val="22"/>
              </w:rPr>
            </w:pPr>
            <w:r>
              <w:rPr>
                <w:spacing w:val="-3"/>
                <w:sz w:val="22"/>
                <w:szCs w:val="22"/>
              </w:rPr>
              <w:t>东侧/8m</w:t>
            </w:r>
          </w:p>
        </w:tc>
        <w:tc>
          <w:tcPr>
            <w:tcW w:w="1118" w:type="dxa"/>
            <w:gridSpan w:val="2"/>
            <w:vAlign w:val="top"/>
          </w:tcPr>
          <w:p w14:paraId="095E54A3">
            <w:pPr>
              <w:pStyle w:val="6"/>
              <w:spacing w:before="45" w:line="199" w:lineRule="auto"/>
              <w:ind w:left="334" w:right="71" w:hanging="280"/>
              <w:rPr>
                <w:sz w:val="22"/>
                <w:szCs w:val="22"/>
              </w:rPr>
            </w:pPr>
            <w:r>
              <w:rPr>
                <w:spacing w:val="-2"/>
                <w:sz w:val="22"/>
                <w:szCs w:val="22"/>
              </w:rPr>
              <w:t>地块五31#</w:t>
            </w:r>
            <w:r>
              <w:rPr>
                <w:spacing w:val="2"/>
                <w:sz w:val="22"/>
                <w:szCs w:val="22"/>
              </w:rPr>
              <w:t xml:space="preserve"> </w:t>
            </w:r>
            <w:r>
              <w:rPr>
                <w:spacing w:val="8"/>
                <w:sz w:val="22"/>
                <w:szCs w:val="22"/>
              </w:rPr>
              <w:t>阵列</w:t>
            </w:r>
          </w:p>
        </w:tc>
        <w:tc>
          <w:tcPr>
            <w:tcW w:w="2871" w:type="dxa"/>
            <w:gridSpan w:val="3"/>
            <w:vAlign w:val="top"/>
          </w:tcPr>
          <w:p w14:paraId="433D9052">
            <w:pPr>
              <w:pStyle w:val="6"/>
              <w:spacing w:before="164" w:line="219" w:lineRule="auto"/>
              <w:ind w:left="1046"/>
              <w:rPr>
                <w:sz w:val="22"/>
                <w:szCs w:val="22"/>
              </w:rPr>
            </w:pPr>
            <w:r>
              <w:rPr>
                <w:spacing w:val="-3"/>
                <w:sz w:val="22"/>
                <w:szCs w:val="22"/>
              </w:rPr>
              <w:t>西侧/6m</w:t>
            </w:r>
          </w:p>
        </w:tc>
      </w:tr>
      <w:tr w14:paraId="767A3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325" w:type="dxa"/>
            <w:vMerge w:val="restart"/>
            <w:tcBorders>
              <w:bottom w:val="nil"/>
            </w:tcBorders>
            <w:textDirection w:val="tbRlV"/>
            <w:vAlign w:val="top"/>
          </w:tcPr>
          <w:p w14:paraId="6D8C9A9F">
            <w:pPr>
              <w:pStyle w:val="6"/>
              <w:spacing w:before="78" w:line="200" w:lineRule="auto"/>
              <w:ind w:left="2674"/>
              <w:rPr>
                <w:sz w:val="22"/>
                <w:szCs w:val="22"/>
              </w:rPr>
            </w:pPr>
            <w:r>
              <w:rPr>
                <w:sz w:val="22"/>
                <w:szCs w:val="22"/>
              </w:rPr>
              <w:t>评</w:t>
            </w:r>
            <w:r>
              <w:rPr>
                <w:spacing w:val="12"/>
                <w:sz w:val="22"/>
                <w:szCs w:val="22"/>
              </w:rPr>
              <w:t xml:space="preserve"> </w:t>
            </w:r>
            <w:r>
              <w:rPr>
                <w:sz w:val="22"/>
                <w:szCs w:val="22"/>
              </w:rPr>
              <w:t>价</w:t>
            </w:r>
            <w:r>
              <w:rPr>
                <w:spacing w:val="11"/>
                <w:sz w:val="22"/>
                <w:szCs w:val="22"/>
              </w:rPr>
              <w:t xml:space="preserve"> </w:t>
            </w:r>
            <w:r>
              <w:rPr>
                <w:sz w:val="22"/>
                <w:szCs w:val="22"/>
              </w:rPr>
              <w:t>标</w:t>
            </w:r>
            <w:r>
              <w:rPr>
                <w:spacing w:val="12"/>
                <w:sz w:val="22"/>
                <w:szCs w:val="22"/>
              </w:rPr>
              <w:t xml:space="preserve"> </w:t>
            </w:r>
            <w:r>
              <w:rPr>
                <w:sz w:val="22"/>
                <w:szCs w:val="22"/>
              </w:rPr>
              <w:t>准</w:t>
            </w:r>
          </w:p>
        </w:tc>
        <w:tc>
          <w:tcPr>
            <w:tcW w:w="220" w:type="dxa"/>
            <w:vMerge w:val="restart"/>
            <w:tcBorders>
              <w:bottom w:val="nil"/>
            </w:tcBorders>
            <w:vAlign w:val="top"/>
          </w:tcPr>
          <w:p w14:paraId="4510887F">
            <w:pPr>
              <w:rPr>
                <w:rFonts w:ascii="Arial"/>
                <w:sz w:val="21"/>
              </w:rPr>
            </w:pPr>
          </w:p>
        </w:tc>
        <w:tc>
          <w:tcPr>
            <w:tcW w:w="8494" w:type="dxa"/>
            <w:gridSpan w:val="13"/>
            <w:vAlign w:val="top"/>
          </w:tcPr>
          <w:p w14:paraId="79F9EE95">
            <w:pPr>
              <w:pStyle w:val="6"/>
              <w:spacing w:before="181" w:line="220" w:lineRule="auto"/>
              <w:ind w:left="53"/>
              <w:rPr>
                <w:sz w:val="22"/>
                <w:szCs w:val="22"/>
              </w:rPr>
            </w:pPr>
            <w:r>
              <w:rPr>
                <w:b/>
                <w:bCs/>
                <w:spacing w:val="-5"/>
                <w:sz w:val="22"/>
                <w:szCs w:val="22"/>
              </w:rPr>
              <w:t>一、环境质量标准</w:t>
            </w:r>
          </w:p>
          <w:p w14:paraId="0FF5E817">
            <w:pPr>
              <w:pStyle w:val="6"/>
              <w:spacing w:before="247" w:line="220" w:lineRule="auto"/>
              <w:ind w:left="573"/>
              <w:rPr>
                <w:sz w:val="22"/>
                <w:szCs w:val="22"/>
              </w:rPr>
            </w:pPr>
            <w:r>
              <w:rPr>
                <w:b/>
                <w:bCs/>
                <w:spacing w:val="-2"/>
                <w:sz w:val="22"/>
                <w:szCs w:val="22"/>
              </w:rPr>
              <w:t>1、环境空气质量标准</w:t>
            </w:r>
          </w:p>
          <w:p w14:paraId="4C1826F9">
            <w:pPr>
              <w:pStyle w:val="6"/>
              <w:spacing w:before="258" w:line="411" w:lineRule="auto"/>
              <w:ind w:left="10" w:right="575" w:firstLine="409"/>
              <w:rPr>
                <w:sz w:val="22"/>
                <w:szCs w:val="22"/>
              </w:rPr>
            </w:pPr>
            <w:r>
              <w:rPr>
                <w:sz w:val="22"/>
                <w:szCs w:val="22"/>
              </w:rPr>
              <w:t>项目位于农村地区，属于二类环境空气功能区，环境空气执行《环境空气质量</w:t>
            </w:r>
            <w:r>
              <w:rPr>
                <w:spacing w:val="7"/>
                <w:sz w:val="22"/>
                <w:szCs w:val="22"/>
              </w:rPr>
              <w:t xml:space="preserve"> </w:t>
            </w:r>
            <w:r>
              <w:rPr>
                <w:sz w:val="22"/>
                <w:szCs w:val="22"/>
              </w:rPr>
              <w:t>标准》(GB3095-2012)中二级标准。具体标准限值见下表。</w:t>
            </w:r>
          </w:p>
          <w:p w14:paraId="768E6BEF">
            <w:pPr>
              <w:pStyle w:val="6"/>
              <w:spacing w:line="220" w:lineRule="auto"/>
              <w:ind w:left="2703"/>
              <w:rPr>
                <w:sz w:val="22"/>
                <w:szCs w:val="22"/>
              </w:rPr>
            </w:pPr>
            <w:r>
              <w:rPr>
                <w:b/>
                <w:bCs/>
                <w:spacing w:val="-3"/>
                <w:sz w:val="22"/>
                <w:szCs w:val="22"/>
              </w:rPr>
              <w:t>表3-12</w:t>
            </w:r>
            <w:r>
              <w:rPr>
                <w:spacing w:val="-3"/>
                <w:sz w:val="22"/>
                <w:szCs w:val="22"/>
              </w:rPr>
              <w:t xml:space="preserve">  </w:t>
            </w:r>
            <w:r>
              <w:rPr>
                <w:b/>
                <w:bCs/>
                <w:spacing w:val="-3"/>
                <w:sz w:val="22"/>
                <w:szCs w:val="22"/>
              </w:rPr>
              <w:t>环境空气质量标准</w:t>
            </w:r>
          </w:p>
        </w:tc>
      </w:tr>
      <w:tr w14:paraId="7AEB0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25" w:type="dxa"/>
            <w:vMerge w:val="continue"/>
            <w:tcBorders>
              <w:top w:val="nil"/>
              <w:bottom w:val="nil"/>
            </w:tcBorders>
            <w:textDirection w:val="tbRlV"/>
            <w:vAlign w:val="top"/>
          </w:tcPr>
          <w:p w14:paraId="5B4C8F95">
            <w:pPr>
              <w:rPr>
                <w:rFonts w:ascii="Arial"/>
                <w:sz w:val="21"/>
              </w:rPr>
            </w:pPr>
          </w:p>
        </w:tc>
        <w:tc>
          <w:tcPr>
            <w:tcW w:w="220" w:type="dxa"/>
            <w:vMerge w:val="continue"/>
            <w:tcBorders>
              <w:top w:val="nil"/>
              <w:bottom w:val="nil"/>
            </w:tcBorders>
            <w:vAlign w:val="top"/>
          </w:tcPr>
          <w:p w14:paraId="2AEFDDD0">
            <w:pPr>
              <w:rPr>
                <w:rFonts w:ascii="Arial"/>
                <w:sz w:val="21"/>
              </w:rPr>
            </w:pPr>
          </w:p>
        </w:tc>
        <w:tc>
          <w:tcPr>
            <w:tcW w:w="2137" w:type="dxa"/>
            <w:gridSpan w:val="4"/>
            <w:vMerge w:val="restart"/>
            <w:tcBorders>
              <w:bottom w:val="nil"/>
            </w:tcBorders>
            <w:vAlign w:val="top"/>
          </w:tcPr>
          <w:p w14:paraId="763B2F80">
            <w:pPr>
              <w:rPr>
                <w:rFonts w:ascii="Arial"/>
                <w:sz w:val="21"/>
              </w:rPr>
            </w:pPr>
          </w:p>
          <w:p w14:paraId="64312352">
            <w:pPr>
              <w:pStyle w:val="6"/>
              <w:spacing w:before="72" w:line="220" w:lineRule="auto"/>
              <w:ind w:left="843"/>
              <w:rPr>
                <w:sz w:val="22"/>
                <w:szCs w:val="22"/>
              </w:rPr>
            </w:pPr>
            <w:r>
              <w:rPr>
                <w:b/>
                <w:bCs/>
                <w:spacing w:val="15"/>
                <w:sz w:val="22"/>
                <w:szCs w:val="22"/>
              </w:rPr>
              <w:t>项目</w:t>
            </w:r>
          </w:p>
        </w:tc>
        <w:tc>
          <w:tcPr>
            <w:tcW w:w="2837" w:type="dxa"/>
            <w:gridSpan w:val="5"/>
            <w:vAlign w:val="top"/>
          </w:tcPr>
          <w:p w14:paraId="1C20141C">
            <w:pPr>
              <w:pStyle w:val="6"/>
              <w:spacing w:before="22" w:line="184" w:lineRule="auto"/>
              <w:ind w:left="1076"/>
              <w:rPr>
                <w:sz w:val="22"/>
                <w:szCs w:val="22"/>
              </w:rPr>
            </w:pPr>
            <w:r>
              <w:rPr>
                <w:b/>
                <w:bCs/>
                <w:spacing w:val="-5"/>
                <w:sz w:val="22"/>
                <w:szCs w:val="22"/>
              </w:rPr>
              <w:t>标准值</w:t>
            </w:r>
          </w:p>
        </w:tc>
        <w:tc>
          <w:tcPr>
            <w:tcW w:w="1158" w:type="dxa"/>
            <w:gridSpan w:val="2"/>
            <w:vMerge w:val="restart"/>
            <w:tcBorders>
              <w:bottom w:val="nil"/>
            </w:tcBorders>
            <w:vAlign w:val="top"/>
          </w:tcPr>
          <w:p w14:paraId="5E0D70D5">
            <w:pPr>
              <w:rPr>
                <w:rFonts w:ascii="Arial"/>
                <w:sz w:val="21"/>
              </w:rPr>
            </w:pPr>
          </w:p>
          <w:p w14:paraId="36AF807F">
            <w:pPr>
              <w:pStyle w:val="6"/>
              <w:spacing w:before="72" w:line="220" w:lineRule="auto"/>
              <w:ind w:left="359"/>
              <w:rPr>
                <w:sz w:val="22"/>
                <w:szCs w:val="22"/>
              </w:rPr>
            </w:pPr>
            <w:r>
              <w:rPr>
                <w:b/>
                <w:bCs/>
                <w:spacing w:val="-5"/>
                <w:sz w:val="22"/>
                <w:szCs w:val="22"/>
              </w:rPr>
              <w:t>单位</w:t>
            </w:r>
          </w:p>
        </w:tc>
        <w:tc>
          <w:tcPr>
            <w:tcW w:w="2237" w:type="dxa"/>
            <w:vMerge w:val="restart"/>
            <w:tcBorders>
              <w:bottom w:val="nil"/>
            </w:tcBorders>
            <w:vAlign w:val="top"/>
          </w:tcPr>
          <w:p w14:paraId="73DBB71E">
            <w:pPr>
              <w:rPr>
                <w:rFonts w:ascii="Arial"/>
                <w:sz w:val="21"/>
              </w:rPr>
            </w:pPr>
          </w:p>
          <w:p w14:paraId="2337D50D">
            <w:pPr>
              <w:pStyle w:val="6"/>
              <w:spacing w:before="71" w:line="219" w:lineRule="auto"/>
              <w:ind w:left="681"/>
              <w:rPr>
                <w:sz w:val="22"/>
                <w:szCs w:val="22"/>
              </w:rPr>
            </w:pPr>
            <w:r>
              <w:rPr>
                <w:b/>
                <w:bCs/>
                <w:spacing w:val="-5"/>
                <w:sz w:val="22"/>
                <w:szCs w:val="22"/>
              </w:rPr>
              <w:t>标准来源</w:t>
            </w:r>
          </w:p>
        </w:tc>
        <w:tc>
          <w:tcPr>
            <w:tcW w:w="125" w:type="dxa"/>
            <w:tcBorders>
              <w:bottom w:val="nil"/>
            </w:tcBorders>
            <w:vAlign w:val="top"/>
          </w:tcPr>
          <w:p w14:paraId="254262B3">
            <w:pPr>
              <w:rPr>
                <w:rFonts w:ascii="Arial"/>
                <w:sz w:val="21"/>
              </w:rPr>
            </w:pPr>
          </w:p>
        </w:tc>
      </w:tr>
      <w:tr w14:paraId="6DFEB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25" w:type="dxa"/>
            <w:vMerge w:val="continue"/>
            <w:tcBorders>
              <w:top w:val="nil"/>
              <w:bottom w:val="nil"/>
            </w:tcBorders>
            <w:textDirection w:val="tbRlV"/>
            <w:vAlign w:val="top"/>
          </w:tcPr>
          <w:p w14:paraId="37252C79">
            <w:pPr>
              <w:rPr>
                <w:rFonts w:ascii="Arial"/>
                <w:sz w:val="21"/>
              </w:rPr>
            </w:pPr>
          </w:p>
        </w:tc>
        <w:tc>
          <w:tcPr>
            <w:tcW w:w="220" w:type="dxa"/>
            <w:vMerge w:val="continue"/>
            <w:tcBorders>
              <w:top w:val="nil"/>
              <w:bottom w:val="nil"/>
            </w:tcBorders>
            <w:vAlign w:val="top"/>
          </w:tcPr>
          <w:p w14:paraId="30596E92">
            <w:pPr>
              <w:rPr>
                <w:rFonts w:ascii="Arial"/>
                <w:sz w:val="21"/>
              </w:rPr>
            </w:pPr>
          </w:p>
        </w:tc>
        <w:tc>
          <w:tcPr>
            <w:tcW w:w="2137" w:type="dxa"/>
            <w:gridSpan w:val="4"/>
            <w:vMerge w:val="continue"/>
            <w:tcBorders>
              <w:top w:val="nil"/>
            </w:tcBorders>
            <w:vAlign w:val="top"/>
          </w:tcPr>
          <w:p w14:paraId="33985DAD">
            <w:pPr>
              <w:rPr>
                <w:rFonts w:ascii="Arial"/>
                <w:sz w:val="21"/>
              </w:rPr>
            </w:pPr>
          </w:p>
        </w:tc>
        <w:tc>
          <w:tcPr>
            <w:tcW w:w="1549" w:type="dxa"/>
            <w:gridSpan w:val="2"/>
            <w:vAlign w:val="top"/>
          </w:tcPr>
          <w:p w14:paraId="17149765">
            <w:pPr>
              <w:pStyle w:val="6"/>
              <w:spacing w:before="181" w:line="220" w:lineRule="auto"/>
              <w:ind w:left="326"/>
              <w:rPr>
                <w:sz w:val="22"/>
                <w:szCs w:val="22"/>
              </w:rPr>
            </w:pPr>
            <w:r>
              <w:rPr>
                <w:b/>
                <w:bCs/>
                <w:spacing w:val="1"/>
                <w:sz w:val="22"/>
                <w:szCs w:val="22"/>
              </w:rPr>
              <w:t>平均时间</w:t>
            </w:r>
          </w:p>
        </w:tc>
        <w:tc>
          <w:tcPr>
            <w:tcW w:w="1288" w:type="dxa"/>
            <w:gridSpan w:val="3"/>
            <w:vAlign w:val="top"/>
          </w:tcPr>
          <w:p w14:paraId="6757A471">
            <w:pPr>
              <w:pStyle w:val="6"/>
              <w:spacing w:before="41" w:line="220" w:lineRule="auto"/>
              <w:ind w:left="307"/>
              <w:rPr>
                <w:sz w:val="22"/>
                <w:szCs w:val="22"/>
              </w:rPr>
            </w:pPr>
            <w:r>
              <w:rPr>
                <w:b/>
                <w:bCs/>
                <w:spacing w:val="-5"/>
                <w:sz w:val="22"/>
                <w:szCs w:val="22"/>
              </w:rPr>
              <w:t>浓度限</w:t>
            </w:r>
          </w:p>
          <w:p w14:paraId="21668FAD">
            <w:pPr>
              <w:pStyle w:val="6"/>
              <w:spacing w:before="6" w:line="207" w:lineRule="auto"/>
              <w:ind w:left="527"/>
              <w:rPr>
                <w:sz w:val="22"/>
                <w:szCs w:val="22"/>
              </w:rPr>
            </w:pPr>
            <w:r>
              <w:rPr>
                <w:b/>
                <w:bCs/>
                <w:spacing w:val="-3"/>
                <w:sz w:val="22"/>
                <w:szCs w:val="22"/>
              </w:rPr>
              <w:t>值</w:t>
            </w:r>
          </w:p>
        </w:tc>
        <w:tc>
          <w:tcPr>
            <w:tcW w:w="1158" w:type="dxa"/>
            <w:gridSpan w:val="2"/>
            <w:vMerge w:val="continue"/>
            <w:tcBorders>
              <w:top w:val="nil"/>
            </w:tcBorders>
            <w:vAlign w:val="top"/>
          </w:tcPr>
          <w:p w14:paraId="1817F134">
            <w:pPr>
              <w:rPr>
                <w:rFonts w:ascii="Arial"/>
                <w:sz w:val="21"/>
              </w:rPr>
            </w:pPr>
          </w:p>
        </w:tc>
        <w:tc>
          <w:tcPr>
            <w:tcW w:w="2237" w:type="dxa"/>
            <w:vMerge w:val="continue"/>
            <w:tcBorders>
              <w:top w:val="nil"/>
            </w:tcBorders>
            <w:vAlign w:val="top"/>
          </w:tcPr>
          <w:p w14:paraId="370ABD6D">
            <w:pPr>
              <w:rPr>
                <w:rFonts w:ascii="Arial"/>
                <w:sz w:val="21"/>
              </w:rPr>
            </w:pPr>
          </w:p>
        </w:tc>
        <w:tc>
          <w:tcPr>
            <w:tcW w:w="125" w:type="dxa"/>
            <w:tcBorders>
              <w:top w:val="nil"/>
              <w:bottom w:val="nil"/>
            </w:tcBorders>
            <w:vAlign w:val="top"/>
          </w:tcPr>
          <w:p w14:paraId="6EE171A8">
            <w:pPr>
              <w:rPr>
                <w:rFonts w:ascii="Arial"/>
                <w:sz w:val="21"/>
              </w:rPr>
            </w:pPr>
          </w:p>
        </w:tc>
      </w:tr>
      <w:tr w14:paraId="4CC43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325" w:type="dxa"/>
            <w:vMerge w:val="continue"/>
            <w:tcBorders>
              <w:top w:val="nil"/>
              <w:bottom w:val="nil"/>
            </w:tcBorders>
            <w:textDirection w:val="tbRlV"/>
            <w:vAlign w:val="top"/>
          </w:tcPr>
          <w:p w14:paraId="53FFCF8E">
            <w:pPr>
              <w:rPr>
                <w:rFonts w:ascii="Arial"/>
                <w:sz w:val="21"/>
              </w:rPr>
            </w:pPr>
          </w:p>
        </w:tc>
        <w:tc>
          <w:tcPr>
            <w:tcW w:w="220" w:type="dxa"/>
            <w:vMerge w:val="continue"/>
            <w:tcBorders>
              <w:top w:val="nil"/>
              <w:bottom w:val="nil"/>
            </w:tcBorders>
            <w:vAlign w:val="top"/>
          </w:tcPr>
          <w:p w14:paraId="605FBBBD">
            <w:pPr>
              <w:rPr>
                <w:rFonts w:ascii="Arial"/>
                <w:sz w:val="21"/>
              </w:rPr>
            </w:pPr>
          </w:p>
        </w:tc>
        <w:tc>
          <w:tcPr>
            <w:tcW w:w="2137" w:type="dxa"/>
            <w:gridSpan w:val="4"/>
            <w:vMerge w:val="restart"/>
            <w:tcBorders>
              <w:bottom w:val="nil"/>
            </w:tcBorders>
            <w:vAlign w:val="top"/>
          </w:tcPr>
          <w:p w14:paraId="35190B14">
            <w:pPr>
              <w:spacing w:line="252" w:lineRule="auto"/>
              <w:rPr>
                <w:rFonts w:ascii="Arial"/>
                <w:sz w:val="21"/>
              </w:rPr>
            </w:pPr>
          </w:p>
          <w:p w14:paraId="689F513D">
            <w:pPr>
              <w:pStyle w:val="6"/>
              <w:spacing w:before="72" w:line="219" w:lineRule="auto"/>
              <w:ind w:left="290"/>
              <w:rPr>
                <w:sz w:val="22"/>
                <w:szCs w:val="22"/>
              </w:rPr>
            </w:pPr>
            <w:r>
              <w:rPr>
                <w:spacing w:val="20"/>
                <w:sz w:val="22"/>
                <w:szCs w:val="22"/>
              </w:rPr>
              <w:t>二氧化硫(</w:t>
            </w:r>
            <w:r>
              <w:rPr>
                <w:sz w:val="22"/>
                <w:szCs w:val="22"/>
              </w:rPr>
              <w:t>SO</w:t>
            </w:r>
            <w:r>
              <w:rPr>
                <w:rFonts w:ascii="Calibri" w:hAnsi="Calibri" w:eastAsia="Calibri" w:cs="Calibri"/>
                <w:spacing w:val="20"/>
                <w:sz w:val="22"/>
                <w:szCs w:val="22"/>
              </w:rPr>
              <w:t>₂</w:t>
            </w:r>
            <w:r>
              <w:rPr>
                <w:spacing w:val="20"/>
                <w:sz w:val="22"/>
                <w:szCs w:val="22"/>
              </w:rPr>
              <w:t>)</w:t>
            </w:r>
          </w:p>
        </w:tc>
        <w:tc>
          <w:tcPr>
            <w:tcW w:w="1549" w:type="dxa"/>
            <w:gridSpan w:val="2"/>
            <w:vAlign w:val="top"/>
          </w:tcPr>
          <w:p w14:paraId="6D31B19F">
            <w:pPr>
              <w:pStyle w:val="6"/>
              <w:spacing w:before="46" w:line="191" w:lineRule="auto"/>
              <w:ind w:left="432"/>
              <w:rPr>
                <w:sz w:val="22"/>
                <w:szCs w:val="22"/>
              </w:rPr>
            </w:pPr>
            <w:r>
              <w:rPr>
                <w:spacing w:val="4"/>
                <w:sz w:val="22"/>
                <w:szCs w:val="22"/>
              </w:rPr>
              <w:t>年平均</w:t>
            </w:r>
          </w:p>
        </w:tc>
        <w:tc>
          <w:tcPr>
            <w:tcW w:w="1288" w:type="dxa"/>
            <w:gridSpan w:val="3"/>
            <w:vAlign w:val="top"/>
          </w:tcPr>
          <w:p w14:paraId="27EE3939">
            <w:pPr>
              <w:pStyle w:val="6"/>
              <w:spacing w:before="69" w:line="172" w:lineRule="auto"/>
              <w:ind w:left="523"/>
              <w:rPr>
                <w:sz w:val="22"/>
                <w:szCs w:val="22"/>
              </w:rPr>
            </w:pPr>
            <w:r>
              <w:rPr>
                <w:spacing w:val="-3"/>
                <w:sz w:val="22"/>
                <w:szCs w:val="22"/>
              </w:rPr>
              <w:t>60</w:t>
            </w:r>
          </w:p>
        </w:tc>
        <w:tc>
          <w:tcPr>
            <w:tcW w:w="1158" w:type="dxa"/>
            <w:gridSpan w:val="2"/>
            <w:vMerge w:val="restart"/>
            <w:tcBorders>
              <w:bottom w:val="nil"/>
            </w:tcBorders>
            <w:vAlign w:val="top"/>
          </w:tcPr>
          <w:p w14:paraId="54090115">
            <w:pPr>
              <w:spacing w:line="346" w:lineRule="auto"/>
              <w:rPr>
                <w:rFonts w:ascii="Arial"/>
                <w:sz w:val="21"/>
              </w:rPr>
            </w:pPr>
          </w:p>
          <w:p w14:paraId="7764252A">
            <w:pPr>
              <w:spacing w:line="347" w:lineRule="auto"/>
              <w:rPr>
                <w:rFonts w:ascii="Arial"/>
                <w:sz w:val="21"/>
              </w:rPr>
            </w:pPr>
          </w:p>
          <w:p w14:paraId="5ABA3680">
            <w:pPr>
              <w:pStyle w:val="6"/>
              <w:spacing w:before="72" w:line="214" w:lineRule="auto"/>
              <w:ind w:left="186"/>
              <w:rPr>
                <w:sz w:val="22"/>
                <w:szCs w:val="22"/>
              </w:rPr>
            </w:pPr>
            <w:r>
              <w:rPr>
                <w:spacing w:val="-11"/>
                <w:sz w:val="22"/>
                <w:szCs w:val="22"/>
              </w:rPr>
              <w:t>μg/m³</w:t>
            </w:r>
          </w:p>
        </w:tc>
        <w:tc>
          <w:tcPr>
            <w:tcW w:w="2237" w:type="dxa"/>
            <w:vMerge w:val="restart"/>
            <w:tcBorders>
              <w:bottom w:val="nil"/>
            </w:tcBorders>
            <w:vAlign w:val="top"/>
          </w:tcPr>
          <w:p w14:paraId="5F47D180">
            <w:pPr>
              <w:spacing w:line="294" w:lineRule="auto"/>
              <w:rPr>
                <w:rFonts w:ascii="Arial"/>
                <w:sz w:val="21"/>
              </w:rPr>
            </w:pPr>
          </w:p>
          <w:p w14:paraId="4C3224D2">
            <w:pPr>
              <w:spacing w:line="295" w:lineRule="auto"/>
              <w:rPr>
                <w:rFonts w:ascii="Arial"/>
                <w:sz w:val="21"/>
              </w:rPr>
            </w:pPr>
          </w:p>
          <w:p w14:paraId="3F8E605B">
            <w:pPr>
              <w:spacing w:line="295" w:lineRule="auto"/>
              <w:rPr>
                <w:rFonts w:ascii="Arial"/>
                <w:sz w:val="21"/>
              </w:rPr>
            </w:pPr>
          </w:p>
          <w:p w14:paraId="7C1F593F">
            <w:pPr>
              <w:spacing w:line="295" w:lineRule="auto"/>
              <w:rPr>
                <w:rFonts w:ascii="Arial"/>
                <w:sz w:val="21"/>
              </w:rPr>
            </w:pPr>
          </w:p>
          <w:p w14:paraId="7C6474C2">
            <w:pPr>
              <w:pStyle w:val="6"/>
              <w:spacing w:before="71" w:line="220" w:lineRule="auto"/>
              <w:ind w:left="18"/>
              <w:rPr>
                <w:sz w:val="22"/>
                <w:szCs w:val="22"/>
              </w:rPr>
            </w:pPr>
            <w:r>
              <w:rPr>
                <w:spacing w:val="-2"/>
                <w:sz w:val="22"/>
                <w:szCs w:val="22"/>
              </w:rPr>
              <w:t>《环境空气质量标准》</w:t>
            </w:r>
          </w:p>
          <w:p w14:paraId="5B04E943">
            <w:pPr>
              <w:pStyle w:val="6"/>
              <w:spacing w:before="17" w:line="220" w:lineRule="auto"/>
              <w:ind w:left="67"/>
              <w:rPr>
                <w:sz w:val="22"/>
                <w:szCs w:val="22"/>
              </w:rPr>
            </w:pPr>
            <w:r>
              <w:rPr>
                <w:sz w:val="22"/>
                <w:szCs w:val="22"/>
              </w:rPr>
              <w:t>(GB3095-2012)中二级</w:t>
            </w:r>
          </w:p>
          <w:p w14:paraId="3837E565">
            <w:pPr>
              <w:pStyle w:val="6"/>
              <w:spacing w:before="7" w:line="220" w:lineRule="auto"/>
              <w:ind w:left="897"/>
              <w:rPr>
                <w:sz w:val="22"/>
                <w:szCs w:val="22"/>
              </w:rPr>
            </w:pPr>
            <w:r>
              <w:rPr>
                <w:spacing w:val="-3"/>
                <w:sz w:val="22"/>
                <w:szCs w:val="22"/>
              </w:rPr>
              <w:t>标准</w:t>
            </w:r>
          </w:p>
        </w:tc>
        <w:tc>
          <w:tcPr>
            <w:tcW w:w="125" w:type="dxa"/>
            <w:tcBorders>
              <w:top w:val="nil"/>
              <w:bottom w:val="nil"/>
            </w:tcBorders>
            <w:vAlign w:val="top"/>
          </w:tcPr>
          <w:p w14:paraId="07B68AE9">
            <w:pPr>
              <w:rPr>
                <w:rFonts w:ascii="Arial"/>
                <w:sz w:val="21"/>
              </w:rPr>
            </w:pPr>
          </w:p>
        </w:tc>
      </w:tr>
      <w:tr w14:paraId="5BD16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25" w:type="dxa"/>
            <w:vMerge w:val="continue"/>
            <w:tcBorders>
              <w:top w:val="nil"/>
              <w:bottom w:val="nil"/>
            </w:tcBorders>
            <w:textDirection w:val="tbRlV"/>
            <w:vAlign w:val="top"/>
          </w:tcPr>
          <w:p w14:paraId="00D3E3B9">
            <w:pPr>
              <w:rPr>
                <w:rFonts w:ascii="Arial"/>
                <w:sz w:val="21"/>
              </w:rPr>
            </w:pPr>
          </w:p>
        </w:tc>
        <w:tc>
          <w:tcPr>
            <w:tcW w:w="220" w:type="dxa"/>
            <w:vMerge w:val="continue"/>
            <w:tcBorders>
              <w:top w:val="nil"/>
              <w:bottom w:val="nil"/>
            </w:tcBorders>
            <w:vAlign w:val="top"/>
          </w:tcPr>
          <w:p w14:paraId="6AF3D2ED">
            <w:pPr>
              <w:rPr>
                <w:rFonts w:ascii="Arial"/>
                <w:sz w:val="21"/>
              </w:rPr>
            </w:pPr>
          </w:p>
        </w:tc>
        <w:tc>
          <w:tcPr>
            <w:tcW w:w="2137" w:type="dxa"/>
            <w:gridSpan w:val="4"/>
            <w:vMerge w:val="continue"/>
            <w:tcBorders>
              <w:top w:val="nil"/>
              <w:bottom w:val="nil"/>
            </w:tcBorders>
            <w:vAlign w:val="top"/>
          </w:tcPr>
          <w:p w14:paraId="21DDC630">
            <w:pPr>
              <w:rPr>
                <w:rFonts w:ascii="Arial"/>
                <w:sz w:val="21"/>
              </w:rPr>
            </w:pPr>
          </w:p>
        </w:tc>
        <w:tc>
          <w:tcPr>
            <w:tcW w:w="1549" w:type="dxa"/>
            <w:gridSpan w:val="2"/>
            <w:vAlign w:val="top"/>
          </w:tcPr>
          <w:p w14:paraId="70918B42">
            <w:pPr>
              <w:pStyle w:val="6"/>
              <w:spacing w:before="33" w:line="174" w:lineRule="auto"/>
              <w:ind w:left="212"/>
              <w:rPr>
                <w:sz w:val="22"/>
                <w:szCs w:val="22"/>
              </w:rPr>
            </w:pPr>
            <w:r>
              <w:rPr>
                <w:spacing w:val="2"/>
                <w:sz w:val="22"/>
                <w:szCs w:val="22"/>
              </w:rPr>
              <w:t>24小时平均</w:t>
            </w:r>
          </w:p>
        </w:tc>
        <w:tc>
          <w:tcPr>
            <w:tcW w:w="1288" w:type="dxa"/>
            <w:gridSpan w:val="3"/>
            <w:vAlign w:val="top"/>
          </w:tcPr>
          <w:p w14:paraId="00A7430E">
            <w:pPr>
              <w:pStyle w:val="6"/>
              <w:spacing w:before="54" w:line="187" w:lineRule="exact"/>
              <w:ind w:left="473"/>
              <w:rPr>
                <w:sz w:val="22"/>
                <w:szCs w:val="22"/>
              </w:rPr>
            </w:pPr>
            <w:r>
              <w:rPr>
                <w:spacing w:val="-6"/>
                <w:position w:val="-2"/>
                <w:sz w:val="22"/>
                <w:szCs w:val="22"/>
              </w:rPr>
              <w:t>150</w:t>
            </w:r>
          </w:p>
        </w:tc>
        <w:tc>
          <w:tcPr>
            <w:tcW w:w="1158" w:type="dxa"/>
            <w:gridSpan w:val="2"/>
            <w:vMerge w:val="continue"/>
            <w:tcBorders>
              <w:top w:val="nil"/>
              <w:bottom w:val="nil"/>
            </w:tcBorders>
            <w:vAlign w:val="top"/>
          </w:tcPr>
          <w:p w14:paraId="0125B21E">
            <w:pPr>
              <w:rPr>
                <w:rFonts w:ascii="Arial"/>
                <w:sz w:val="21"/>
              </w:rPr>
            </w:pPr>
          </w:p>
        </w:tc>
        <w:tc>
          <w:tcPr>
            <w:tcW w:w="2237" w:type="dxa"/>
            <w:vMerge w:val="continue"/>
            <w:tcBorders>
              <w:top w:val="nil"/>
              <w:bottom w:val="nil"/>
            </w:tcBorders>
            <w:vAlign w:val="top"/>
          </w:tcPr>
          <w:p w14:paraId="71B1ED00">
            <w:pPr>
              <w:rPr>
                <w:rFonts w:ascii="Arial"/>
                <w:sz w:val="21"/>
              </w:rPr>
            </w:pPr>
          </w:p>
        </w:tc>
        <w:tc>
          <w:tcPr>
            <w:tcW w:w="125" w:type="dxa"/>
            <w:tcBorders>
              <w:top w:val="nil"/>
              <w:bottom w:val="nil"/>
            </w:tcBorders>
            <w:vAlign w:val="top"/>
          </w:tcPr>
          <w:p w14:paraId="120F9F57">
            <w:pPr>
              <w:spacing w:line="241" w:lineRule="exact"/>
              <w:rPr>
                <w:rFonts w:ascii="Arial"/>
                <w:sz w:val="20"/>
              </w:rPr>
            </w:pPr>
          </w:p>
        </w:tc>
      </w:tr>
      <w:tr w14:paraId="6FEF5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325" w:type="dxa"/>
            <w:vMerge w:val="continue"/>
            <w:tcBorders>
              <w:top w:val="nil"/>
              <w:bottom w:val="nil"/>
            </w:tcBorders>
            <w:textDirection w:val="tbRlV"/>
            <w:vAlign w:val="top"/>
          </w:tcPr>
          <w:p w14:paraId="260E932F">
            <w:pPr>
              <w:rPr>
                <w:rFonts w:ascii="Arial"/>
                <w:sz w:val="21"/>
              </w:rPr>
            </w:pPr>
          </w:p>
        </w:tc>
        <w:tc>
          <w:tcPr>
            <w:tcW w:w="220" w:type="dxa"/>
            <w:vMerge w:val="continue"/>
            <w:tcBorders>
              <w:top w:val="nil"/>
              <w:bottom w:val="nil"/>
            </w:tcBorders>
            <w:vAlign w:val="top"/>
          </w:tcPr>
          <w:p w14:paraId="7BF816DB">
            <w:pPr>
              <w:rPr>
                <w:rFonts w:ascii="Arial"/>
                <w:sz w:val="21"/>
              </w:rPr>
            </w:pPr>
          </w:p>
        </w:tc>
        <w:tc>
          <w:tcPr>
            <w:tcW w:w="2137" w:type="dxa"/>
            <w:gridSpan w:val="4"/>
            <w:vMerge w:val="continue"/>
            <w:tcBorders>
              <w:top w:val="nil"/>
            </w:tcBorders>
            <w:vAlign w:val="top"/>
          </w:tcPr>
          <w:p w14:paraId="4DFB9C30">
            <w:pPr>
              <w:rPr>
                <w:rFonts w:ascii="Arial"/>
                <w:sz w:val="21"/>
              </w:rPr>
            </w:pPr>
          </w:p>
        </w:tc>
        <w:tc>
          <w:tcPr>
            <w:tcW w:w="1549" w:type="dxa"/>
            <w:gridSpan w:val="2"/>
            <w:vAlign w:val="top"/>
          </w:tcPr>
          <w:p w14:paraId="372AB4D4">
            <w:pPr>
              <w:pStyle w:val="6"/>
              <w:spacing w:before="62" w:line="189" w:lineRule="auto"/>
              <w:ind w:left="272"/>
              <w:rPr>
                <w:sz w:val="22"/>
                <w:szCs w:val="22"/>
              </w:rPr>
            </w:pPr>
            <w:r>
              <w:rPr>
                <w:spacing w:val="2"/>
                <w:sz w:val="22"/>
                <w:szCs w:val="22"/>
              </w:rPr>
              <w:t>1小时平均</w:t>
            </w:r>
          </w:p>
        </w:tc>
        <w:tc>
          <w:tcPr>
            <w:tcW w:w="1288" w:type="dxa"/>
            <w:gridSpan w:val="3"/>
            <w:vAlign w:val="top"/>
          </w:tcPr>
          <w:p w14:paraId="66C1565E">
            <w:pPr>
              <w:pStyle w:val="6"/>
              <w:spacing w:before="84" w:line="171" w:lineRule="auto"/>
              <w:ind w:left="473"/>
              <w:rPr>
                <w:sz w:val="22"/>
                <w:szCs w:val="22"/>
              </w:rPr>
            </w:pPr>
            <w:r>
              <w:rPr>
                <w:spacing w:val="-3"/>
                <w:sz w:val="22"/>
                <w:szCs w:val="22"/>
              </w:rPr>
              <w:t>500</w:t>
            </w:r>
          </w:p>
        </w:tc>
        <w:tc>
          <w:tcPr>
            <w:tcW w:w="1158" w:type="dxa"/>
            <w:gridSpan w:val="2"/>
            <w:vMerge w:val="continue"/>
            <w:tcBorders>
              <w:top w:val="nil"/>
              <w:bottom w:val="nil"/>
            </w:tcBorders>
            <w:vAlign w:val="top"/>
          </w:tcPr>
          <w:p w14:paraId="4819E9A5">
            <w:pPr>
              <w:rPr>
                <w:rFonts w:ascii="Arial"/>
                <w:sz w:val="21"/>
              </w:rPr>
            </w:pPr>
          </w:p>
        </w:tc>
        <w:tc>
          <w:tcPr>
            <w:tcW w:w="2237" w:type="dxa"/>
            <w:vMerge w:val="continue"/>
            <w:tcBorders>
              <w:top w:val="nil"/>
              <w:bottom w:val="nil"/>
            </w:tcBorders>
            <w:vAlign w:val="top"/>
          </w:tcPr>
          <w:p w14:paraId="1C0818B3">
            <w:pPr>
              <w:rPr>
                <w:rFonts w:ascii="Arial"/>
                <w:sz w:val="21"/>
              </w:rPr>
            </w:pPr>
          </w:p>
        </w:tc>
        <w:tc>
          <w:tcPr>
            <w:tcW w:w="125" w:type="dxa"/>
            <w:tcBorders>
              <w:top w:val="nil"/>
              <w:bottom w:val="nil"/>
            </w:tcBorders>
            <w:vAlign w:val="top"/>
          </w:tcPr>
          <w:p w14:paraId="57A38BC3">
            <w:pPr>
              <w:rPr>
                <w:rFonts w:ascii="Arial"/>
                <w:sz w:val="21"/>
              </w:rPr>
            </w:pPr>
          </w:p>
        </w:tc>
      </w:tr>
      <w:tr w14:paraId="678E9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25" w:type="dxa"/>
            <w:vMerge w:val="continue"/>
            <w:tcBorders>
              <w:top w:val="nil"/>
              <w:bottom w:val="nil"/>
            </w:tcBorders>
            <w:textDirection w:val="tbRlV"/>
            <w:vAlign w:val="top"/>
          </w:tcPr>
          <w:p w14:paraId="5BDA8782">
            <w:pPr>
              <w:rPr>
                <w:rFonts w:ascii="Arial"/>
                <w:sz w:val="21"/>
              </w:rPr>
            </w:pPr>
          </w:p>
        </w:tc>
        <w:tc>
          <w:tcPr>
            <w:tcW w:w="220" w:type="dxa"/>
            <w:vMerge w:val="continue"/>
            <w:tcBorders>
              <w:top w:val="nil"/>
              <w:bottom w:val="nil"/>
            </w:tcBorders>
            <w:vAlign w:val="top"/>
          </w:tcPr>
          <w:p w14:paraId="7989A40A">
            <w:pPr>
              <w:rPr>
                <w:rFonts w:ascii="Arial"/>
                <w:sz w:val="21"/>
              </w:rPr>
            </w:pPr>
          </w:p>
        </w:tc>
        <w:tc>
          <w:tcPr>
            <w:tcW w:w="2137" w:type="dxa"/>
            <w:gridSpan w:val="4"/>
            <w:vMerge w:val="restart"/>
            <w:tcBorders>
              <w:bottom w:val="nil"/>
            </w:tcBorders>
            <w:vAlign w:val="top"/>
          </w:tcPr>
          <w:p w14:paraId="66769E47">
            <w:pPr>
              <w:spacing w:line="269" w:lineRule="auto"/>
              <w:rPr>
                <w:rFonts w:ascii="Arial"/>
                <w:sz w:val="21"/>
              </w:rPr>
            </w:pPr>
          </w:p>
          <w:p w14:paraId="5EF1A4AA">
            <w:pPr>
              <w:pStyle w:val="6"/>
              <w:spacing w:before="72" w:line="219" w:lineRule="auto"/>
              <w:ind w:left="290"/>
              <w:rPr>
                <w:sz w:val="22"/>
                <w:szCs w:val="22"/>
              </w:rPr>
            </w:pPr>
            <w:r>
              <w:rPr>
                <w:spacing w:val="20"/>
                <w:sz w:val="22"/>
                <w:szCs w:val="22"/>
              </w:rPr>
              <w:t>二氧化氮(</w:t>
            </w:r>
            <w:r>
              <w:rPr>
                <w:sz w:val="22"/>
                <w:szCs w:val="22"/>
              </w:rPr>
              <w:t>NO</w:t>
            </w:r>
            <w:r>
              <w:rPr>
                <w:rFonts w:ascii="Calibri" w:hAnsi="Calibri" w:eastAsia="Calibri" w:cs="Calibri"/>
                <w:spacing w:val="20"/>
                <w:sz w:val="22"/>
                <w:szCs w:val="22"/>
              </w:rPr>
              <w:t>₂</w:t>
            </w:r>
            <w:r>
              <w:rPr>
                <w:spacing w:val="20"/>
                <w:sz w:val="22"/>
                <w:szCs w:val="22"/>
              </w:rPr>
              <w:t>)</w:t>
            </w:r>
          </w:p>
        </w:tc>
        <w:tc>
          <w:tcPr>
            <w:tcW w:w="1549" w:type="dxa"/>
            <w:gridSpan w:val="2"/>
            <w:vAlign w:val="top"/>
          </w:tcPr>
          <w:p w14:paraId="50BC8080">
            <w:pPr>
              <w:pStyle w:val="6"/>
              <w:spacing w:before="63" w:line="199" w:lineRule="auto"/>
              <w:ind w:left="432"/>
              <w:rPr>
                <w:sz w:val="22"/>
                <w:szCs w:val="22"/>
              </w:rPr>
            </w:pPr>
            <w:r>
              <w:rPr>
                <w:spacing w:val="4"/>
                <w:sz w:val="22"/>
                <w:szCs w:val="22"/>
              </w:rPr>
              <w:t>年平均</w:t>
            </w:r>
          </w:p>
        </w:tc>
        <w:tc>
          <w:tcPr>
            <w:tcW w:w="1288" w:type="dxa"/>
            <w:gridSpan w:val="3"/>
            <w:vAlign w:val="top"/>
          </w:tcPr>
          <w:p w14:paraId="2D756F45">
            <w:pPr>
              <w:pStyle w:val="6"/>
              <w:spacing w:before="86" w:line="180" w:lineRule="auto"/>
              <w:ind w:left="523"/>
              <w:rPr>
                <w:sz w:val="22"/>
                <w:szCs w:val="22"/>
              </w:rPr>
            </w:pPr>
            <w:r>
              <w:rPr>
                <w:spacing w:val="-2"/>
                <w:sz w:val="22"/>
                <w:szCs w:val="22"/>
              </w:rPr>
              <w:t>40</w:t>
            </w:r>
          </w:p>
        </w:tc>
        <w:tc>
          <w:tcPr>
            <w:tcW w:w="1158" w:type="dxa"/>
            <w:gridSpan w:val="2"/>
            <w:vMerge w:val="continue"/>
            <w:tcBorders>
              <w:top w:val="nil"/>
              <w:bottom w:val="nil"/>
            </w:tcBorders>
            <w:vAlign w:val="top"/>
          </w:tcPr>
          <w:p w14:paraId="046BFAE4">
            <w:pPr>
              <w:rPr>
                <w:rFonts w:ascii="Arial"/>
                <w:sz w:val="21"/>
              </w:rPr>
            </w:pPr>
          </w:p>
        </w:tc>
        <w:tc>
          <w:tcPr>
            <w:tcW w:w="2237" w:type="dxa"/>
            <w:vMerge w:val="continue"/>
            <w:tcBorders>
              <w:top w:val="nil"/>
              <w:bottom w:val="nil"/>
            </w:tcBorders>
            <w:vAlign w:val="top"/>
          </w:tcPr>
          <w:p w14:paraId="6B098345">
            <w:pPr>
              <w:rPr>
                <w:rFonts w:ascii="Arial"/>
                <w:sz w:val="21"/>
              </w:rPr>
            </w:pPr>
          </w:p>
        </w:tc>
        <w:tc>
          <w:tcPr>
            <w:tcW w:w="125" w:type="dxa"/>
            <w:tcBorders>
              <w:top w:val="nil"/>
              <w:bottom w:val="nil"/>
            </w:tcBorders>
            <w:vAlign w:val="top"/>
          </w:tcPr>
          <w:p w14:paraId="007562FE">
            <w:pPr>
              <w:rPr>
                <w:rFonts w:ascii="Arial"/>
                <w:sz w:val="21"/>
              </w:rPr>
            </w:pPr>
          </w:p>
        </w:tc>
      </w:tr>
      <w:tr w14:paraId="15142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25" w:type="dxa"/>
            <w:vMerge w:val="continue"/>
            <w:tcBorders>
              <w:top w:val="nil"/>
              <w:bottom w:val="nil"/>
            </w:tcBorders>
            <w:textDirection w:val="tbRlV"/>
            <w:vAlign w:val="top"/>
          </w:tcPr>
          <w:p w14:paraId="48F1243D">
            <w:pPr>
              <w:rPr>
                <w:rFonts w:ascii="Arial"/>
                <w:sz w:val="21"/>
              </w:rPr>
            </w:pPr>
          </w:p>
        </w:tc>
        <w:tc>
          <w:tcPr>
            <w:tcW w:w="220" w:type="dxa"/>
            <w:vMerge w:val="continue"/>
            <w:tcBorders>
              <w:top w:val="nil"/>
              <w:bottom w:val="nil"/>
            </w:tcBorders>
            <w:vAlign w:val="top"/>
          </w:tcPr>
          <w:p w14:paraId="339F6A40">
            <w:pPr>
              <w:rPr>
                <w:rFonts w:ascii="Arial"/>
                <w:sz w:val="21"/>
              </w:rPr>
            </w:pPr>
          </w:p>
        </w:tc>
        <w:tc>
          <w:tcPr>
            <w:tcW w:w="2137" w:type="dxa"/>
            <w:gridSpan w:val="4"/>
            <w:vMerge w:val="continue"/>
            <w:tcBorders>
              <w:top w:val="nil"/>
              <w:bottom w:val="nil"/>
            </w:tcBorders>
            <w:vAlign w:val="top"/>
          </w:tcPr>
          <w:p w14:paraId="0952FD03">
            <w:pPr>
              <w:rPr>
                <w:rFonts w:ascii="Arial"/>
                <w:sz w:val="21"/>
              </w:rPr>
            </w:pPr>
          </w:p>
        </w:tc>
        <w:tc>
          <w:tcPr>
            <w:tcW w:w="1549" w:type="dxa"/>
            <w:gridSpan w:val="2"/>
            <w:vAlign w:val="top"/>
          </w:tcPr>
          <w:p w14:paraId="61A3E049">
            <w:pPr>
              <w:pStyle w:val="6"/>
              <w:spacing w:before="53" w:line="194" w:lineRule="auto"/>
              <w:ind w:left="212"/>
              <w:rPr>
                <w:sz w:val="22"/>
                <w:szCs w:val="22"/>
              </w:rPr>
            </w:pPr>
            <w:r>
              <w:rPr>
                <w:spacing w:val="2"/>
                <w:sz w:val="22"/>
                <w:szCs w:val="22"/>
              </w:rPr>
              <w:t>24小时平均</w:t>
            </w:r>
          </w:p>
        </w:tc>
        <w:tc>
          <w:tcPr>
            <w:tcW w:w="1288" w:type="dxa"/>
            <w:gridSpan w:val="3"/>
            <w:vAlign w:val="top"/>
          </w:tcPr>
          <w:p w14:paraId="0DD0B4DD">
            <w:pPr>
              <w:pStyle w:val="6"/>
              <w:spacing w:before="75" w:line="176" w:lineRule="auto"/>
              <w:ind w:left="523"/>
              <w:rPr>
                <w:sz w:val="22"/>
                <w:szCs w:val="22"/>
              </w:rPr>
            </w:pPr>
            <w:r>
              <w:rPr>
                <w:spacing w:val="-3"/>
                <w:sz w:val="22"/>
                <w:szCs w:val="22"/>
              </w:rPr>
              <w:t>80</w:t>
            </w:r>
          </w:p>
        </w:tc>
        <w:tc>
          <w:tcPr>
            <w:tcW w:w="1158" w:type="dxa"/>
            <w:gridSpan w:val="2"/>
            <w:vMerge w:val="continue"/>
            <w:tcBorders>
              <w:top w:val="nil"/>
              <w:bottom w:val="nil"/>
            </w:tcBorders>
            <w:vAlign w:val="top"/>
          </w:tcPr>
          <w:p w14:paraId="33D1D17A">
            <w:pPr>
              <w:rPr>
                <w:rFonts w:ascii="Arial"/>
                <w:sz w:val="21"/>
              </w:rPr>
            </w:pPr>
          </w:p>
        </w:tc>
        <w:tc>
          <w:tcPr>
            <w:tcW w:w="2237" w:type="dxa"/>
            <w:vMerge w:val="continue"/>
            <w:tcBorders>
              <w:top w:val="nil"/>
              <w:bottom w:val="nil"/>
            </w:tcBorders>
            <w:vAlign w:val="top"/>
          </w:tcPr>
          <w:p w14:paraId="7B64CA46">
            <w:pPr>
              <w:rPr>
                <w:rFonts w:ascii="Arial"/>
                <w:sz w:val="21"/>
              </w:rPr>
            </w:pPr>
          </w:p>
        </w:tc>
        <w:tc>
          <w:tcPr>
            <w:tcW w:w="125" w:type="dxa"/>
            <w:tcBorders>
              <w:top w:val="nil"/>
              <w:bottom w:val="nil"/>
            </w:tcBorders>
            <w:vAlign w:val="top"/>
          </w:tcPr>
          <w:p w14:paraId="4DEBAD57">
            <w:pPr>
              <w:rPr>
                <w:rFonts w:ascii="Arial"/>
                <w:sz w:val="21"/>
              </w:rPr>
            </w:pPr>
          </w:p>
        </w:tc>
      </w:tr>
      <w:tr w14:paraId="54310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5" w:type="dxa"/>
            <w:vMerge w:val="continue"/>
            <w:tcBorders>
              <w:top w:val="nil"/>
              <w:bottom w:val="nil"/>
            </w:tcBorders>
            <w:textDirection w:val="tbRlV"/>
            <w:vAlign w:val="top"/>
          </w:tcPr>
          <w:p w14:paraId="3803B730">
            <w:pPr>
              <w:rPr>
                <w:rFonts w:ascii="Arial"/>
                <w:sz w:val="21"/>
              </w:rPr>
            </w:pPr>
          </w:p>
        </w:tc>
        <w:tc>
          <w:tcPr>
            <w:tcW w:w="220" w:type="dxa"/>
            <w:vMerge w:val="continue"/>
            <w:tcBorders>
              <w:top w:val="nil"/>
              <w:bottom w:val="nil"/>
            </w:tcBorders>
            <w:vAlign w:val="top"/>
          </w:tcPr>
          <w:p w14:paraId="526782A1">
            <w:pPr>
              <w:rPr>
                <w:rFonts w:ascii="Arial"/>
                <w:sz w:val="21"/>
              </w:rPr>
            </w:pPr>
          </w:p>
        </w:tc>
        <w:tc>
          <w:tcPr>
            <w:tcW w:w="2137" w:type="dxa"/>
            <w:gridSpan w:val="4"/>
            <w:vMerge w:val="continue"/>
            <w:tcBorders>
              <w:top w:val="nil"/>
            </w:tcBorders>
            <w:vAlign w:val="top"/>
          </w:tcPr>
          <w:p w14:paraId="2BD02F42">
            <w:pPr>
              <w:rPr>
                <w:rFonts w:ascii="Arial"/>
                <w:sz w:val="21"/>
              </w:rPr>
            </w:pPr>
          </w:p>
        </w:tc>
        <w:tc>
          <w:tcPr>
            <w:tcW w:w="1549" w:type="dxa"/>
            <w:gridSpan w:val="2"/>
            <w:vAlign w:val="top"/>
          </w:tcPr>
          <w:p w14:paraId="6A18F83E">
            <w:pPr>
              <w:pStyle w:val="6"/>
              <w:spacing w:before="28" w:line="180" w:lineRule="auto"/>
              <w:ind w:left="272"/>
              <w:rPr>
                <w:sz w:val="22"/>
                <w:szCs w:val="22"/>
              </w:rPr>
            </w:pPr>
            <w:r>
              <w:rPr>
                <w:spacing w:val="2"/>
                <w:sz w:val="22"/>
                <w:szCs w:val="22"/>
              </w:rPr>
              <w:t>1小时平均</w:t>
            </w:r>
          </w:p>
        </w:tc>
        <w:tc>
          <w:tcPr>
            <w:tcW w:w="1288" w:type="dxa"/>
            <w:gridSpan w:val="3"/>
            <w:vAlign w:val="top"/>
          </w:tcPr>
          <w:p w14:paraId="73429C29">
            <w:pPr>
              <w:pStyle w:val="6"/>
              <w:spacing w:before="49" w:line="162" w:lineRule="auto"/>
              <w:ind w:left="473"/>
              <w:rPr>
                <w:sz w:val="22"/>
                <w:szCs w:val="22"/>
              </w:rPr>
            </w:pPr>
            <w:r>
              <w:rPr>
                <w:spacing w:val="-3"/>
                <w:sz w:val="22"/>
                <w:szCs w:val="22"/>
              </w:rPr>
              <w:t>200</w:t>
            </w:r>
          </w:p>
        </w:tc>
        <w:tc>
          <w:tcPr>
            <w:tcW w:w="1158" w:type="dxa"/>
            <w:gridSpan w:val="2"/>
            <w:vMerge w:val="continue"/>
            <w:tcBorders>
              <w:top w:val="nil"/>
            </w:tcBorders>
            <w:vAlign w:val="top"/>
          </w:tcPr>
          <w:p w14:paraId="1AB44545">
            <w:pPr>
              <w:rPr>
                <w:rFonts w:ascii="Arial"/>
                <w:sz w:val="21"/>
              </w:rPr>
            </w:pPr>
          </w:p>
        </w:tc>
        <w:tc>
          <w:tcPr>
            <w:tcW w:w="2237" w:type="dxa"/>
            <w:vMerge w:val="continue"/>
            <w:tcBorders>
              <w:top w:val="nil"/>
              <w:bottom w:val="nil"/>
            </w:tcBorders>
            <w:vAlign w:val="top"/>
          </w:tcPr>
          <w:p w14:paraId="29CA8193">
            <w:pPr>
              <w:rPr>
                <w:rFonts w:ascii="Arial"/>
                <w:sz w:val="21"/>
              </w:rPr>
            </w:pPr>
          </w:p>
        </w:tc>
        <w:tc>
          <w:tcPr>
            <w:tcW w:w="125" w:type="dxa"/>
            <w:tcBorders>
              <w:top w:val="nil"/>
              <w:bottom w:val="nil"/>
            </w:tcBorders>
            <w:vAlign w:val="top"/>
          </w:tcPr>
          <w:p w14:paraId="7C55B63D">
            <w:pPr>
              <w:rPr>
                <w:rFonts w:ascii="Arial"/>
                <w:sz w:val="21"/>
              </w:rPr>
            </w:pPr>
          </w:p>
        </w:tc>
      </w:tr>
      <w:tr w14:paraId="0EF15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25" w:type="dxa"/>
            <w:vMerge w:val="continue"/>
            <w:tcBorders>
              <w:top w:val="nil"/>
              <w:bottom w:val="nil"/>
            </w:tcBorders>
            <w:textDirection w:val="tbRlV"/>
            <w:vAlign w:val="top"/>
          </w:tcPr>
          <w:p w14:paraId="2976F715">
            <w:pPr>
              <w:rPr>
                <w:rFonts w:ascii="Arial"/>
                <w:sz w:val="21"/>
              </w:rPr>
            </w:pPr>
          </w:p>
        </w:tc>
        <w:tc>
          <w:tcPr>
            <w:tcW w:w="220" w:type="dxa"/>
            <w:vMerge w:val="continue"/>
            <w:tcBorders>
              <w:top w:val="nil"/>
              <w:bottom w:val="nil"/>
            </w:tcBorders>
            <w:vAlign w:val="top"/>
          </w:tcPr>
          <w:p w14:paraId="7EAEA143">
            <w:pPr>
              <w:rPr>
                <w:rFonts w:ascii="Arial"/>
                <w:sz w:val="21"/>
              </w:rPr>
            </w:pPr>
          </w:p>
        </w:tc>
        <w:tc>
          <w:tcPr>
            <w:tcW w:w="2137" w:type="dxa"/>
            <w:gridSpan w:val="4"/>
            <w:vMerge w:val="restart"/>
            <w:tcBorders>
              <w:bottom w:val="nil"/>
            </w:tcBorders>
            <w:vAlign w:val="top"/>
          </w:tcPr>
          <w:p w14:paraId="00EA91C9">
            <w:pPr>
              <w:pStyle w:val="6"/>
              <w:spacing w:before="213" w:line="219" w:lineRule="auto"/>
              <w:ind w:left="399"/>
              <w:rPr>
                <w:sz w:val="22"/>
                <w:szCs w:val="22"/>
              </w:rPr>
            </w:pPr>
            <w:r>
              <w:rPr>
                <w:spacing w:val="8"/>
                <w:sz w:val="22"/>
                <w:szCs w:val="22"/>
              </w:rPr>
              <w:t>一氧化碳(</w:t>
            </w:r>
            <w:r>
              <w:rPr>
                <w:sz w:val="22"/>
                <w:szCs w:val="22"/>
              </w:rPr>
              <w:t>CO</w:t>
            </w:r>
            <w:r>
              <w:rPr>
                <w:spacing w:val="8"/>
                <w:sz w:val="22"/>
                <w:szCs w:val="22"/>
              </w:rPr>
              <w:t>)</w:t>
            </w:r>
          </w:p>
        </w:tc>
        <w:tc>
          <w:tcPr>
            <w:tcW w:w="1549" w:type="dxa"/>
            <w:gridSpan w:val="2"/>
            <w:vAlign w:val="top"/>
          </w:tcPr>
          <w:p w14:paraId="47DD8ADA">
            <w:pPr>
              <w:pStyle w:val="6"/>
              <w:spacing w:before="56" w:line="192" w:lineRule="auto"/>
              <w:ind w:left="212"/>
              <w:rPr>
                <w:sz w:val="22"/>
                <w:szCs w:val="22"/>
              </w:rPr>
            </w:pPr>
            <w:r>
              <w:rPr>
                <w:spacing w:val="2"/>
                <w:sz w:val="22"/>
                <w:szCs w:val="22"/>
              </w:rPr>
              <w:t>24小时平均</w:t>
            </w:r>
          </w:p>
        </w:tc>
        <w:tc>
          <w:tcPr>
            <w:tcW w:w="1288" w:type="dxa"/>
            <w:gridSpan w:val="3"/>
            <w:vAlign w:val="top"/>
          </w:tcPr>
          <w:p w14:paraId="41B1D3AC">
            <w:pPr>
              <w:pStyle w:val="6"/>
              <w:spacing w:before="77" w:line="174" w:lineRule="auto"/>
              <w:ind w:left="583"/>
              <w:rPr>
                <w:sz w:val="22"/>
                <w:szCs w:val="22"/>
              </w:rPr>
            </w:pPr>
            <w:r>
              <w:rPr>
                <w:sz w:val="22"/>
                <w:szCs w:val="22"/>
              </w:rPr>
              <w:t>4</w:t>
            </w:r>
          </w:p>
        </w:tc>
        <w:tc>
          <w:tcPr>
            <w:tcW w:w="1158" w:type="dxa"/>
            <w:gridSpan w:val="2"/>
            <w:vMerge w:val="restart"/>
            <w:tcBorders>
              <w:bottom w:val="nil"/>
            </w:tcBorders>
            <w:vAlign w:val="top"/>
          </w:tcPr>
          <w:p w14:paraId="60EAE766">
            <w:pPr>
              <w:pStyle w:val="6"/>
              <w:spacing w:before="207" w:line="214" w:lineRule="auto"/>
              <w:ind w:left="246"/>
              <w:rPr>
                <w:sz w:val="22"/>
                <w:szCs w:val="22"/>
              </w:rPr>
            </w:pPr>
            <w:r>
              <w:rPr>
                <w:spacing w:val="-1"/>
                <w:sz w:val="22"/>
                <w:szCs w:val="22"/>
              </w:rPr>
              <w:t>mg/m³</w:t>
            </w:r>
          </w:p>
        </w:tc>
        <w:tc>
          <w:tcPr>
            <w:tcW w:w="2237" w:type="dxa"/>
            <w:vMerge w:val="continue"/>
            <w:tcBorders>
              <w:top w:val="nil"/>
              <w:bottom w:val="nil"/>
            </w:tcBorders>
            <w:vAlign w:val="top"/>
          </w:tcPr>
          <w:p w14:paraId="2F6E2EDA">
            <w:pPr>
              <w:rPr>
                <w:rFonts w:ascii="Arial"/>
                <w:sz w:val="21"/>
              </w:rPr>
            </w:pPr>
          </w:p>
        </w:tc>
        <w:tc>
          <w:tcPr>
            <w:tcW w:w="125" w:type="dxa"/>
            <w:tcBorders>
              <w:top w:val="nil"/>
              <w:bottom w:val="nil"/>
            </w:tcBorders>
            <w:vAlign w:val="top"/>
          </w:tcPr>
          <w:p w14:paraId="7908639E">
            <w:pPr>
              <w:rPr>
                <w:rFonts w:ascii="Arial"/>
                <w:sz w:val="21"/>
              </w:rPr>
            </w:pPr>
          </w:p>
        </w:tc>
      </w:tr>
      <w:tr w14:paraId="18DE6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325" w:type="dxa"/>
            <w:vMerge w:val="continue"/>
            <w:tcBorders>
              <w:top w:val="nil"/>
              <w:bottom w:val="nil"/>
            </w:tcBorders>
            <w:textDirection w:val="tbRlV"/>
            <w:vAlign w:val="top"/>
          </w:tcPr>
          <w:p w14:paraId="7A9D44BB">
            <w:pPr>
              <w:rPr>
                <w:rFonts w:ascii="Arial"/>
                <w:sz w:val="21"/>
              </w:rPr>
            </w:pPr>
          </w:p>
        </w:tc>
        <w:tc>
          <w:tcPr>
            <w:tcW w:w="220" w:type="dxa"/>
            <w:vMerge w:val="continue"/>
            <w:tcBorders>
              <w:top w:val="nil"/>
              <w:bottom w:val="nil"/>
            </w:tcBorders>
            <w:vAlign w:val="top"/>
          </w:tcPr>
          <w:p w14:paraId="59C05281">
            <w:pPr>
              <w:rPr>
                <w:rFonts w:ascii="Arial"/>
                <w:sz w:val="21"/>
              </w:rPr>
            </w:pPr>
          </w:p>
        </w:tc>
        <w:tc>
          <w:tcPr>
            <w:tcW w:w="2137" w:type="dxa"/>
            <w:gridSpan w:val="4"/>
            <w:vMerge w:val="continue"/>
            <w:tcBorders>
              <w:top w:val="nil"/>
            </w:tcBorders>
            <w:vAlign w:val="top"/>
          </w:tcPr>
          <w:p w14:paraId="28E66B89">
            <w:pPr>
              <w:rPr>
                <w:rFonts w:ascii="Arial"/>
                <w:sz w:val="21"/>
              </w:rPr>
            </w:pPr>
          </w:p>
        </w:tc>
        <w:tc>
          <w:tcPr>
            <w:tcW w:w="1549" w:type="dxa"/>
            <w:gridSpan w:val="2"/>
            <w:vAlign w:val="top"/>
          </w:tcPr>
          <w:p w14:paraId="045393BB">
            <w:pPr>
              <w:pStyle w:val="6"/>
              <w:spacing w:before="60" w:line="207" w:lineRule="auto"/>
              <w:ind w:left="272"/>
              <w:rPr>
                <w:sz w:val="22"/>
                <w:szCs w:val="22"/>
              </w:rPr>
            </w:pPr>
            <w:r>
              <w:rPr>
                <w:spacing w:val="2"/>
                <w:sz w:val="22"/>
                <w:szCs w:val="22"/>
              </w:rPr>
              <w:t>1小时平均</w:t>
            </w:r>
          </w:p>
        </w:tc>
        <w:tc>
          <w:tcPr>
            <w:tcW w:w="1288" w:type="dxa"/>
            <w:gridSpan w:val="3"/>
            <w:vAlign w:val="top"/>
          </w:tcPr>
          <w:p w14:paraId="5A16CC98">
            <w:pPr>
              <w:pStyle w:val="6"/>
              <w:spacing w:before="81" w:line="189" w:lineRule="auto"/>
              <w:ind w:left="523"/>
              <w:rPr>
                <w:sz w:val="22"/>
                <w:szCs w:val="22"/>
              </w:rPr>
            </w:pPr>
            <w:r>
              <w:rPr>
                <w:spacing w:val="-7"/>
                <w:sz w:val="22"/>
                <w:szCs w:val="22"/>
              </w:rPr>
              <w:t>10</w:t>
            </w:r>
          </w:p>
        </w:tc>
        <w:tc>
          <w:tcPr>
            <w:tcW w:w="1158" w:type="dxa"/>
            <w:gridSpan w:val="2"/>
            <w:vMerge w:val="continue"/>
            <w:tcBorders>
              <w:top w:val="nil"/>
            </w:tcBorders>
            <w:vAlign w:val="top"/>
          </w:tcPr>
          <w:p w14:paraId="708C94C7">
            <w:pPr>
              <w:rPr>
                <w:rFonts w:ascii="Arial"/>
                <w:sz w:val="21"/>
              </w:rPr>
            </w:pPr>
          </w:p>
        </w:tc>
        <w:tc>
          <w:tcPr>
            <w:tcW w:w="2237" w:type="dxa"/>
            <w:vMerge w:val="continue"/>
            <w:tcBorders>
              <w:top w:val="nil"/>
              <w:bottom w:val="nil"/>
            </w:tcBorders>
            <w:vAlign w:val="top"/>
          </w:tcPr>
          <w:p w14:paraId="6643E080">
            <w:pPr>
              <w:rPr>
                <w:rFonts w:ascii="Arial"/>
                <w:sz w:val="21"/>
              </w:rPr>
            </w:pPr>
          </w:p>
        </w:tc>
        <w:tc>
          <w:tcPr>
            <w:tcW w:w="125" w:type="dxa"/>
            <w:tcBorders>
              <w:top w:val="nil"/>
              <w:bottom w:val="nil"/>
            </w:tcBorders>
            <w:vAlign w:val="top"/>
          </w:tcPr>
          <w:p w14:paraId="7EEC5217">
            <w:pPr>
              <w:rPr>
                <w:rFonts w:ascii="Arial"/>
                <w:sz w:val="21"/>
              </w:rPr>
            </w:pPr>
          </w:p>
        </w:tc>
      </w:tr>
      <w:tr w14:paraId="6E671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25" w:type="dxa"/>
            <w:vMerge w:val="continue"/>
            <w:tcBorders>
              <w:top w:val="nil"/>
              <w:bottom w:val="nil"/>
            </w:tcBorders>
            <w:textDirection w:val="tbRlV"/>
            <w:vAlign w:val="top"/>
          </w:tcPr>
          <w:p w14:paraId="29D4C8FB">
            <w:pPr>
              <w:rPr>
                <w:rFonts w:ascii="Arial"/>
                <w:sz w:val="21"/>
              </w:rPr>
            </w:pPr>
          </w:p>
        </w:tc>
        <w:tc>
          <w:tcPr>
            <w:tcW w:w="220" w:type="dxa"/>
            <w:vMerge w:val="continue"/>
            <w:tcBorders>
              <w:top w:val="nil"/>
              <w:bottom w:val="nil"/>
            </w:tcBorders>
            <w:vAlign w:val="top"/>
          </w:tcPr>
          <w:p w14:paraId="2F5CB8A9">
            <w:pPr>
              <w:rPr>
                <w:rFonts w:ascii="Arial"/>
                <w:sz w:val="21"/>
              </w:rPr>
            </w:pPr>
          </w:p>
        </w:tc>
        <w:tc>
          <w:tcPr>
            <w:tcW w:w="2137" w:type="dxa"/>
            <w:gridSpan w:val="4"/>
            <w:vMerge w:val="restart"/>
            <w:tcBorders>
              <w:bottom w:val="nil"/>
            </w:tcBorders>
            <w:vAlign w:val="top"/>
          </w:tcPr>
          <w:p w14:paraId="2E037AB6">
            <w:pPr>
              <w:pStyle w:val="6"/>
              <w:spacing w:before="33" w:line="216" w:lineRule="auto"/>
              <w:ind w:left="448" w:right="233" w:hanging="219"/>
              <w:rPr>
                <w:sz w:val="22"/>
                <w:szCs w:val="22"/>
              </w:rPr>
            </w:pPr>
            <w:r>
              <w:rPr>
                <w:spacing w:val="1"/>
                <w:sz w:val="22"/>
                <w:szCs w:val="22"/>
              </w:rPr>
              <w:t>颗粒物(粒径小于</w:t>
            </w:r>
            <w:r>
              <w:rPr>
                <w:spacing w:val="4"/>
                <w:sz w:val="22"/>
                <w:szCs w:val="22"/>
              </w:rPr>
              <w:t xml:space="preserve"> </w:t>
            </w:r>
            <w:r>
              <w:rPr>
                <w:spacing w:val="6"/>
                <w:sz w:val="22"/>
                <w:szCs w:val="22"/>
              </w:rPr>
              <w:t>等于10μm)</w:t>
            </w:r>
          </w:p>
        </w:tc>
        <w:tc>
          <w:tcPr>
            <w:tcW w:w="1549" w:type="dxa"/>
            <w:gridSpan w:val="2"/>
            <w:vAlign w:val="top"/>
          </w:tcPr>
          <w:p w14:paraId="4E50353E">
            <w:pPr>
              <w:pStyle w:val="6"/>
              <w:spacing w:before="52" w:line="195" w:lineRule="auto"/>
              <w:ind w:left="432"/>
              <w:rPr>
                <w:sz w:val="22"/>
                <w:szCs w:val="22"/>
              </w:rPr>
            </w:pPr>
            <w:r>
              <w:rPr>
                <w:spacing w:val="4"/>
                <w:sz w:val="22"/>
                <w:szCs w:val="22"/>
              </w:rPr>
              <w:t>年平均</w:t>
            </w:r>
          </w:p>
        </w:tc>
        <w:tc>
          <w:tcPr>
            <w:tcW w:w="1288" w:type="dxa"/>
            <w:gridSpan w:val="3"/>
            <w:vAlign w:val="top"/>
          </w:tcPr>
          <w:p w14:paraId="39EB14E6">
            <w:pPr>
              <w:pStyle w:val="6"/>
              <w:spacing w:before="75" w:line="176" w:lineRule="auto"/>
              <w:ind w:left="523"/>
              <w:rPr>
                <w:sz w:val="22"/>
                <w:szCs w:val="22"/>
              </w:rPr>
            </w:pPr>
            <w:r>
              <w:rPr>
                <w:spacing w:val="-4"/>
                <w:sz w:val="22"/>
                <w:szCs w:val="22"/>
              </w:rPr>
              <w:t>70</w:t>
            </w:r>
          </w:p>
        </w:tc>
        <w:tc>
          <w:tcPr>
            <w:tcW w:w="1158" w:type="dxa"/>
            <w:gridSpan w:val="2"/>
            <w:vMerge w:val="restart"/>
            <w:tcBorders>
              <w:bottom w:val="nil"/>
            </w:tcBorders>
            <w:vAlign w:val="top"/>
          </w:tcPr>
          <w:p w14:paraId="3ACD4E46">
            <w:pPr>
              <w:spacing w:line="252" w:lineRule="auto"/>
              <w:rPr>
                <w:rFonts w:ascii="Arial"/>
                <w:sz w:val="21"/>
              </w:rPr>
            </w:pPr>
          </w:p>
          <w:p w14:paraId="62A5EEDB">
            <w:pPr>
              <w:pStyle w:val="6"/>
              <w:spacing w:before="71" w:line="214" w:lineRule="auto"/>
              <w:ind w:left="186"/>
              <w:rPr>
                <w:sz w:val="22"/>
                <w:szCs w:val="22"/>
              </w:rPr>
            </w:pPr>
            <w:r>
              <w:rPr>
                <w:spacing w:val="-11"/>
                <w:sz w:val="22"/>
                <w:szCs w:val="22"/>
              </w:rPr>
              <w:t>μg/m³</w:t>
            </w:r>
          </w:p>
        </w:tc>
        <w:tc>
          <w:tcPr>
            <w:tcW w:w="2237" w:type="dxa"/>
            <w:vMerge w:val="continue"/>
            <w:tcBorders>
              <w:top w:val="nil"/>
              <w:bottom w:val="nil"/>
            </w:tcBorders>
            <w:vAlign w:val="top"/>
          </w:tcPr>
          <w:p w14:paraId="18A0B892">
            <w:pPr>
              <w:rPr>
                <w:rFonts w:ascii="Arial"/>
                <w:sz w:val="21"/>
              </w:rPr>
            </w:pPr>
          </w:p>
        </w:tc>
        <w:tc>
          <w:tcPr>
            <w:tcW w:w="125" w:type="dxa"/>
            <w:tcBorders>
              <w:top w:val="nil"/>
              <w:bottom w:val="nil"/>
            </w:tcBorders>
            <w:vAlign w:val="top"/>
          </w:tcPr>
          <w:p w14:paraId="7A8BE23F">
            <w:pPr>
              <w:rPr>
                <w:rFonts w:ascii="Arial"/>
                <w:sz w:val="21"/>
              </w:rPr>
            </w:pPr>
          </w:p>
        </w:tc>
      </w:tr>
      <w:tr w14:paraId="0C073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5" w:type="dxa"/>
            <w:vMerge w:val="continue"/>
            <w:tcBorders>
              <w:top w:val="nil"/>
              <w:bottom w:val="nil"/>
            </w:tcBorders>
            <w:textDirection w:val="tbRlV"/>
            <w:vAlign w:val="top"/>
          </w:tcPr>
          <w:p w14:paraId="47198382">
            <w:pPr>
              <w:rPr>
                <w:rFonts w:ascii="Arial"/>
                <w:sz w:val="21"/>
              </w:rPr>
            </w:pPr>
          </w:p>
        </w:tc>
        <w:tc>
          <w:tcPr>
            <w:tcW w:w="220" w:type="dxa"/>
            <w:vMerge w:val="continue"/>
            <w:tcBorders>
              <w:top w:val="nil"/>
              <w:bottom w:val="nil"/>
            </w:tcBorders>
            <w:vAlign w:val="top"/>
          </w:tcPr>
          <w:p w14:paraId="110DFF14">
            <w:pPr>
              <w:rPr>
                <w:rFonts w:ascii="Arial"/>
                <w:sz w:val="21"/>
              </w:rPr>
            </w:pPr>
          </w:p>
        </w:tc>
        <w:tc>
          <w:tcPr>
            <w:tcW w:w="2137" w:type="dxa"/>
            <w:gridSpan w:val="4"/>
            <w:vMerge w:val="continue"/>
            <w:tcBorders>
              <w:top w:val="nil"/>
            </w:tcBorders>
            <w:vAlign w:val="top"/>
          </w:tcPr>
          <w:p w14:paraId="13E7E4F5">
            <w:pPr>
              <w:rPr>
                <w:rFonts w:ascii="Arial"/>
                <w:sz w:val="21"/>
              </w:rPr>
            </w:pPr>
          </w:p>
        </w:tc>
        <w:tc>
          <w:tcPr>
            <w:tcW w:w="1549" w:type="dxa"/>
            <w:gridSpan w:val="2"/>
            <w:vAlign w:val="top"/>
          </w:tcPr>
          <w:p w14:paraId="0E00FC60">
            <w:pPr>
              <w:pStyle w:val="6"/>
              <w:spacing w:before="28" w:line="180" w:lineRule="auto"/>
              <w:ind w:left="212"/>
              <w:rPr>
                <w:sz w:val="22"/>
                <w:szCs w:val="22"/>
              </w:rPr>
            </w:pPr>
            <w:r>
              <w:rPr>
                <w:spacing w:val="2"/>
                <w:sz w:val="22"/>
                <w:szCs w:val="22"/>
              </w:rPr>
              <w:t>24小时平均</w:t>
            </w:r>
          </w:p>
        </w:tc>
        <w:tc>
          <w:tcPr>
            <w:tcW w:w="1288" w:type="dxa"/>
            <w:gridSpan w:val="3"/>
            <w:vAlign w:val="top"/>
          </w:tcPr>
          <w:p w14:paraId="3CA3C8B9">
            <w:pPr>
              <w:pStyle w:val="6"/>
              <w:spacing w:before="49" w:line="162" w:lineRule="auto"/>
              <w:ind w:left="473"/>
              <w:rPr>
                <w:sz w:val="22"/>
                <w:szCs w:val="22"/>
              </w:rPr>
            </w:pPr>
            <w:r>
              <w:rPr>
                <w:spacing w:val="-6"/>
                <w:sz w:val="22"/>
                <w:szCs w:val="22"/>
              </w:rPr>
              <w:t>150</w:t>
            </w:r>
          </w:p>
        </w:tc>
        <w:tc>
          <w:tcPr>
            <w:tcW w:w="1158" w:type="dxa"/>
            <w:gridSpan w:val="2"/>
            <w:vMerge w:val="continue"/>
            <w:tcBorders>
              <w:top w:val="nil"/>
              <w:bottom w:val="nil"/>
            </w:tcBorders>
            <w:vAlign w:val="top"/>
          </w:tcPr>
          <w:p w14:paraId="3B3FDD23">
            <w:pPr>
              <w:rPr>
                <w:rFonts w:ascii="Arial"/>
                <w:sz w:val="21"/>
              </w:rPr>
            </w:pPr>
          </w:p>
        </w:tc>
        <w:tc>
          <w:tcPr>
            <w:tcW w:w="2237" w:type="dxa"/>
            <w:vMerge w:val="continue"/>
            <w:tcBorders>
              <w:top w:val="nil"/>
              <w:bottom w:val="nil"/>
            </w:tcBorders>
            <w:vAlign w:val="top"/>
          </w:tcPr>
          <w:p w14:paraId="4001E7F0">
            <w:pPr>
              <w:rPr>
                <w:rFonts w:ascii="Arial"/>
                <w:sz w:val="21"/>
              </w:rPr>
            </w:pPr>
          </w:p>
        </w:tc>
        <w:tc>
          <w:tcPr>
            <w:tcW w:w="125" w:type="dxa"/>
            <w:tcBorders>
              <w:top w:val="nil"/>
              <w:bottom w:val="nil"/>
            </w:tcBorders>
            <w:vAlign w:val="top"/>
          </w:tcPr>
          <w:p w14:paraId="5145AC19">
            <w:pPr>
              <w:rPr>
                <w:rFonts w:ascii="Arial"/>
                <w:sz w:val="21"/>
              </w:rPr>
            </w:pPr>
          </w:p>
        </w:tc>
      </w:tr>
      <w:tr w14:paraId="4B978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25" w:type="dxa"/>
            <w:vMerge w:val="continue"/>
            <w:tcBorders>
              <w:top w:val="nil"/>
            </w:tcBorders>
            <w:textDirection w:val="tbRlV"/>
            <w:vAlign w:val="top"/>
          </w:tcPr>
          <w:p w14:paraId="703FB12F">
            <w:pPr>
              <w:rPr>
                <w:rFonts w:ascii="Arial"/>
                <w:sz w:val="21"/>
              </w:rPr>
            </w:pPr>
          </w:p>
        </w:tc>
        <w:tc>
          <w:tcPr>
            <w:tcW w:w="220" w:type="dxa"/>
            <w:vMerge w:val="continue"/>
            <w:tcBorders>
              <w:top w:val="nil"/>
            </w:tcBorders>
            <w:vAlign w:val="top"/>
          </w:tcPr>
          <w:p w14:paraId="07B20885">
            <w:pPr>
              <w:rPr>
                <w:rFonts w:ascii="Arial"/>
                <w:sz w:val="21"/>
              </w:rPr>
            </w:pPr>
          </w:p>
        </w:tc>
        <w:tc>
          <w:tcPr>
            <w:tcW w:w="2137" w:type="dxa"/>
            <w:gridSpan w:val="4"/>
            <w:vAlign w:val="top"/>
          </w:tcPr>
          <w:p w14:paraId="5A231EC2">
            <w:pPr>
              <w:pStyle w:val="6"/>
              <w:spacing w:before="55" w:line="197" w:lineRule="auto"/>
              <w:ind w:left="229"/>
              <w:rPr>
                <w:sz w:val="22"/>
                <w:szCs w:val="22"/>
              </w:rPr>
            </w:pPr>
            <w:r>
              <w:rPr>
                <w:spacing w:val="1"/>
                <w:sz w:val="22"/>
                <w:szCs w:val="22"/>
              </w:rPr>
              <w:t>颗粒物(粒径小于</w:t>
            </w:r>
          </w:p>
        </w:tc>
        <w:tc>
          <w:tcPr>
            <w:tcW w:w="1549" w:type="dxa"/>
            <w:gridSpan w:val="2"/>
            <w:vAlign w:val="top"/>
          </w:tcPr>
          <w:p w14:paraId="774B60C8">
            <w:pPr>
              <w:pStyle w:val="6"/>
              <w:spacing w:before="55" w:line="197" w:lineRule="auto"/>
              <w:ind w:left="432"/>
              <w:rPr>
                <w:sz w:val="22"/>
                <w:szCs w:val="22"/>
              </w:rPr>
            </w:pPr>
            <w:r>
              <w:rPr>
                <w:spacing w:val="4"/>
                <w:sz w:val="22"/>
                <w:szCs w:val="22"/>
              </w:rPr>
              <w:t>年平均</w:t>
            </w:r>
          </w:p>
        </w:tc>
        <w:tc>
          <w:tcPr>
            <w:tcW w:w="1288" w:type="dxa"/>
            <w:gridSpan w:val="3"/>
            <w:vAlign w:val="top"/>
          </w:tcPr>
          <w:p w14:paraId="160BBB4B">
            <w:pPr>
              <w:pStyle w:val="6"/>
              <w:spacing w:before="76" w:line="179" w:lineRule="auto"/>
              <w:ind w:left="523"/>
              <w:rPr>
                <w:sz w:val="22"/>
                <w:szCs w:val="22"/>
              </w:rPr>
            </w:pPr>
            <w:r>
              <w:rPr>
                <w:spacing w:val="-4"/>
                <w:sz w:val="22"/>
                <w:szCs w:val="22"/>
              </w:rPr>
              <w:t>35</w:t>
            </w:r>
          </w:p>
        </w:tc>
        <w:tc>
          <w:tcPr>
            <w:tcW w:w="1158" w:type="dxa"/>
            <w:gridSpan w:val="2"/>
            <w:vMerge w:val="continue"/>
            <w:tcBorders>
              <w:top w:val="nil"/>
            </w:tcBorders>
            <w:vAlign w:val="top"/>
          </w:tcPr>
          <w:p w14:paraId="665C2780">
            <w:pPr>
              <w:rPr>
                <w:rFonts w:ascii="Arial"/>
                <w:sz w:val="21"/>
              </w:rPr>
            </w:pPr>
          </w:p>
        </w:tc>
        <w:tc>
          <w:tcPr>
            <w:tcW w:w="2237" w:type="dxa"/>
            <w:vMerge w:val="continue"/>
            <w:tcBorders>
              <w:top w:val="nil"/>
            </w:tcBorders>
            <w:vAlign w:val="top"/>
          </w:tcPr>
          <w:p w14:paraId="5BDFEDC4">
            <w:pPr>
              <w:rPr>
                <w:rFonts w:ascii="Arial"/>
                <w:sz w:val="21"/>
              </w:rPr>
            </w:pPr>
          </w:p>
        </w:tc>
        <w:tc>
          <w:tcPr>
            <w:tcW w:w="125" w:type="dxa"/>
            <w:tcBorders>
              <w:top w:val="nil"/>
            </w:tcBorders>
            <w:vAlign w:val="top"/>
          </w:tcPr>
          <w:p w14:paraId="6C1D77B4">
            <w:pPr>
              <w:rPr>
                <w:rFonts w:ascii="Arial"/>
                <w:sz w:val="21"/>
              </w:rPr>
            </w:pPr>
          </w:p>
        </w:tc>
      </w:tr>
    </w:tbl>
    <w:p w14:paraId="6BF5246A">
      <w:pPr>
        <w:pStyle w:val="2"/>
      </w:pPr>
    </w:p>
    <w:p w14:paraId="15294912">
      <w:pPr>
        <w:sectPr>
          <w:footerReference r:id="rId75" w:type="default"/>
          <w:pgSz w:w="11910" w:h="16840"/>
          <w:pgMar w:top="1431" w:right="1475" w:bottom="1255" w:left="1385" w:header="0" w:footer="1093" w:gutter="0"/>
          <w:cols w:space="720" w:num="1"/>
        </w:sectPr>
      </w:pPr>
    </w:p>
    <w:p w14:paraId="5880F814">
      <w:pPr>
        <w:spacing w:line="93" w:lineRule="exact"/>
      </w:pPr>
    </w:p>
    <w:tbl>
      <w:tblPr>
        <w:tblStyle w:val="5"/>
        <w:tblW w:w="91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
        <w:gridCol w:w="110"/>
        <w:gridCol w:w="240"/>
        <w:gridCol w:w="1688"/>
        <w:gridCol w:w="1628"/>
        <w:gridCol w:w="310"/>
        <w:gridCol w:w="1029"/>
        <w:gridCol w:w="779"/>
        <w:gridCol w:w="469"/>
        <w:gridCol w:w="2118"/>
        <w:gridCol w:w="290"/>
        <w:gridCol w:w="105"/>
      </w:tblGrid>
      <w:tr w14:paraId="567B7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34" w:type="dxa"/>
            <w:vMerge w:val="restart"/>
            <w:tcBorders>
              <w:bottom w:val="nil"/>
            </w:tcBorders>
            <w:vAlign w:val="top"/>
          </w:tcPr>
          <w:p w14:paraId="784761C1">
            <w:pPr>
              <w:rPr>
                <w:rFonts w:ascii="Arial"/>
                <w:sz w:val="21"/>
              </w:rPr>
            </w:pPr>
          </w:p>
        </w:tc>
        <w:tc>
          <w:tcPr>
            <w:tcW w:w="110" w:type="dxa"/>
            <w:tcBorders>
              <w:bottom w:val="nil"/>
            </w:tcBorders>
            <w:vAlign w:val="top"/>
          </w:tcPr>
          <w:p w14:paraId="2E267A1B">
            <w:pPr>
              <w:rPr>
                <w:rFonts w:ascii="Arial"/>
                <w:sz w:val="21"/>
              </w:rPr>
            </w:pPr>
          </w:p>
        </w:tc>
        <w:tc>
          <w:tcPr>
            <w:tcW w:w="1928" w:type="dxa"/>
            <w:gridSpan w:val="2"/>
            <w:vAlign w:val="top"/>
          </w:tcPr>
          <w:p w14:paraId="1C700667">
            <w:pPr>
              <w:pStyle w:val="6"/>
              <w:spacing w:before="34" w:line="185" w:lineRule="auto"/>
              <w:ind w:left="290"/>
            </w:pPr>
            <w:r>
              <w:rPr>
                <w:spacing w:val="6"/>
              </w:rPr>
              <w:t>等于2.5μm)</w:t>
            </w:r>
          </w:p>
        </w:tc>
        <w:tc>
          <w:tcPr>
            <w:tcW w:w="1938" w:type="dxa"/>
            <w:gridSpan w:val="2"/>
            <w:vAlign w:val="top"/>
          </w:tcPr>
          <w:p w14:paraId="1E538CD9">
            <w:pPr>
              <w:pStyle w:val="6"/>
              <w:spacing w:before="35" w:line="184" w:lineRule="auto"/>
              <w:ind w:left="363"/>
            </w:pPr>
            <w:r>
              <w:rPr>
                <w:spacing w:val="2"/>
              </w:rPr>
              <w:t>24小时平均</w:t>
            </w:r>
          </w:p>
        </w:tc>
        <w:tc>
          <w:tcPr>
            <w:tcW w:w="1029" w:type="dxa"/>
            <w:vAlign w:val="top"/>
          </w:tcPr>
          <w:p w14:paraId="05511E58">
            <w:pPr>
              <w:pStyle w:val="6"/>
              <w:spacing w:before="59" w:line="166" w:lineRule="auto"/>
              <w:ind w:left="384"/>
            </w:pPr>
            <w:r>
              <w:rPr>
                <w:spacing w:val="-4"/>
              </w:rPr>
              <w:t>75</w:t>
            </w:r>
          </w:p>
        </w:tc>
        <w:tc>
          <w:tcPr>
            <w:tcW w:w="1248" w:type="dxa"/>
            <w:gridSpan w:val="2"/>
            <w:vMerge w:val="restart"/>
            <w:tcBorders>
              <w:bottom w:val="nil"/>
            </w:tcBorders>
            <w:vAlign w:val="top"/>
          </w:tcPr>
          <w:p w14:paraId="35E37B49">
            <w:pPr>
              <w:rPr>
                <w:rFonts w:ascii="Arial"/>
                <w:sz w:val="21"/>
              </w:rPr>
            </w:pPr>
          </w:p>
        </w:tc>
        <w:tc>
          <w:tcPr>
            <w:tcW w:w="2408" w:type="dxa"/>
            <w:gridSpan w:val="2"/>
            <w:vMerge w:val="restart"/>
            <w:tcBorders>
              <w:bottom w:val="nil"/>
            </w:tcBorders>
            <w:vAlign w:val="top"/>
          </w:tcPr>
          <w:p w14:paraId="6A076302">
            <w:pPr>
              <w:rPr>
                <w:rFonts w:ascii="Arial"/>
                <w:sz w:val="21"/>
              </w:rPr>
            </w:pPr>
          </w:p>
        </w:tc>
        <w:tc>
          <w:tcPr>
            <w:tcW w:w="105" w:type="dxa"/>
            <w:tcBorders>
              <w:bottom w:val="nil"/>
            </w:tcBorders>
            <w:shd w:val="clear" w:color="auto" w:fill="FFFFFF"/>
            <w:vAlign w:val="top"/>
          </w:tcPr>
          <w:p w14:paraId="74799DEB">
            <w:pPr>
              <w:rPr>
                <w:rFonts w:ascii="Arial"/>
                <w:sz w:val="21"/>
              </w:rPr>
            </w:pPr>
          </w:p>
        </w:tc>
      </w:tr>
      <w:tr w14:paraId="5EB63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334" w:type="dxa"/>
            <w:vMerge w:val="continue"/>
            <w:tcBorders>
              <w:top w:val="nil"/>
              <w:bottom w:val="nil"/>
            </w:tcBorders>
            <w:vAlign w:val="top"/>
          </w:tcPr>
          <w:p w14:paraId="51C16F57">
            <w:pPr>
              <w:rPr>
                <w:rFonts w:ascii="Arial"/>
                <w:sz w:val="21"/>
              </w:rPr>
            </w:pPr>
          </w:p>
        </w:tc>
        <w:tc>
          <w:tcPr>
            <w:tcW w:w="110" w:type="dxa"/>
            <w:tcBorders>
              <w:top w:val="nil"/>
              <w:bottom w:val="nil"/>
            </w:tcBorders>
            <w:vAlign w:val="top"/>
          </w:tcPr>
          <w:p w14:paraId="5612E78D">
            <w:pPr>
              <w:rPr>
                <w:rFonts w:ascii="Arial"/>
                <w:sz w:val="21"/>
              </w:rPr>
            </w:pPr>
          </w:p>
        </w:tc>
        <w:tc>
          <w:tcPr>
            <w:tcW w:w="1928" w:type="dxa"/>
            <w:gridSpan w:val="2"/>
            <w:vMerge w:val="restart"/>
            <w:tcBorders>
              <w:bottom w:val="nil"/>
            </w:tcBorders>
            <w:vAlign w:val="top"/>
          </w:tcPr>
          <w:p w14:paraId="51B56E0E">
            <w:pPr>
              <w:pStyle w:val="6"/>
              <w:spacing w:before="191" w:line="221" w:lineRule="auto"/>
              <w:ind w:left="171"/>
            </w:pPr>
            <w:r>
              <w:rPr>
                <w:spacing w:val="8"/>
              </w:rPr>
              <w:t>总悬浮物(</w:t>
            </w:r>
            <w:r>
              <w:t>TSP</w:t>
            </w:r>
            <w:r>
              <w:rPr>
                <w:spacing w:val="8"/>
              </w:rPr>
              <w:t>)</w:t>
            </w:r>
          </w:p>
        </w:tc>
        <w:tc>
          <w:tcPr>
            <w:tcW w:w="1938" w:type="dxa"/>
            <w:gridSpan w:val="2"/>
            <w:vAlign w:val="top"/>
          </w:tcPr>
          <w:p w14:paraId="37557646">
            <w:pPr>
              <w:pStyle w:val="6"/>
              <w:spacing w:before="38" w:line="190" w:lineRule="auto"/>
              <w:ind w:left="603"/>
            </w:pPr>
            <w:r>
              <w:rPr>
                <w:spacing w:val="5"/>
              </w:rPr>
              <w:t>年平均</w:t>
            </w:r>
          </w:p>
        </w:tc>
        <w:tc>
          <w:tcPr>
            <w:tcW w:w="1029" w:type="dxa"/>
            <w:vAlign w:val="top"/>
          </w:tcPr>
          <w:p w14:paraId="4635B212">
            <w:pPr>
              <w:pStyle w:val="6"/>
              <w:spacing w:before="63" w:line="171" w:lineRule="auto"/>
              <w:ind w:left="325"/>
            </w:pPr>
            <w:r>
              <w:rPr>
                <w:spacing w:val="-3"/>
              </w:rPr>
              <w:t>200</w:t>
            </w:r>
          </w:p>
        </w:tc>
        <w:tc>
          <w:tcPr>
            <w:tcW w:w="1248" w:type="dxa"/>
            <w:gridSpan w:val="2"/>
            <w:vMerge w:val="continue"/>
            <w:tcBorders>
              <w:top w:val="nil"/>
              <w:bottom w:val="nil"/>
            </w:tcBorders>
            <w:vAlign w:val="top"/>
          </w:tcPr>
          <w:p w14:paraId="0CD755CC">
            <w:pPr>
              <w:rPr>
                <w:rFonts w:ascii="Arial"/>
                <w:sz w:val="21"/>
              </w:rPr>
            </w:pPr>
          </w:p>
        </w:tc>
        <w:tc>
          <w:tcPr>
            <w:tcW w:w="2408" w:type="dxa"/>
            <w:gridSpan w:val="2"/>
            <w:vMerge w:val="continue"/>
            <w:tcBorders>
              <w:top w:val="nil"/>
              <w:bottom w:val="nil"/>
            </w:tcBorders>
            <w:vAlign w:val="top"/>
          </w:tcPr>
          <w:p w14:paraId="41BF63B8">
            <w:pPr>
              <w:rPr>
                <w:rFonts w:ascii="Arial"/>
                <w:sz w:val="21"/>
              </w:rPr>
            </w:pPr>
          </w:p>
        </w:tc>
        <w:tc>
          <w:tcPr>
            <w:tcW w:w="105" w:type="dxa"/>
            <w:tcBorders>
              <w:top w:val="nil"/>
              <w:bottom w:val="nil"/>
            </w:tcBorders>
            <w:shd w:val="clear" w:color="auto" w:fill="FFFFFF"/>
            <w:vAlign w:val="top"/>
          </w:tcPr>
          <w:p w14:paraId="26FE4B35">
            <w:pPr>
              <w:rPr>
                <w:rFonts w:ascii="Arial"/>
                <w:sz w:val="21"/>
              </w:rPr>
            </w:pPr>
          </w:p>
        </w:tc>
      </w:tr>
      <w:tr w14:paraId="1545F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334" w:type="dxa"/>
            <w:vMerge w:val="continue"/>
            <w:tcBorders>
              <w:top w:val="nil"/>
              <w:bottom w:val="nil"/>
            </w:tcBorders>
            <w:vAlign w:val="top"/>
          </w:tcPr>
          <w:p w14:paraId="183A11A2">
            <w:pPr>
              <w:rPr>
                <w:rFonts w:ascii="Arial"/>
                <w:sz w:val="21"/>
              </w:rPr>
            </w:pPr>
          </w:p>
        </w:tc>
        <w:tc>
          <w:tcPr>
            <w:tcW w:w="110" w:type="dxa"/>
            <w:tcBorders>
              <w:top w:val="nil"/>
              <w:bottom w:val="nil"/>
            </w:tcBorders>
            <w:vAlign w:val="top"/>
          </w:tcPr>
          <w:p w14:paraId="177A4215">
            <w:pPr>
              <w:rPr>
                <w:rFonts w:ascii="Arial"/>
                <w:sz w:val="21"/>
              </w:rPr>
            </w:pPr>
          </w:p>
        </w:tc>
        <w:tc>
          <w:tcPr>
            <w:tcW w:w="1928" w:type="dxa"/>
            <w:gridSpan w:val="2"/>
            <w:vMerge w:val="continue"/>
            <w:tcBorders>
              <w:top w:val="nil"/>
            </w:tcBorders>
            <w:vAlign w:val="top"/>
          </w:tcPr>
          <w:p w14:paraId="3AFF2E12">
            <w:pPr>
              <w:rPr>
                <w:rFonts w:ascii="Arial"/>
                <w:sz w:val="21"/>
              </w:rPr>
            </w:pPr>
          </w:p>
        </w:tc>
        <w:tc>
          <w:tcPr>
            <w:tcW w:w="1938" w:type="dxa"/>
            <w:gridSpan w:val="2"/>
            <w:vAlign w:val="top"/>
          </w:tcPr>
          <w:p w14:paraId="1D21B327">
            <w:pPr>
              <w:pStyle w:val="6"/>
              <w:spacing w:before="34" w:line="182" w:lineRule="auto"/>
              <w:ind w:left="363"/>
            </w:pPr>
            <w:r>
              <w:rPr>
                <w:spacing w:val="2"/>
              </w:rPr>
              <w:t>24小时平均</w:t>
            </w:r>
          </w:p>
        </w:tc>
        <w:tc>
          <w:tcPr>
            <w:tcW w:w="1029" w:type="dxa"/>
            <w:vAlign w:val="top"/>
          </w:tcPr>
          <w:p w14:paraId="28BBCA70">
            <w:pPr>
              <w:pStyle w:val="6"/>
              <w:spacing w:before="57" w:line="164" w:lineRule="auto"/>
              <w:ind w:left="325"/>
            </w:pPr>
            <w:r>
              <w:rPr>
                <w:spacing w:val="-4"/>
              </w:rPr>
              <w:t>300</w:t>
            </w:r>
          </w:p>
        </w:tc>
        <w:tc>
          <w:tcPr>
            <w:tcW w:w="1248" w:type="dxa"/>
            <w:gridSpan w:val="2"/>
            <w:vMerge w:val="continue"/>
            <w:tcBorders>
              <w:top w:val="nil"/>
              <w:bottom w:val="nil"/>
            </w:tcBorders>
            <w:vAlign w:val="top"/>
          </w:tcPr>
          <w:p w14:paraId="61EFC284">
            <w:pPr>
              <w:rPr>
                <w:rFonts w:ascii="Arial"/>
                <w:sz w:val="21"/>
              </w:rPr>
            </w:pPr>
          </w:p>
        </w:tc>
        <w:tc>
          <w:tcPr>
            <w:tcW w:w="2408" w:type="dxa"/>
            <w:gridSpan w:val="2"/>
            <w:vMerge w:val="continue"/>
            <w:tcBorders>
              <w:top w:val="nil"/>
              <w:bottom w:val="nil"/>
            </w:tcBorders>
            <w:vAlign w:val="top"/>
          </w:tcPr>
          <w:p w14:paraId="067C2D06">
            <w:pPr>
              <w:rPr>
                <w:rFonts w:ascii="Arial"/>
                <w:sz w:val="21"/>
              </w:rPr>
            </w:pPr>
          </w:p>
        </w:tc>
        <w:tc>
          <w:tcPr>
            <w:tcW w:w="105" w:type="dxa"/>
            <w:tcBorders>
              <w:top w:val="nil"/>
              <w:bottom w:val="nil"/>
            </w:tcBorders>
            <w:shd w:val="clear" w:color="auto" w:fill="FFFFFF"/>
            <w:vAlign w:val="top"/>
          </w:tcPr>
          <w:p w14:paraId="49AA1A4E">
            <w:pPr>
              <w:rPr>
                <w:rFonts w:ascii="Arial"/>
                <w:sz w:val="21"/>
              </w:rPr>
            </w:pPr>
          </w:p>
        </w:tc>
      </w:tr>
      <w:tr w14:paraId="64A17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34" w:type="dxa"/>
            <w:vMerge w:val="continue"/>
            <w:tcBorders>
              <w:top w:val="nil"/>
              <w:bottom w:val="nil"/>
            </w:tcBorders>
            <w:vAlign w:val="top"/>
          </w:tcPr>
          <w:p w14:paraId="319DBCBA">
            <w:pPr>
              <w:rPr>
                <w:rFonts w:ascii="Arial"/>
                <w:sz w:val="21"/>
              </w:rPr>
            </w:pPr>
          </w:p>
        </w:tc>
        <w:tc>
          <w:tcPr>
            <w:tcW w:w="110" w:type="dxa"/>
            <w:tcBorders>
              <w:top w:val="nil"/>
              <w:bottom w:val="nil"/>
            </w:tcBorders>
            <w:vAlign w:val="top"/>
          </w:tcPr>
          <w:p w14:paraId="2F0BDBD3">
            <w:pPr>
              <w:rPr>
                <w:rFonts w:ascii="Arial"/>
                <w:sz w:val="21"/>
              </w:rPr>
            </w:pPr>
          </w:p>
        </w:tc>
        <w:tc>
          <w:tcPr>
            <w:tcW w:w="1928" w:type="dxa"/>
            <w:gridSpan w:val="2"/>
            <w:vMerge w:val="restart"/>
            <w:tcBorders>
              <w:bottom w:val="nil"/>
            </w:tcBorders>
            <w:vAlign w:val="top"/>
          </w:tcPr>
          <w:p w14:paraId="5C532DF5">
            <w:pPr>
              <w:pStyle w:val="6"/>
              <w:spacing w:before="181" w:line="219" w:lineRule="auto"/>
              <w:ind w:left="711"/>
            </w:pPr>
            <w:r>
              <w:rPr>
                <w:spacing w:val="-3"/>
              </w:rPr>
              <w:t>臭氧</w:t>
            </w:r>
          </w:p>
        </w:tc>
        <w:tc>
          <w:tcPr>
            <w:tcW w:w="1938" w:type="dxa"/>
            <w:gridSpan w:val="2"/>
            <w:vAlign w:val="top"/>
          </w:tcPr>
          <w:p w14:paraId="390FB5DB">
            <w:pPr>
              <w:pStyle w:val="6"/>
              <w:spacing w:before="43" w:line="185" w:lineRule="auto"/>
              <w:ind w:left="422"/>
            </w:pPr>
            <w:r>
              <w:rPr>
                <w:spacing w:val="3"/>
              </w:rPr>
              <w:t>1小时平均</w:t>
            </w:r>
          </w:p>
        </w:tc>
        <w:tc>
          <w:tcPr>
            <w:tcW w:w="1029" w:type="dxa"/>
            <w:vAlign w:val="top"/>
          </w:tcPr>
          <w:p w14:paraId="28BF8C1B">
            <w:pPr>
              <w:pStyle w:val="6"/>
              <w:spacing w:before="66" w:line="167" w:lineRule="auto"/>
              <w:ind w:left="325"/>
            </w:pPr>
            <w:r>
              <w:rPr>
                <w:spacing w:val="-3"/>
              </w:rPr>
              <w:t>200</w:t>
            </w:r>
          </w:p>
        </w:tc>
        <w:tc>
          <w:tcPr>
            <w:tcW w:w="1248" w:type="dxa"/>
            <w:gridSpan w:val="2"/>
            <w:vMerge w:val="continue"/>
            <w:tcBorders>
              <w:top w:val="nil"/>
              <w:bottom w:val="nil"/>
            </w:tcBorders>
            <w:vAlign w:val="top"/>
          </w:tcPr>
          <w:p w14:paraId="49C1CE96">
            <w:pPr>
              <w:rPr>
                <w:rFonts w:ascii="Arial"/>
                <w:sz w:val="21"/>
              </w:rPr>
            </w:pPr>
          </w:p>
        </w:tc>
        <w:tc>
          <w:tcPr>
            <w:tcW w:w="2408" w:type="dxa"/>
            <w:gridSpan w:val="2"/>
            <w:vMerge w:val="continue"/>
            <w:tcBorders>
              <w:top w:val="nil"/>
              <w:bottom w:val="nil"/>
            </w:tcBorders>
            <w:vAlign w:val="top"/>
          </w:tcPr>
          <w:p w14:paraId="6E33A7B8">
            <w:pPr>
              <w:rPr>
                <w:rFonts w:ascii="Arial"/>
                <w:sz w:val="21"/>
              </w:rPr>
            </w:pPr>
          </w:p>
        </w:tc>
        <w:tc>
          <w:tcPr>
            <w:tcW w:w="105" w:type="dxa"/>
            <w:tcBorders>
              <w:top w:val="nil"/>
              <w:bottom w:val="nil"/>
            </w:tcBorders>
            <w:shd w:val="clear" w:color="auto" w:fill="FFFFFF"/>
            <w:vAlign w:val="top"/>
          </w:tcPr>
          <w:p w14:paraId="4F4D3BF9">
            <w:pPr>
              <w:rPr>
                <w:rFonts w:ascii="Arial"/>
                <w:sz w:val="21"/>
              </w:rPr>
            </w:pPr>
          </w:p>
        </w:tc>
      </w:tr>
      <w:tr w14:paraId="6B1A2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334" w:type="dxa"/>
            <w:vMerge w:val="continue"/>
            <w:tcBorders>
              <w:top w:val="nil"/>
              <w:bottom w:val="nil"/>
            </w:tcBorders>
            <w:vAlign w:val="top"/>
          </w:tcPr>
          <w:p w14:paraId="178D5643">
            <w:pPr>
              <w:rPr>
                <w:rFonts w:ascii="Arial"/>
                <w:sz w:val="21"/>
              </w:rPr>
            </w:pPr>
          </w:p>
        </w:tc>
        <w:tc>
          <w:tcPr>
            <w:tcW w:w="110" w:type="dxa"/>
            <w:tcBorders>
              <w:top w:val="nil"/>
            </w:tcBorders>
            <w:vAlign w:val="top"/>
          </w:tcPr>
          <w:p w14:paraId="6639A439">
            <w:pPr>
              <w:rPr>
                <w:rFonts w:ascii="Arial"/>
                <w:sz w:val="21"/>
              </w:rPr>
            </w:pPr>
          </w:p>
        </w:tc>
        <w:tc>
          <w:tcPr>
            <w:tcW w:w="1928" w:type="dxa"/>
            <w:gridSpan w:val="2"/>
            <w:vMerge w:val="continue"/>
            <w:tcBorders>
              <w:top w:val="nil"/>
            </w:tcBorders>
            <w:vAlign w:val="top"/>
          </w:tcPr>
          <w:p w14:paraId="0177E819">
            <w:pPr>
              <w:rPr>
                <w:rFonts w:ascii="Arial"/>
                <w:sz w:val="21"/>
              </w:rPr>
            </w:pPr>
          </w:p>
        </w:tc>
        <w:tc>
          <w:tcPr>
            <w:tcW w:w="1938" w:type="dxa"/>
            <w:gridSpan w:val="2"/>
            <w:vAlign w:val="top"/>
          </w:tcPr>
          <w:p w14:paraId="0245470E">
            <w:pPr>
              <w:pStyle w:val="6"/>
              <w:spacing w:before="28" w:line="191" w:lineRule="auto"/>
              <w:ind w:left="63"/>
            </w:pPr>
            <w:r>
              <w:rPr>
                <w:spacing w:val="1"/>
              </w:rPr>
              <w:t>日最大8小时平均</w:t>
            </w:r>
          </w:p>
        </w:tc>
        <w:tc>
          <w:tcPr>
            <w:tcW w:w="1029" w:type="dxa"/>
            <w:vAlign w:val="top"/>
          </w:tcPr>
          <w:p w14:paraId="0F5A8817">
            <w:pPr>
              <w:pStyle w:val="6"/>
              <w:spacing w:before="52" w:line="173" w:lineRule="auto"/>
              <w:ind w:left="325"/>
            </w:pPr>
            <w:r>
              <w:rPr>
                <w:spacing w:val="-7"/>
              </w:rPr>
              <w:t>160</w:t>
            </w:r>
          </w:p>
        </w:tc>
        <w:tc>
          <w:tcPr>
            <w:tcW w:w="1248" w:type="dxa"/>
            <w:gridSpan w:val="2"/>
            <w:vMerge w:val="continue"/>
            <w:tcBorders>
              <w:top w:val="nil"/>
            </w:tcBorders>
            <w:vAlign w:val="top"/>
          </w:tcPr>
          <w:p w14:paraId="4D497E8D">
            <w:pPr>
              <w:rPr>
                <w:rFonts w:ascii="Arial"/>
                <w:sz w:val="21"/>
              </w:rPr>
            </w:pPr>
          </w:p>
        </w:tc>
        <w:tc>
          <w:tcPr>
            <w:tcW w:w="2408" w:type="dxa"/>
            <w:gridSpan w:val="2"/>
            <w:vMerge w:val="continue"/>
            <w:tcBorders>
              <w:top w:val="nil"/>
            </w:tcBorders>
            <w:vAlign w:val="top"/>
          </w:tcPr>
          <w:p w14:paraId="5AED2C93">
            <w:pPr>
              <w:rPr>
                <w:rFonts w:ascii="Arial"/>
                <w:sz w:val="21"/>
              </w:rPr>
            </w:pPr>
          </w:p>
        </w:tc>
        <w:tc>
          <w:tcPr>
            <w:tcW w:w="105" w:type="dxa"/>
            <w:tcBorders>
              <w:top w:val="nil"/>
            </w:tcBorders>
            <w:shd w:val="clear" w:color="auto" w:fill="FFFFFF"/>
            <w:vAlign w:val="top"/>
          </w:tcPr>
          <w:p w14:paraId="66E87BA5">
            <w:pPr>
              <w:rPr>
                <w:rFonts w:ascii="Arial"/>
                <w:sz w:val="21"/>
              </w:rPr>
            </w:pPr>
          </w:p>
        </w:tc>
      </w:tr>
      <w:tr w14:paraId="6B5DC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1" w:hRule="atLeast"/>
        </w:trPr>
        <w:tc>
          <w:tcPr>
            <w:tcW w:w="334" w:type="dxa"/>
            <w:vMerge w:val="continue"/>
            <w:tcBorders>
              <w:top w:val="nil"/>
              <w:bottom w:val="nil"/>
            </w:tcBorders>
            <w:vAlign w:val="top"/>
          </w:tcPr>
          <w:p w14:paraId="44A9F92E">
            <w:pPr>
              <w:rPr>
                <w:rFonts w:ascii="Arial"/>
                <w:sz w:val="21"/>
              </w:rPr>
            </w:pPr>
          </w:p>
        </w:tc>
        <w:tc>
          <w:tcPr>
            <w:tcW w:w="8766" w:type="dxa"/>
            <w:gridSpan w:val="11"/>
            <w:vAlign w:val="top"/>
          </w:tcPr>
          <w:p w14:paraId="5C757A32">
            <w:pPr>
              <w:pStyle w:val="6"/>
              <w:spacing w:before="188" w:line="219" w:lineRule="auto"/>
              <w:ind w:left="574"/>
            </w:pPr>
            <w:r>
              <w:rPr>
                <w:b/>
                <w:bCs/>
                <w:spacing w:val="-4"/>
              </w:rPr>
              <w:t>2、地表水环境质量标准</w:t>
            </w:r>
          </w:p>
          <w:p w14:paraId="6CDA1964">
            <w:pPr>
              <w:pStyle w:val="6"/>
              <w:spacing w:before="227" w:line="380" w:lineRule="auto"/>
              <w:ind w:left="110" w:right="4" w:firstLine="410"/>
            </w:pPr>
            <w:r>
              <w:t>项目区域内无常流地表水，占地区域周边分布有己沃水库、龙海水库、中路水</w:t>
            </w:r>
            <w:r>
              <w:rPr>
                <w:spacing w:val="10"/>
              </w:rPr>
              <w:t xml:space="preserve"> </w:t>
            </w:r>
            <w:r>
              <w:t>库和周家箐水库，其中己沃水库、龙海水库、中路水库为小二型水库，农灌用水。 周家箐水库为饮用水源，已划定饮用水保护区，位于地块5西北侧900m,项目占</w:t>
            </w:r>
          </w:p>
          <w:p w14:paraId="4233E616">
            <w:pPr>
              <w:pStyle w:val="6"/>
              <w:spacing w:before="30" w:line="376" w:lineRule="auto"/>
              <w:ind w:left="90" w:right="350" w:firstLine="20"/>
            </w:pPr>
            <w:r>
              <w:t>地范围与周家箐水库饮用水保护区的位置关系详见附图</w:t>
            </w:r>
            <w:r>
              <w:rPr>
                <w:spacing w:val="-1"/>
              </w:rPr>
              <w:t>6。常流水的河流为中寨</w:t>
            </w:r>
            <w:r>
              <w:t xml:space="preserve"> 河，中寨河发源于地块5周边山箐，经己沃水库流出后自南向北在下游15km中和</w:t>
            </w:r>
            <w:r>
              <w:rPr>
                <w:spacing w:val="18"/>
              </w:rPr>
              <w:t xml:space="preserve"> </w:t>
            </w:r>
            <w:r>
              <w:rPr>
                <w:spacing w:val="1"/>
              </w:rPr>
              <w:t>村处汇入马龙河，马龙河在下游5</w:t>
            </w:r>
            <w:r>
              <w:t>km</w:t>
            </w:r>
            <w:r>
              <w:rPr>
                <w:spacing w:val="1"/>
              </w:rPr>
              <w:t>处汇入凤龙湾水库。根据云南省水利厅《云</w:t>
            </w:r>
            <w:r>
              <w:t xml:space="preserve"> </w:t>
            </w:r>
            <w:r>
              <w:rPr>
                <w:spacing w:val="1"/>
              </w:rPr>
              <w:t>南省水功能区划(2014年修订)》(云政复【2014】27号</w:t>
            </w:r>
            <w:r>
              <w:t>),中寨河位于马龙河</w:t>
            </w:r>
          </w:p>
          <w:p w14:paraId="7F90BEF1">
            <w:pPr>
              <w:pStyle w:val="6"/>
              <w:spacing w:before="23" w:line="219" w:lineRule="auto"/>
              <w:ind w:left="50"/>
            </w:pPr>
            <w:r>
              <w:t>马龙保留区：由东光厂至凤龙湾水库库尾，现状水质为Ⅲ类，规划水平年水质目标</w:t>
            </w:r>
          </w:p>
          <w:p w14:paraId="4A480E1C">
            <w:pPr>
              <w:pStyle w:val="6"/>
              <w:spacing w:before="216" w:line="379" w:lineRule="auto"/>
              <w:ind w:left="227" w:hanging="217"/>
            </w:pPr>
            <w:r>
              <w:rPr>
                <w:spacing w:val="-4"/>
              </w:rPr>
              <w:t>为Ⅲ类，代表断面车马碧。项目区中寨河水环境质量应执行《地表水环境质量标准》</w:t>
            </w:r>
            <w:r>
              <w:rPr>
                <w:spacing w:val="12"/>
              </w:rPr>
              <w:t xml:space="preserve"> </w:t>
            </w:r>
            <w:r>
              <w:rPr>
                <w:spacing w:val="-2"/>
              </w:rPr>
              <w:t>(GB3838-2002)Ⅲ类标准。详见表3-12。</w:t>
            </w:r>
          </w:p>
          <w:p w14:paraId="165084CD">
            <w:pPr>
              <w:pStyle w:val="6"/>
              <w:spacing w:line="219" w:lineRule="auto"/>
              <w:ind w:left="2934"/>
            </w:pPr>
            <w:r>
              <w:rPr>
                <w:b/>
                <w:bCs/>
                <w:spacing w:val="-4"/>
              </w:rPr>
              <w:t>表3-13地表水环境质量标准</w:t>
            </w:r>
          </w:p>
          <w:p w14:paraId="236B0C4D">
            <w:pPr>
              <w:spacing w:line="34" w:lineRule="exact"/>
            </w:pPr>
          </w:p>
          <w:tbl>
            <w:tblPr>
              <w:tblStyle w:val="5"/>
              <w:tblW w:w="843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3"/>
              <w:gridCol w:w="2167"/>
              <w:gridCol w:w="2167"/>
              <w:gridCol w:w="2163"/>
            </w:tblGrid>
            <w:tr w14:paraId="11019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933" w:type="dxa"/>
                  <w:vAlign w:val="top"/>
                </w:tcPr>
                <w:p w14:paraId="57836B8C">
                  <w:pPr>
                    <w:pStyle w:val="6"/>
                    <w:spacing w:before="64" w:line="216" w:lineRule="auto"/>
                    <w:ind w:left="724"/>
                    <w:rPr>
                      <w:sz w:val="23"/>
                      <w:szCs w:val="23"/>
                    </w:rPr>
                  </w:pPr>
                  <w:r>
                    <w:rPr>
                      <w:spacing w:val="-7"/>
                      <w:sz w:val="23"/>
                      <w:szCs w:val="23"/>
                    </w:rPr>
                    <w:t>项 目</w:t>
                  </w:r>
                </w:p>
              </w:tc>
              <w:tc>
                <w:tcPr>
                  <w:tcW w:w="2167" w:type="dxa"/>
                  <w:vAlign w:val="top"/>
                </w:tcPr>
                <w:p w14:paraId="10E1E013">
                  <w:pPr>
                    <w:pStyle w:val="6"/>
                    <w:spacing w:before="63" w:line="217" w:lineRule="auto"/>
                    <w:ind w:left="612"/>
                    <w:rPr>
                      <w:sz w:val="23"/>
                      <w:szCs w:val="23"/>
                    </w:rPr>
                  </w:pPr>
                  <w:r>
                    <w:rPr>
                      <w:spacing w:val="-2"/>
                      <w:sz w:val="23"/>
                      <w:szCs w:val="23"/>
                    </w:rPr>
                    <w:t>Ⅲ类标准</w:t>
                  </w:r>
                </w:p>
              </w:tc>
              <w:tc>
                <w:tcPr>
                  <w:tcW w:w="2167" w:type="dxa"/>
                  <w:vAlign w:val="top"/>
                </w:tcPr>
                <w:p w14:paraId="7E29FF00">
                  <w:pPr>
                    <w:pStyle w:val="6"/>
                    <w:spacing w:before="64" w:line="216" w:lineRule="auto"/>
                    <w:ind w:left="845"/>
                    <w:rPr>
                      <w:sz w:val="23"/>
                      <w:szCs w:val="23"/>
                    </w:rPr>
                  </w:pPr>
                  <w:r>
                    <w:rPr>
                      <w:spacing w:val="-7"/>
                      <w:sz w:val="23"/>
                      <w:szCs w:val="23"/>
                    </w:rPr>
                    <w:t>项 目</w:t>
                  </w:r>
                </w:p>
              </w:tc>
              <w:tc>
                <w:tcPr>
                  <w:tcW w:w="2163" w:type="dxa"/>
                  <w:vAlign w:val="top"/>
                </w:tcPr>
                <w:p w14:paraId="22A8476F">
                  <w:pPr>
                    <w:pStyle w:val="6"/>
                    <w:spacing w:before="63" w:line="217" w:lineRule="auto"/>
                    <w:ind w:left="618"/>
                    <w:rPr>
                      <w:sz w:val="23"/>
                      <w:szCs w:val="23"/>
                    </w:rPr>
                  </w:pPr>
                  <w:r>
                    <w:rPr>
                      <w:spacing w:val="-2"/>
                      <w:sz w:val="23"/>
                      <w:szCs w:val="23"/>
                    </w:rPr>
                    <w:t>Ⅲ类标准</w:t>
                  </w:r>
                </w:p>
              </w:tc>
            </w:tr>
            <w:tr w14:paraId="30021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933" w:type="dxa"/>
                  <w:vAlign w:val="top"/>
                </w:tcPr>
                <w:p w14:paraId="71B258C7">
                  <w:pPr>
                    <w:pStyle w:val="6"/>
                    <w:spacing w:before="43" w:line="213" w:lineRule="auto"/>
                    <w:ind w:left="385"/>
                    <w:rPr>
                      <w:sz w:val="23"/>
                      <w:szCs w:val="23"/>
                    </w:rPr>
                  </w:pPr>
                  <w:r>
                    <w:rPr>
                      <w:sz w:val="23"/>
                      <w:szCs w:val="23"/>
                    </w:rPr>
                    <w:t>pH</w:t>
                  </w:r>
                  <w:r>
                    <w:rPr>
                      <w:spacing w:val="10"/>
                      <w:sz w:val="23"/>
                      <w:szCs w:val="23"/>
                    </w:rPr>
                    <w:t>(无量纲)</w:t>
                  </w:r>
                </w:p>
              </w:tc>
              <w:tc>
                <w:tcPr>
                  <w:tcW w:w="2167" w:type="dxa"/>
                  <w:vAlign w:val="top"/>
                </w:tcPr>
                <w:p w14:paraId="155BB376">
                  <w:pPr>
                    <w:pStyle w:val="6"/>
                    <w:spacing w:before="73" w:line="189" w:lineRule="auto"/>
                    <w:ind w:left="902"/>
                    <w:rPr>
                      <w:sz w:val="23"/>
                      <w:szCs w:val="23"/>
                    </w:rPr>
                  </w:pPr>
                  <w:r>
                    <w:rPr>
                      <w:spacing w:val="-4"/>
                      <w:sz w:val="23"/>
                      <w:szCs w:val="23"/>
                    </w:rPr>
                    <w:t>6-9</w:t>
                  </w:r>
                </w:p>
              </w:tc>
              <w:tc>
                <w:tcPr>
                  <w:tcW w:w="2167" w:type="dxa"/>
                  <w:vAlign w:val="top"/>
                </w:tcPr>
                <w:p w14:paraId="362F550B">
                  <w:pPr>
                    <w:pStyle w:val="6"/>
                    <w:spacing w:before="43" w:line="213" w:lineRule="auto"/>
                    <w:ind w:left="444"/>
                    <w:rPr>
                      <w:sz w:val="23"/>
                      <w:szCs w:val="23"/>
                    </w:rPr>
                  </w:pPr>
                  <w:r>
                    <w:rPr>
                      <w:spacing w:val="-5"/>
                      <w:sz w:val="23"/>
                      <w:szCs w:val="23"/>
                    </w:rPr>
                    <w:t>BOD</w:t>
                  </w:r>
                  <w:r>
                    <w:rPr>
                      <w:rFonts w:ascii="Calibri" w:hAnsi="Calibri" w:eastAsia="Calibri" w:cs="Calibri"/>
                      <w:spacing w:val="-5"/>
                      <w:sz w:val="23"/>
                      <w:szCs w:val="23"/>
                    </w:rPr>
                    <w:t xml:space="preserve">₅ </w:t>
                  </w:r>
                  <w:r>
                    <w:rPr>
                      <w:spacing w:val="-5"/>
                      <w:sz w:val="23"/>
                      <w:szCs w:val="23"/>
                    </w:rPr>
                    <w:t>(mg/L)</w:t>
                  </w:r>
                </w:p>
              </w:tc>
              <w:tc>
                <w:tcPr>
                  <w:tcW w:w="2163" w:type="dxa"/>
                  <w:vAlign w:val="top"/>
                </w:tcPr>
                <w:p w14:paraId="27D9B276">
                  <w:pPr>
                    <w:pStyle w:val="6"/>
                    <w:spacing w:before="71" w:line="191" w:lineRule="auto"/>
                    <w:ind w:left="898"/>
                    <w:rPr>
                      <w:sz w:val="23"/>
                      <w:szCs w:val="23"/>
                    </w:rPr>
                  </w:pPr>
                  <w:r>
                    <w:rPr>
                      <w:spacing w:val="-9"/>
                      <w:sz w:val="23"/>
                      <w:szCs w:val="23"/>
                    </w:rPr>
                    <w:t>≤4</w:t>
                  </w:r>
                </w:p>
              </w:tc>
            </w:tr>
            <w:tr w14:paraId="40768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933" w:type="dxa"/>
                  <w:vAlign w:val="top"/>
                </w:tcPr>
                <w:p w14:paraId="4138CE0C">
                  <w:pPr>
                    <w:pStyle w:val="6"/>
                    <w:spacing w:before="43" w:line="213" w:lineRule="auto"/>
                    <w:ind w:left="435"/>
                    <w:rPr>
                      <w:sz w:val="23"/>
                      <w:szCs w:val="23"/>
                    </w:rPr>
                  </w:pPr>
                  <w:r>
                    <w:rPr>
                      <w:spacing w:val="-1"/>
                      <w:sz w:val="23"/>
                      <w:szCs w:val="23"/>
                    </w:rPr>
                    <w:t>COD(mg/L)</w:t>
                  </w:r>
                </w:p>
              </w:tc>
              <w:tc>
                <w:tcPr>
                  <w:tcW w:w="2167" w:type="dxa"/>
                  <w:vAlign w:val="top"/>
                </w:tcPr>
                <w:p w14:paraId="32EB7D50">
                  <w:pPr>
                    <w:pStyle w:val="6"/>
                    <w:spacing w:before="72" w:line="190" w:lineRule="auto"/>
                    <w:ind w:left="842"/>
                    <w:rPr>
                      <w:sz w:val="23"/>
                      <w:szCs w:val="23"/>
                    </w:rPr>
                  </w:pPr>
                  <w:r>
                    <w:rPr>
                      <w:spacing w:val="-7"/>
                      <w:sz w:val="23"/>
                      <w:szCs w:val="23"/>
                    </w:rPr>
                    <w:t>≤20</w:t>
                  </w:r>
                </w:p>
              </w:tc>
              <w:tc>
                <w:tcPr>
                  <w:tcW w:w="2167" w:type="dxa"/>
                  <w:vAlign w:val="top"/>
                </w:tcPr>
                <w:p w14:paraId="6702572B">
                  <w:pPr>
                    <w:pStyle w:val="6"/>
                    <w:spacing w:before="43" w:line="213" w:lineRule="auto"/>
                    <w:ind w:left="505"/>
                    <w:rPr>
                      <w:sz w:val="23"/>
                      <w:szCs w:val="23"/>
                    </w:rPr>
                  </w:pPr>
                  <w:r>
                    <w:rPr>
                      <w:spacing w:val="8"/>
                      <w:sz w:val="23"/>
                      <w:szCs w:val="23"/>
                    </w:rPr>
                    <w:t>总磷(</w:t>
                  </w:r>
                  <w:r>
                    <w:rPr>
                      <w:sz w:val="23"/>
                      <w:szCs w:val="23"/>
                    </w:rPr>
                    <w:t>mg</w:t>
                  </w:r>
                  <w:r>
                    <w:rPr>
                      <w:spacing w:val="8"/>
                      <w:sz w:val="23"/>
                      <w:szCs w:val="23"/>
                    </w:rPr>
                    <w:t>/L)</w:t>
                  </w:r>
                </w:p>
              </w:tc>
              <w:tc>
                <w:tcPr>
                  <w:tcW w:w="2163" w:type="dxa"/>
                  <w:vAlign w:val="top"/>
                </w:tcPr>
                <w:p w14:paraId="487B0445">
                  <w:pPr>
                    <w:pStyle w:val="6"/>
                    <w:spacing w:before="72" w:line="190" w:lineRule="auto"/>
                    <w:ind w:left="788"/>
                    <w:rPr>
                      <w:sz w:val="23"/>
                      <w:szCs w:val="23"/>
                    </w:rPr>
                  </w:pPr>
                  <w:r>
                    <w:rPr>
                      <w:spacing w:val="-7"/>
                      <w:sz w:val="23"/>
                      <w:szCs w:val="23"/>
                    </w:rPr>
                    <w:t>≤0.2</w:t>
                  </w:r>
                </w:p>
              </w:tc>
            </w:tr>
            <w:tr w14:paraId="25E09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933" w:type="dxa"/>
                  <w:vAlign w:val="top"/>
                </w:tcPr>
                <w:p w14:paraId="1C7982ED">
                  <w:pPr>
                    <w:pStyle w:val="6"/>
                    <w:spacing w:before="34" w:line="212" w:lineRule="auto"/>
                    <w:ind w:left="265"/>
                    <w:rPr>
                      <w:sz w:val="23"/>
                      <w:szCs w:val="23"/>
                    </w:rPr>
                  </w:pPr>
                  <w:r>
                    <w:rPr>
                      <w:spacing w:val="-1"/>
                      <w:sz w:val="23"/>
                      <w:szCs w:val="23"/>
                    </w:rPr>
                    <w:t>NH</w:t>
                  </w:r>
                  <w:r>
                    <w:rPr>
                      <w:rFonts w:ascii="Calibri" w:hAnsi="Calibri" w:eastAsia="Calibri" w:cs="Calibri"/>
                      <w:spacing w:val="-1"/>
                      <w:sz w:val="23"/>
                      <w:szCs w:val="23"/>
                    </w:rPr>
                    <w:t>₃</w:t>
                  </w:r>
                  <w:r>
                    <w:rPr>
                      <w:spacing w:val="-1"/>
                      <w:sz w:val="23"/>
                      <w:szCs w:val="23"/>
                    </w:rPr>
                    <w:t>-N(mg/L)</w:t>
                  </w:r>
                </w:p>
              </w:tc>
              <w:tc>
                <w:tcPr>
                  <w:tcW w:w="2167" w:type="dxa"/>
                  <w:vAlign w:val="top"/>
                </w:tcPr>
                <w:p w14:paraId="33DE8B0F">
                  <w:pPr>
                    <w:pStyle w:val="6"/>
                    <w:spacing w:before="62" w:line="190" w:lineRule="auto"/>
                    <w:ind w:left="782"/>
                    <w:rPr>
                      <w:sz w:val="23"/>
                      <w:szCs w:val="23"/>
                    </w:rPr>
                  </w:pPr>
                  <w:r>
                    <w:rPr>
                      <w:spacing w:val="-7"/>
                      <w:sz w:val="23"/>
                      <w:szCs w:val="23"/>
                    </w:rPr>
                    <w:t>≤1.0</w:t>
                  </w:r>
                </w:p>
              </w:tc>
              <w:tc>
                <w:tcPr>
                  <w:tcW w:w="2167" w:type="dxa"/>
                  <w:vAlign w:val="top"/>
                </w:tcPr>
                <w:p w14:paraId="6D6B49F2">
                  <w:pPr>
                    <w:pStyle w:val="6"/>
                    <w:spacing w:before="34" w:line="212" w:lineRule="auto"/>
                    <w:ind w:left="385"/>
                    <w:rPr>
                      <w:sz w:val="23"/>
                      <w:szCs w:val="23"/>
                    </w:rPr>
                  </w:pPr>
                  <w:r>
                    <w:rPr>
                      <w:spacing w:val="7"/>
                      <w:sz w:val="23"/>
                      <w:szCs w:val="23"/>
                    </w:rPr>
                    <w:t>溶解氧(</w:t>
                  </w:r>
                  <w:r>
                    <w:rPr>
                      <w:sz w:val="23"/>
                      <w:szCs w:val="23"/>
                    </w:rPr>
                    <w:t>mg</w:t>
                  </w:r>
                  <w:r>
                    <w:rPr>
                      <w:spacing w:val="7"/>
                      <w:sz w:val="23"/>
                      <w:szCs w:val="23"/>
                    </w:rPr>
                    <w:t>/L)</w:t>
                  </w:r>
                </w:p>
              </w:tc>
              <w:tc>
                <w:tcPr>
                  <w:tcW w:w="2163" w:type="dxa"/>
                  <w:vAlign w:val="top"/>
                </w:tcPr>
                <w:p w14:paraId="1F9366F5">
                  <w:pPr>
                    <w:pStyle w:val="6"/>
                    <w:spacing w:before="64" w:line="188" w:lineRule="auto"/>
                    <w:ind w:left="898"/>
                    <w:rPr>
                      <w:sz w:val="23"/>
                      <w:szCs w:val="23"/>
                    </w:rPr>
                  </w:pPr>
                  <w:r>
                    <w:rPr>
                      <w:spacing w:val="-11"/>
                      <w:sz w:val="23"/>
                      <w:szCs w:val="23"/>
                    </w:rPr>
                    <w:t>≥5</w:t>
                  </w:r>
                </w:p>
              </w:tc>
            </w:tr>
            <w:tr w14:paraId="5F42B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933" w:type="dxa"/>
                  <w:vAlign w:val="top"/>
                </w:tcPr>
                <w:p w14:paraId="6D78D1BC">
                  <w:pPr>
                    <w:pStyle w:val="6"/>
                    <w:spacing w:before="46" w:line="211" w:lineRule="auto"/>
                    <w:ind w:left="385"/>
                    <w:rPr>
                      <w:sz w:val="23"/>
                      <w:szCs w:val="23"/>
                    </w:rPr>
                  </w:pPr>
                  <w:r>
                    <w:rPr>
                      <w:spacing w:val="8"/>
                      <w:sz w:val="23"/>
                      <w:szCs w:val="23"/>
                    </w:rPr>
                    <w:t>总氮(</w:t>
                  </w:r>
                  <w:r>
                    <w:rPr>
                      <w:sz w:val="23"/>
                      <w:szCs w:val="23"/>
                    </w:rPr>
                    <w:t>mg</w:t>
                  </w:r>
                  <w:r>
                    <w:rPr>
                      <w:spacing w:val="8"/>
                      <w:sz w:val="23"/>
                      <w:szCs w:val="23"/>
                    </w:rPr>
                    <w:t>/L)</w:t>
                  </w:r>
                </w:p>
              </w:tc>
              <w:tc>
                <w:tcPr>
                  <w:tcW w:w="2167" w:type="dxa"/>
                  <w:vAlign w:val="top"/>
                </w:tcPr>
                <w:p w14:paraId="1445A941">
                  <w:pPr>
                    <w:pStyle w:val="6"/>
                    <w:spacing w:before="73" w:line="189" w:lineRule="auto"/>
                    <w:ind w:left="782"/>
                    <w:rPr>
                      <w:sz w:val="23"/>
                      <w:szCs w:val="23"/>
                    </w:rPr>
                  </w:pPr>
                  <w:r>
                    <w:rPr>
                      <w:spacing w:val="-7"/>
                      <w:sz w:val="23"/>
                      <w:szCs w:val="23"/>
                    </w:rPr>
                    <w:t>≤1.0</w:t>
                  </w:r>
                </w:p>
              </w:tc>
              <w:tc>
                <w:tcPr>
                  <w:tcW w:w="2167" w:type="dxa"/>
                  <w:vAlign w:val="top"/>
                </w:tcPr>
                <w:p w14:paraId="42A17522">
                  <w:pPr>
                    <w:pStyle w:val="6"/>
                    <w:spacing w:before="46" w:line="211" w:lineRule="auto"/>
                    <w:ind w:left="615"/>
                    <w:rPr>
                      <w:sz w:val="23"/>
                      <w:szCs w:val="23"/>
                    </w:rPr>
                  </w:pPr>
                  <w:r>
                    <w:rPr>
                      <w:spacing w:val="10"/>
                      <w:sz w:val="23"/>
                      <w:szCs w:val="23"/>
                    </w:rPr>
                    <w:t>锌(</w:t>
                  </w:r>
                  <w:r>
                    <w:rPr>
                      <w:sz w:val="23"/>
                      <w:szCs w:val="23"/>
                    </w:rPr>
                    <w:t>mg</w:t>
                  </w:r>
                  <w:r>
                    <w:rPr>
                      <w:spacing w:val="10"/>
                      <w:sz w:val="23"/>
                      <w:szCs w:val="23"/>
                    </w:rPr>
                    <w:t>/L)</w:t>
                  </w:r>
                </w:p>
              </w:tc>
              <w:tc>
                <w:tcPr>
                  <w:tcW w:w="2163" w:type="dxa"/>
                  <w:vAlign w:val="top"/>
                </w:tcPr>
                <w:p w14:paraId="71FFA382">
                  <w:pPr>
                    <w:pStyle w:val="6"/>
                    <w:spacing w:before="73" w:line="189" w:lineRule="auto"/>
                    <w:ind w:left="788"/>
                    <w:rPr>
                      <w:sz w:val="23"/>
                      <w:szCs w:val="23"/>
                    </w:rPr>
                  </w:pPr>
                  <w:r>
                    <w:rPr>
                      <w:spacing w:val="-7"/>
                      <w:sz w:val="23"/>
                      <w:szCs w:val="23"/>
                    </w:rPr>
                    <w:t>≤1.0</w:t>
                  </w:r>
                </w:p>
              </w:tc>
            </w:tr>
            <w:tr w14:paraId="61C1A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1933" w:type="dxa"/>
                  <w:vAlign w:val="top"/>
                </w:tcPr>
                <w:p w14:paraId="3CD1993C">
                  <w:pPr>
                    <w:spacing w:line="298" w:lineRule="auto"/>
                    <w:rPr>
                      <w:rFonts w:ascii="Arial"/>
                      <w:sz w:val="21"/>
                    </w:rPr>
                  </w:pPr>
                </w:p>
                <w:p w14:paraId="71E6512E">
                  <w:pPr>
                    <w:pStyle w:val="6"/>
                    <w:spacing w:before="74" w:line="219" w:lineRule="auto"/>
                    <w:jc w:val="right"/>
                    <w:rPr>
                      <w:sz w:val="23"/>
                      <w:szCs w:val="23"/>
                    </w:rPr>
                  </w:pPr>
                  <w:r>
                    <w:rPr>
                      <w:spacing w:val="4"/>
                      <w:sz w:val="23"/>
                      <w:szCs w:val="23"/>
                    </w:rPr>
                    <w:t>粪大肠菌群(个/L)</w:t>
                  </w:r>
                </w:p>
              </w:tc>
              <w:tc>
                <w:tcPr>
                  <w:tcW w:w="2167" w:type="dxa"/>
                  <w:vAlign w:val="top"/>
                </w:tcPr>
                <w:p w14:paraId="5C999276">
                  <w:pPr>
                    <w:spacing w:line="318" w:lineRule="auto"/>
                    <w:rPr>
                      <w:rFonts w:ascii="Arial"/>
                      <w:sz w:val="21"/>
                    </w:rPr>
                  </w:pPr>
                </w:p>
                <w:p w14:paraId="2BBE62D1">
                  <w:pPr>
                    <w:pStyle w:val="6"/>
                    <w:spacing w:before="74" w:line="236" w:lineRule="auto"/>
                    <w:ind w:left="672"/>
                    <w:rPr>
                      <w:sz w:val="23"/>
                      <w:szCs w:val="23"/>
                    </w:rPr>
                  </w:pPr>
                  <w:r>
                    <w:rPr>
                      <w:spacing w:val="-4"/>
                      <w:sz w:val="23"/>
                      <w:szCs w:val="23"/>
                    </w:rPr>
                    <w:t>≤10000</w:t>
                  </w:r>
                </w:p>
              </w:tc>
              <w:tc>
                <w:tcPr>
                  <w:tcW w:w="2167" w:type="dxa"/>
                  <w:vAlign w:val="top"/>
                </w:tcPr>
                <w:p w14:paraId="1C5C1075">
                  <w:pPr>
                    <w:spacing w:line="298" w:lineRule="auto"/>
                    <w:rPr>
                      <w:rFonts w:ascii="Arial"/>
                      <w:sz w:val="21"/>
                    </w:rPr>
                  </w:pPr>
                </w:p>
                <w:p w14:paraId="658B433D">
                  <w:pPr>
                    <w:pStyle w:val="6"/>
                    <w:spacing w:before="74" w:line="219" w:lineRule="auto"/>
                    <w:ind w:left="845"/>
                    <w:rPr>
                      <w:sz w:val="23"/>
                      <w:szCs w:val="23"/>
                    </w:rPr>
                  </w:pPr>
                  <w:r>
                    <w:rPr>
                      <w:spacing w:val="-3"/>
                      <w:sz w:val="23"/>
                      <w:szCs w:val="23"/>
                    </w:rPr>
                    <w:t>水温</w:t>
                  </w:r>
                </w:p>
              </w:tc>
              <w:tc>
                <w:tcPr>
                  <w:tcW w:w="2163" w:type="dxa"/>
                  <w:vAlign w:val="top"/>
                </w:tcPr>
                <w:p w14:paraId="2EDFFCD3">
                  <w:pPr>
                    <w:pStyle w:val="6"/>
                    <w:spacing w:before="42" w:line="196" w:lineRule="auto"/>
                    <w:ind w:left="38"/>
                    <w:jc w:val="right"/>
                    <w:rPr>
                      <w:sz w:val="22"/>
                      <w:szCs w:val="22"/>
                    </w:rPr>
                  </w:pPr>
                  <w:r>
                    <w:rPr>
                      <w:spacing w:val="-2"/>
                      <w:sz w:val="23"/>
                      <w:szCs w:val="23"/>
                    </w:rPr>
                    <w:t>人为造成的环境水温</w:t>
                  </w:r>
                  <w:r>
                    <w:rPr>
                      <w:sz w:val="23"/>
                      <w:szCs w:val="23"/>
                    </w:rPr>
                    <w:t xml:space="preserve"> </w:t>
                  </w:r>
                  <w:r>
                    <w:rPr>
                      <w:spacing w:val="14"/>
                      <w:sz w:val="22"/>
                      <w:szCs w:val="22"/>
                    </w:rPr>
                    <w:t>变化应限制在：周平</w:t>
                  </w:r>
                  <w:r>
                    <w:rPr>
                      <w:spacing w:val="7"/>
                      <w:sz w:val="22"/>
                      <w:szCs w:val="22"/>
                    </w:rPr>
                    <w:t xml:space="preserve"> </w:t>
                  </w:r>
                  <w:r>
                    <w:rPr>
                      <w:spacing w:val="9"/>
                      <w:sz w:val="22"/>
                      <w:szCs w:val="22"/>
                    </w:rPr>
                    <w:t>均最大温升≤1,周平</w:t>
                  </w:r>
                </w:p>
                <w:p w14:paraId="142FCDDC">
                  <w:pPr>
                    <w:pStyle w:val="6"/>
                    <w:spacing w:line="162" w:lineRule="auto"/>
                    <w:ind w:left="328"/>
                    <w:rPr>
                      <w:sz w:val="23"/>
                      <w:szCs w:val="23"/>
                    </w:rPr>
                  </w:pPr>
                  <w:r>
                    <w:rPr>
                      <w:spacing w:val="-2"/>
                      <w:sz w:val="23"/>
                      <w:szCs w:val="23"/>
                    </w:rPr>
                    <w:t>均最大温降≤2</w:t>
                  </w:r>
                </w:p>
              </w:tc>
            </w:tr>
            <w:tr w14:paraId="2E578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933" w:type="dxa"/>
                  <w:vAlign w:val="top"/>
                </w:tcPr>
                <w:p w14:paraId="105619D8">
                  <w:pPr>
                    <w:pStyle w:val="6"/>
                    <w:spacing w:before="16" w:line="182" w:lineRule="auto"/>
                    <w:ind w:left="265"/>
                    <w:rPr>
                      <w:sz w:val="23"/>
                      <w:szCs w:val="23"/>
                    </w:rPr>
                  </w:pPr>
                  <w:r>
                    <w:rPr>
                      <w:spacing w:val="1"/>
                      <w:sz w:val="23"/>
                      <w:szCs w:val="23"/>
                    </w:rPr>
                    <w:t>高锰酸盐指数</w:t>
                  </w:r>
                </w:p>
                <w:p w14:paraId="39DECBA6">
                  <w:pPr>
                    <w:pStyle w:val="6"/>
                    <w:spacing w:before="1" w:line="180" w:lineRule="auto"/>
                    <w:ind w:left="615"/>
                    <w:rPr>
                      <w:sz w:val="23"/>
                      <w:szCs w:val="23"/>
                    </w:rPr>
                  </w:pPr>
                  <w:r>
                    <w:rPr>
                      <w:spacing w:val="-7"/>
                      <w:sz w:val="23"/>
                      <w:szCs w:val="23"/>
                    </w:rPr>
                    <w:t>(mg/L)</w:t>
                  </w:r>
                </w:p>
              </w:tc>
              <w:tc>
                <w:tcPr>
                  <w:tcW w:w="2167" w:type="dxa"/>
                  <w:vAlign w:val="top"/>
                </w:tcPr>
                <w:p w14:paraId="401E7620">
                  <w:pPr>
                    <w:pStyle w:val="6"/>
                    <w:spacing w:before="157" w:line="236" w:lineRule="auto"/>
                    <w:ind w:left="902"/>
                    <w:rPr>
                      <w:sz w:val="23"/>
                      <w:szCs w:val="23"/>
                    </w:rPr>
                  </w:pPr>
                  <w:r>
                    <w:rPr>
                      <w:spacing w:val="-9"/>
                      <w:sz w:val="23"/>
                      <w:szCs w:val="23"/>
                    </w:rPr>
                    <w:t>≤6</w:t>
                  </w:r>
                </w:p>
              </w:tc>
              <w:tc>
                <w:tcPr>
                  <w:tcW w:w="2167" w:type="dxa"/>
                  <w:vAlign w:val="top"/>
                </w:tcPr>
                <w:p w14:paraId="04511562">
                  <w:pPr>
                    <w:pStyle w:val="6"/>
                    <w:spacing w:before="129" w:line="214" w:lineRule="auto"/>
                    <w:ind w:left="385"/>
                    <w:rPr>
                      <w:sz w:val="23"/>
                      <w:szCs w:val="23"/>
                    </w:rPr>
                  </w:pPr>
                  <w:r>
                    <w:rPr>
                      <w:spacing w:val="7"/>
                      <w:sz w:val="23"/>
                      <w:szCs w:val="23"/>
                    </w:rPr>
                    <w:t>挥发酚(</w:t>
                  </w:r>
                  <w:r>
                    <w:rPr>
                      <w:sz w:val="23"/>
                      <w:szCs w:val="23"/>
                    </w:rPr>
                    <w:t>mg</w:t>
                  </w:r>
                  <w:r>
                    <w:rPr>
                      <w:spacing w:val="7"/>
                      <w:sz w:val="23"/>
                      <w:szCs w:val="23"/>
                    </w:rPr>
                    <w:t>/L)</w:t>
                  </w:r>
                </w:p>
              </w:tc>
              <w:tc>
                <w:tcPr>
                  <w:tcW w:w="2163" w:type="dxa"/>
                  <w:vAlign w:val="top"/>
                </w:tcPr>
                <w:p w14:paraId="7EECACC3">
                  <w:pPr>
                    <w:pStyle w:val="6"/>
                    <w:spacing w:before="157" w:line="236" w:lineRule="auto"/>
                    <w:ind w:left="668"/>
                    <w:rPr>
                      <w:sz w:val="23"/>
                      <w:szCs w:val="23"/>
                    </w:rPr>
                  </w:pPr>
                  <w:r>
                    <w:rPr>
                      <w:spacing w:val="-5"/>
                      <w:sz w:val="23"/>
                      <w:szCs w:val="23"/>
                    </w:rPr>
                    <w:t>≤0.005</w:t>
                  </w:r>
                </w:p>
              </w:tc>
            </w:tr>
            <w:tr w14:paraId="2BF3A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933" w:type="dxa"/>
                  <w:vAlign w:val="top"/>
                </w:tcPr>
                <w:p w14:paraId="44A7587D">
                  <w:pPr>
                    <w:pStyle w:val="6"/>
                    <w:spacing w:before="41" w:line="211" w:lineRule="auto"/>
                    <w:ind w:left="265"/>
                    <w:rPr>
                      <w:sz w:val="23"/>
                      <w:szCs w:val="23"/>
                    </w:rPr>
                  </w:pPr>
                  <w:r>
                    <w:rPr>
                      <w:spacing w:val="7"/>
                      <w:sz w:val="23"/>
                      <w:szCs w:val="23"/>
                    </w:rPr>
                    <w:t>石油类(</w:t>
                  </w:r>
                  <w:r>
                    <w:rPr>
                      <w:sz w:val="23"/>
                      <w:szCs w:val="23"/>
                    </w:rPr>
                    <w:t>mg</w:t>
                  </w:r>
                  <w:r>
                    <w:rPr>
                      <w:spacing w:val="7"/>
                      <w:sz w:val="23"/>
                      <w:szCs w:val="23"/>
                    </w:rPr>
                    <w:t>/L)</w:t>
                  </w:r>
                </w:p>
              </w:tc>
              <w:tc>
                <w:tcPr>
                  <w:tcW w:w="2167" w:type="dxa"/>
                  <w:vAlign w:val="top"/>
                </w:tcPr>
                <w:p w14:paraId="5149FCC1">
                  <w:pPr>
                    <w:pStyle w:val="6"/>
                    <w:spacing w:before="68" w:line="189" w:lineRule="auto"/>
                    <w:ind w:left="731"/>
                    <w:rPr>
                      <w:sz w:val="23"/>
                      <w:szCs w:val="23"/>
                    </w:rPr>
                  </w:pPr>
                  <w:r>
                    <w:rPr>
                      <w:spacing w:val="-6"/>
                      <w:sz w:val="23"/>
                      <w:szCs w:val="23"/>
                    </w:rPr>
                    <w:t>≤0.05</w:t>
                  </w:r>
                </w:p>
              </w:tc>
              <w:tc>
                <w:tcPr>
                  <w:tcW w:w="2167" w:type="dxa"/>
                  <w:vAlign w:val="top"/>
                </w:tcPr>
                <w:p w14:paraId="2BE345E0">
                  <w:pPr>
                    <w:rPr>
                      <w:rFonts w:ascii="Arial"/>
                      <w:sz w:val="21"/>
                    </w:rPr>
                  </w:pPr>
                </w:p>
              </w:tc>
              <w:tc>
                <w:tcPr>
                  <w:tcW w:w="2163" w:type="dxa"/>
                  <w:vAlign w:val="top"/>
                </w:tcPr>
                <w:p w14:paraId="5D6D982C">
                  <w:pPr>
                    <w:rPr>
                      <w:rFonts w:ascii="Arial"/>
                      <w:sz w:val="21"/>
                    </w:rPr>
                  </w:pPr>
                </w:p>
              </w:tc>
            </w:tr>
          </w:tbl>
          <w:p w14:paraId="543C8251">
            <w:pPr>
              <w:pStyle w:val="6"/>
              <w:spacing w:before="182" w:line="220" w:lineRule="auto"/>
              <w:ind w:left="574"/>
            </w:pPr>
            <w:r>
              <w:rPr>
                <w:b/>
                <w:bCs/>
                <w:spacing w:val="-4"/>
              </w:rPr>
              <w:t>3、声环境质量标准</w:t>
            </w:r>
          </w:p>
          <w:p w14:paraId="3C40A717">
            <w:pPr>
              <w:pStyle w:val="6"/>
              <w:spacing w:before="215" w:line="384" w:lineRule="auto"/>
              <w:ind w:left="100" w:firstLine="499"/>
            </w:pPr>
            <w:r>
              <w:rPr>
                <w:spacing w:val="-4"/>
              </w:rPr>
              <w:t>项目位于云南省曲靖市马鸣乡及旧县区域，区域声环境功能为1类区，执行《声</w:t>
            </w:r>
            <w:r>
              <w:rPr>
                <w:spacing w:val="14"/>
              </w:rPr>
              <w:t xml:space="preserve"> </w:t>
            </w:r>
            <w:r>
              <w:rPr>
                <w:spacing w:val="-4"/>
              </w:rPr>
              <w:t>环境质量标准》(GB 3096—2008)1类标准。标准值详见下表。</w:t>
            </w:r>
          </w:p>
          <w:p w14:paraId="19A0F611">
            <w:pPr>
              <w:pStyle w:val="6"/>
              <w:spacing w:before="1" w:line="220" w:lineRule="auto"/>
              <w:ind w:left="2174"/>
            </w:pPr>
            <w:r>
              <w:rPr>
                <w:b/>
                <w:bCs/>
                <w:spacing w:val="-1"/>
              </w:rPr>
              <w:t>表3-14</w:t>
            </w:r>
            <w:r>
              <w:rPr>
                <w:spacing w:val="-1"/>
              </w:rPr>
              <w:t xml:space="preserve">  </w:t>
            </w:r>
            <w:r>
              <w:rPr>
                <w:b/>
                <w:bCs/>
                <w:spacing w:val="-1"/>
              </w:rPr>
              <w:t>声环境质量标准</w:t>
            </w:r>
            <w:r>
              <w:rPr>
                <w:spacing w:val="17"/>
              </w:rPr>
              <w:t xml:space="preserve"> </w:t>
            </w:r>
            <w:r>
              <w:rPr>
                <w:b/>
                <w:bCs/>
                <w:spacing w:val="-1"/>
              </w:rPr>
              <w:t>单位：dB(A)</w:t>
            </w:r>
          </w:p>
        </w:tc>
      </w:tr>
      <w:tr w14:paraId="77137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34" w:type="dxa"/>
            <w:vMerge w:val="continue"/>
            <w:tcBorders>
              <w:top w:val="nil"/>
              <w:bottom w:val="nil"/>
            </w:tcBorders>
            <w:vAlign w:val="top"/>
          </w:tcPr>
          <w:p w14:paraId="0184C1B6">
            <w:pPr>
              <w:rPr>
                <w:rFonts w:ascii="Arial"/>
                <w:sz w:val="21"/>
              </w:rPr>
            </w:pPr>
          </w:p>
        </w:tc>
        <w:tc>
          <w:tcPr>
            <w:tcW w:w="350" w:type="dxa"/>
            <w:gridSpan w:val="2"/>
            <w:vMerge w:val="restart"/>
            <w:tcBorders>
              <w:bottom w:val="nil"/>
            </w:tcBorders>
            <w:vAlign w:val="top"/>
          </w:tcPr>
          <w:p w14:paraId="72C0C266">
            <w:pPr>
              <w:rPr>
                <w:rFonts w:ascii="Arial"/>
                <w:sz w:val="21"/>
              </w:rPr>
            </w:pPr>
          </w:p>
        </w:tc>
        <w:tc>
          <w:tcPr>
            <w:tcW w:w="3316" w:type="dxa"/>
            <w:gridSpan w:val="2"/>
            <w:vMerge w:val="restart"/>
            <w:tcBorders>
              <w:bottom w:val="nil"/>
            </w:tcBorders>
            <w:vAlign w:val="top"/>
          </w:tcPr>
          <w:p w14:paraId="1A7C6417">
            <w:pPr>
              <w:pStyle w:val="6"/>
              <w:spacing w:before="180" w:line="219" w:lineRule="auto"/>
              <w:ind w:left="1430"/>
            </w:pPr>
            <w:r>
              <w:rPr>
                <w:spacing w:val="9"/>
              </w:rPr>
              <w:t>类别</w:t>
            </w:r>
          </w:p>
        </w:tc>
        <w:tc>
          <w:tcPr>
            <w:tcW w:w="4705" w:type="dxa"/>
            <w:gridSpan w:val="5"/>
            <w:vAlign w:val="top"/>
          </w:tcPr>
          <w:p w14:paraId="1F469FE3">
            <w:pPr>
              <w:pStyle w:val="6"/>
              <w:spacing w:before="42" w:line="183" w:lineRule="auto"/>
              <w:ind w:left="2114"/>
            </w:pPr>
            <w:r>
              <w:rPr>
                <w:spacing w:val="4"/>
              </w:rPr>
              <w:t>时段</w:t>
            </w:r>
          </w:p>
        </w:tc>
        <w:tc>
          <w:tcPr>
            <w:tcW w:w="395" w:type="dxa"/>
            <w:gridSpan w:val="2"/>
            <w:vMerge w:val="restart"/>
            <w:tcBorders>
              <w:bottom w:val="nil"/>
            </w:tcBorders>
            <w:vAlign w:val="top"/>
          </w:tcPr>
          <w:p w14:paraId="2B15C561">
            <w:pPr>
              <w:rPr>
                <w:rFonts w:ascii="Arial"/>
                <w:sz w:val="21"/>
              </w:rPr>
            </w:pPr>
          </w:p>
        </w:tc>
      </w:tr>
      <w:tr w14:paraId="7E61A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34" w:type="dxa"/>
            <w:vMerge w:val="continue"/>
            <w:tcBorders>
              <w:top w:val="nil"/>
            </w:tcBorders>
            <w:vAlign w:val="top"/>
          </w:tcPr>
          <w:p w14:paraId="75E9890A">
            <w:pPr>
              <w:rPr>
                <w:rFonts w:ascii="Arial"/>
                <w:sz w:val="21"/>
              </w:rPr>
            </w:pPr>
          </w:p>
        </w:tc>
        <w:tc>
          <w:tcPr>
            <w:tcW w:w="350" w:type="dxa"/>
            <w:gridSpan w:val="2"/>
            <w:vMerge w:val="continue"/>
            <w:tcBorders>
              <w:top w:val="nil"/>
            </w:tcBorders>
            <w:vAlign w:val="top"/>
          </w:tcPr>
          <w:p w14:paraId="3A8924F1">
            <w:pPr>
              <w:rPr>
                <w:rFonts w:ascii="Arial"/>
                <w:sz w:val="21"/>
              </w:rPr>
            </w:pPr>
          </w:p>
        </w:tc>
        <w:tc>
          <w:tcPr>
            <w:tcW w:w="3316" w:type="dxa"/>
            <w:gridSpan w:val="2"/>
            <w:vMerge w:val="continue"/>
            <w:tcBorders>
              <w:top w:val="nil"/>
            </w:tcBorders>
            <w:vAlign w:val="top"/>
          </w:tcPr>
          <w:p w14:paraId="3DAAC6EF">
            <w:pPr>
              <w:rPr>
                <w:rFonts w:ascii="Arial"/>
                <w:sz w:val="21"/>
              </w:rPr>
            </w:pPr>
          </w:p>
        </w:tc>
        <w:tc>
          <w:tcPr>
            <w:tcW w:w="2118" w:type="dxa"/>
            <w:gridSpan w:val="3"/>
            <w:vAlign w:val="top"/>
          </w:tcPr>
          <w:p w14:paraId="7CCA669C">
            <w:pPr>
              <w:pStyle w:val="6"/>
              <w:spacing w:before="34" w:line="185" w:lineRule="auto"/>
              <w:ind w:left="844"/>
            </w:pPr>
            <w:r>
              <w:rPr>
                <w:spacing w:val="11"/>
              </w:rPr>
              <w:t>昼间</w:t>
            </w:r>
          </w:p>
        </w:tc>
        <w:tc>
          <w:tcPr>
            <w:tcW w:w="2587" w:type="dxa"/>
            <w:gridSpan w:val="2"/>
            <w:vAlign w:val="top"/>
          </w:tcPr>
          <w:p w14:paraId="4E9357A7">
            <w:pPr>
              <w:pStyle w:val="6"/>
              <w:spacing w:before="30" w:line="188" w:lineRule="auto"/>
              <w:ind w:left="1076"/>
            </w:pPr>
            <w:r>
              <w:rPr>
                <w:spacing w:val="11"/>
              </w:rPr>
              <w:t>夜间</w:t>
            </w:r>
          </w:p>
        </w:tc>
        <w:tc>
          <w:tcPr>
            <w:tcW w:w="395" w:type="dxa"/>
            <w:gridSpan w:val="2"/>
            <w:vMerge w:val="continue"/>
            <w:tcBorders>
              <w:top w:val="nil"/>
            </w:tcBorders>
            <w:vAlign w:val="top"/>
          </w:tcPr>
          <w:p w14:paraId="5B1B8408">
            <w:pPr>
              <w:rPr>
                <w:rFonts w:ascii="Arial"/>
                <w:sz w:val="21"/>
              </w:rPr>
            </w:pPr>
          </w:p>
        </w:tc>
      </w:tr>
    </w:tbl>
    <w:p w14:paraId="66209301">
      <w:pPr>
        <w:pStyle w:val="2"/>
      </w:pPr>
    </w:p>
    <w:p w14:paraId="50F952AD">
      <w:pPr>
        <w:sectPr>
          <w:footerReference r:id="rId76" w:type="default"/>
          <w:pgSz w:w="11910" w:h="16840"/>
          <w:pgMar w:top="1431" w:right="1394" w:bottom="1255" w:left="1405" w:header="0" w:footer="1093" w:gutter="0"/>
          <w:cols w:space="720" w:num="1"/>
        </w:sectPr>
      </w:pPr>
    </w:p>
    <w:p w14:paraId="56DC7764">
      <w:pPr>
        <w:spacing w:line="93" w:lineRule="exact"/>
      </w:pPr>
    </w:p>
    <w:tbl>
      <w:tblPr>
        <w:tblStyle w:val="5"/>
        <w:tblW w:w="906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
        <w:gridCol w:w="339"/>
        <w:gridCol w:w="3356"/>
        <w:gridCol w:w="2098"/>
        <w:gridCol w:w="2577"/>
        <w:gridCol w:w="368"/>
      </w:tblGrid>
      <w:tr w14:paraId="608D6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25" w:type="dxa"/>
            <w:vMerge w:val="restart"/>
            <w:tcBorders>
              <w:bottom w:val="nil"/>
            </w:tcBorders>
            <w:vAlign w:val="top"/>
          </w:tcPr>
          <w:p w14:paraId="0AFC3771">
            <w:pPr>
              <w:rPr>
                <w:rFonts w:ascii="Arial"/>
                <w:sz w:val="21"/>
              </w:rPr>
            </w:pPr>
          </w:p>
        </w:tc>
        <w:tc>
          <w:tcPr>
            <w:tcW w:w="339" w:type="dxa"/>
            <w:vAlign w:val="top"/>
          </w:tcPr>
          <w:p w14:paraId="5E07DDFB">
            <w:pPr>
              <w:rPr>
                <w:rFonts w:ascii="Arial"/>
                <w:sz w:val="21"/>
              </w:rPr>
            </w:pPr>
          </w:p>
        </w:tc>
        <w:tc>
          <w:tcPr>
            <w:tcW w:w="3356" w:type="dxa"/>
            <w:vAlign w:val="top"/>
          </w:tcPr>
          <w:p w14:paraId="27BCE39D">
            <w:pPr>
              <w:pStyle w:val="6"/>
              <w:spacing w:before="44" w:line="200" w:lineRule="auto"/>
              <w:ind w:left="1480"/>
            </w:pPr>
            <w:r>
              <w:rPr>
                <w:spacing w:val="5"/>
              </w:rPr>
              <w:t>1类</w:t>
            </w:r>
          </w:p>
        </w:tc>
        <w:tc>
          <w:tcPr>
            <w:tcW w:w="2098" w:type="dxa"/>
            <w:vAlign w:val="top"/>
          </w:tcPr>
          <w:p w14:paraId="48DE9857">
            <w:pPr>
              <w:pStyle w:val="6"/>
              <w:spacing w:before="68" w:line="181" w:lineRule="auto"/>
              <w:ind w:left="925"/>
            </w:pPr>
            <w:r>
              <w:rPr>
                <w:spacing w:val="-4"/>
              </w:rPr>
              <w:t>55</w:t>
            </w:r>
          </w:p>
        </w:tc>
        <w:tc>
          <w:tcPr>
            <w:tcW w:w="2577" w:type="dxa"/>
            <w:vAlign w:val="top"/>
          </w:tcPr>
          <w:p w14:paraId="2249FC69">
            <w:pPr>
              <w:pStyle w:val="6"/>
              <w:spacing w:before="68" w:line="181" w:lineRule="auto"/>
              <w:ind w:left="1146"/>
            </w:pPr>
            <w:r>
              <w:rPr>
                <w:spacing w:val="-3"/>
              </w:rPr>
              <w:t>45</w:t>
            </w:r>
          </w:p>
        </w:tc>
        <w:tc>
          <w:tcPr>
            <w:tcW w:w="368" w:type="dxa"/>
            <w:vAlign w:val="top"/>
          </w:tcPr>
          <w:p w14:paraId="1B593CCF">
            <w:pPr>
              <w:rPr>
                <w:rFonts w:ascii="Arial"/>
                <w:sz w:val="21"/>
              </w:rPr>
            </w:pPr>
          </w:p>
        </w:tc>
      </w:tr>
      <w:tr w14:paraId="4A41E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5" w:hRule="atLeast"/>
        </w:trPr>
        <w:tc>
          <w:tcPr>
            <w:tcW w:w="325" w:type="dxa"/>
            <w:vMerge w:val="continue"/>
            <w:tcBorders>
              <w:top w:val="nil"/>
            </w:tcBorders>
            <w:vAlign w:val="top"/>
          </w:tcPr>
          <w:p w14:paraId="76304970">
            <w:pPr>
              <w:rPr>
                <w:rFonts w:ascii="Arial"/>
                <w:sz w:val="21"/>
              </w:rPr>
            </w:pPr>
          </w:p>
        </w:tc>
        <w:tc>
          <w:tcPr>
            <w:tcW w:w="8738" w:type="dxa"/>
            <w:gridSpan w:val="5"/>
            <w:vAlign w:val="top"/>
          </w:tcPr>
          <w:p w14:paraId="44576BD8">
            <w:pPr>
              <w:pStyle w:val="6"/>
              <w:spacing w:before="198" w:line="220" w:lineRule="auto"/>
              <w:ind w:left="553"/>
            </w:pPr>
            <w:r>
              <w:rPr>
                <w:b/>
                <w:bCs/>
                <w:spacing w:val="-5"/>
              </w:rPr>
              <w:t>2、电磁环境</w:t>
            </w:r>
          </w:p>
          <w:p w14:paraId="048DA3A5">
            <w:pPr>
              <w:pStyle w:val="6"/>
              <w:spacing w:before="225" w:line="375" w:lineRule="auto"/>
              <w:ind w:left="119" w:right="326" w:firstLine="469"/>
            </w:pPr>
            <w:r>
              <w:t>项目所在地执行《电磁环境控制限值》(GB8702-2014)相关规定：公众曝露</w:t>
            </w:r>
            <w:r>
              <w:rPr>
                <w:spacing w:val="10"/>
              </w:rPr>
              <w:t xml:space="preserve"> </w:t>
            </w:r>
            <w:r>
              <w:rPr>
                <w:spacing w:val="1"/>
              </w:rPr>
              <w:t>工频电场强度限值为4</w:t>
            </w:r>
            <w:r>
              <w:t>kV</w:t>
            </w:r>
            <w:r>
              <w:rPr>
                <w:spacing w:val="1"/>
              </w:rPr>
              <w:t>/m,公众曝露工频磁感</w:t>
            </w:r>
            <w:r>
              <w:t>应强度限值为0.1mT。</w:t>
            </w:r>
          </w:p>
          <w:p w14:paraId="2DE02FD7">
            <w:pPr>
              <w:pStyle w:val="6"/>
              <w:spacing w:before="13" w:line="220" w:lineRule="auto"/>
              <w:ind w:left="123"/>
            </w:pPr>
            <w:r>
              <w:rPr>
                <w:b/>
                <w:bCs/>
                <w:spacing w:val="-4"/>
              </w:rPr>
              <w:t>二、污染物排放标准</w:t>
            </w:r>
          </w:p>
          <w:p w14:paraId="7F0C61F0">
            <w:pPr>
              <w:pStyle w:val="6"/>
              <w:spacing w:before="213" w:line="220" w:lineRule="auto"/>
              <w:ind w:left="573"/>
            </w:pPr>
            <w:r>
              <w:rPr>
                <w:b/>
                <w:bCs/>
                <w:spacing w:val="-3"/>
              </w:rPr>
              <w:t>1、大气污染物排放标准</w:t>
            </w:r>
          </w:p>
          <w:p w14:paraId="2A0CFE2E">
            <w:pPr>
              <w:pStyle w:val="6"/>
              <w:spacing w:before="237" w:line="220" w:lineRule="auto"/>
              <w:ind w:left="699"/>
            </w:pPr>
            <w:r>
              <w:rPr>
                <w:spacing w:val="2"/>
              </w:rPr>
              <w:t>(1)施工期</w:t>
            </w:r>
          </w:p>
          <w:p w14:paraId="5692D446">
            <w:pPr>
              <w:pStyle w:val="6"/>
              <w:spacing w:before="233" w:line="364" w:lineRule="auto"/>
              <w:ind w:left="119" w:right="395" w:firstLine="479"/>
            </w:pPr>
            <w:r>
              <w:rPr>
                <w:spacing w:val="1"/>
              </w:rPr>
              <w:t>项目施工期颗粒物排放执行《大气污染物综合排放标准》(</w:t>
            </w:r>
            <w:r>
              <w:t>GB</w:t>
            </w:r>
            <w:r>
              <w:rPr>
                <w:spacing w:val="1"/>
              </w:rPr>
              <w:t>16297-1996)</w:t>
            </w:r>
            <w:r>
              <w:rPr>
                <w:spacing w:val="14"/>
              </w:rPr>
              <w:t xml:space="preserve"> </w:t>
            </w:r>
            <w:r>
              <w:t>表2中无组织排放监控浓度限值，详见表3-15。</w:t>
            </w:r>
          </w:p>
          <w:p w14:paraId="0AEF7218">
            <w:pPr>
              <w:pStyle w:val="6"/>
              <w:spacing w:before="1" w:line="219" w:lineRule="auto"/>
              <w:ind w:left="2573"/>
            </w:pPr>
            <w:r>
              <w:rPr>
                <w:b/>
                <w:bCs/>
                <w:spacing w:val="-4"/>
              </w:rPr>
              <w:t>表3-15大气污染物排放标准限值</w:t>
            </w:r>
          </w:p>
          <w:p w14:paraId="6C30F620">
            <w:pPr>
              <w:spacing w:line="23" w:lineRule="exact"/>
            </w:pPr>
          </w:p>
          <w:tbl>
            <w:tblPr>
              <w:tblStyle w:val="5"/>
              <w:tblW w:w="8040" w:type="dxa"/>
              <w:tblInd w:w="3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3"/>
              <w:gridCol w:w="3586"/>
              <w:gridCol w:w="2931"/>
            </w:tblGrid>
            <w:tr w14:paraId="12BC3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523" w:type="dxa"/>
                  <w:vMerge w:val="restart"/>
                  <w:tcBorders>
                    <w:bottom w:val="nil"/>
                  </w:tcBorders>
                  <w:vAlign w:val="top"/>
                </w:tcPr>
                <w:p w14:paraId="2739F93A">
                  <w:pPr>
                    <w:pStyle w:val="6"/>
                    <w:spacing w:before="244" w:line="220" w:lineRule="auto"/>
                    <w:ind w:left="435"/>
                    <w:rPr>
                      <w:sz w:val="21"/>
                      <w:szCs w:val="21"/>
                    </w:rPr>
                  </w:pPr>
                  <w:r>
                    <w:rPr>
                      <w:spacing w:val="-3"/>
                      <w:sz w:val="21"/>
                      <w:szCs w:val="21"/>
                    </w:rPr>
                    <w:t>污染源</w:t>
                  </w:r>
                </w:p>
              </w:tc>
              <w:tc>
                <w:tcPr>
                  <w:tcW w:w="6517" w:type="dxa"/>
                  <w:gridSpan w:val="2"/>
                  <w:vAlign w:val="top"/>
                </w:tcPr>
                <w:p w14:paraId="0FF80629">
                  <w:pPr>
                    <w:pStyle w:val="6"/>
                    <w:spacing w:before="63" w:line="219" w:lineRule="auto"/>
                    <w:ind w:left="2322"/>
                    <w:rPr>
                      <w:sz w:val="21"/>
                      <w:szCs w:val="21"/>
                    </w:rPr>
                  </w:pPr>
                  <w:r>
                    <w:rPr>
                      <w:spacing w:val="-1"/>
                      <w:sz w:val="21"/>
                      <w:szCs w:val="21"/>
                    </w:rPr>
                    <w:t>无组织排放浓度限值</w:t>
                  </w:r>
                </w:p>
              </w:tc>
            </w:tr>
            <w:tr w14:paraId="15D18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523" w:type="dxa"/>
                  <w:vMerge w:val="continue"/>
                  <w:tcBorders>
                    <w:top w:val="nil"/>
                  </w:tcBorders>
                  <w:vAlign w:val="top"/>
                </w:tcPr>
                <w:p w14:paraId="33D1C68B">
                  <w:pPr>
                    <w:rPr>
                      <w:rFonts w:ascii="Arial"/>
                      <w:sz w:val="21"/>
                    </w:rPr>
                  </w:pPr>
                </w:p>
              </w:tc>
              <w:tc>
                <w:tcPr>
                  <w:tcW w:w="3586" w:type="dxa"/>
                  <w:vAlign w:val="top"/>
                </w:tcPr>
                <w:p w14:paraId="705E5DBA">
                  <w:pPr>
                    <w:pStyle w:val="6"/>
                    <w:spacing w:before="73" w:line="220" w:lineRule="auto"/>
                    <w:ind w:left="1472"/>
                    <w:rPr>
                      <w:sz w:val="21"/>
                      <w:szCs w:val="21"/>
                    </w:rPr>
                  </w:pPr>
                  <w:r>
                    <w:rPr>
                      <w:spacing w:val="6"/>
                      <w:sz w:val="21"/>
                      <w:szCs w:val="21"/>
                    </w:rPr>
                    <w:t>监控点</w:t>
                  </w:r>
                </w:p>
              </w:tc>
              <w:tc>
                <w:tcPr>
                  <w:tcW w:w="2931" w:type="dxa"/>
                  <w:vAlign w:val="top"/>
                </w:tcPr>
                <w:p w14:paraId="6A255B2F">
                  <w:pPr>
                    <w:pStyle w:val="6"/>
                    <w:spacing w:before="73" w:line="220" w:lineRule="auto"/>
                    <w:ind w:left="1246"/>
                    <w:rPr>
                      <w:sz w:val="21"/>
                      <w:szCs w:val="21"/>
                    </w:rPr>
                  </w:pPr>
                  <w:r>
                    <w:rPr>
                      <w:spacing w:val="6"/>
                      <w:sz w:val="21"/>
                      <w:szCs w:val="21"/>
                    </w:rPr>
                    <w:t>浓度</w:t>
                  </w:r>
                </w:p>
              </w:tc>
            </w:tr>
            <w:tr w14:paraId="566B6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523" w:type="dxa"/>
                  <w:vAlign w:val="top"/>
                </w:tcPr>
                <w:p w14:paraId="489AB71C">
                  <w:pPr>
                    <w:pStyle w:val="6"/>
                    <w:spacing w:before="66" w:line="220" w:lineRule="auto"/>
                    <w:ind w:left="435"/>
                    <w:rPr>
                      <w:sz w:val="21"/>
                      <w:szCs w:val="21"/>
                    </w:rPr>
                  </w:pPr>
                  <w:r>
                    <w:rPr>
                      <w:spacing w:val="-2"/>
                      <w:sz w:val="21"/>
                      <w:szCs w:val="21"/>
                    </w:rPr>
                    <w:t>颗粒物</w:t>
                  </w:r>
                </w:p>
              </w:tc>
              <w:tc>
                <w:tcPr>
                  <w:tcW w:w="3586" w:type="dxa"/>
                  <w:vAlign w:val="top"/>
                </w:tcPr>
                <w:p w14:paraId="6204A035">
                  <w:pPr>
                    <w:pStyle w:val="6"/>
                    <w:spacing w:before="65" w:line="219" w:lineRule="auto"/>
                    <w:ind w:left="942"/>
                    <w:rPr>
                      <w:sz w:val="21"/>
                      <w:szCs w:val="21"/>
                    </w:rPr>
                  </w:pPr>
                  <w:r>
                    <w:rPr>
                      <w:spacing w:val="2"/>
                      <w:sz w:val="21"/>
                      <w:szCs w:val="21"/>
                    </w:rPr>
                    <w:t>周界外浓度最高点</w:t>
                  </w:r>
                </w:p>
              </w:tc>
              <w:tc>
                <w:tcPr>
                  <w:tcW w:w="2931" w:type="dxa"/>
                  <w:vAlign w:val="top"/>
                </w:tcPr>
                <w:p w14:paraId="56D3EE19">
                  <w:pPr>
                    <w:pStyle w:val="6"/>
                    <w:spacing w:before="58" w:line="214" w:lineRule="auto"/>
                    <w:ind w:left="986"/>
                    <w:rPr>
                      <w:sz w:val="21"/>
                      <w:szCs w:val="21"/>
                    </w:rPr>
                  </w:pPr>
                  <w:r>
                    <w:rPr>
                      <w:spacing w:val="-3"/>
                      <w:sz w:val="21"/>
                      <w:szCs w:val="21"/>
                    </w:rPr>
                    <w:t>1.0mg/m³</w:t>
                  </w:r>
                </w:p>
              </w:tc>
            </w:tr>
          </w:tbl>
          <w:p w14:paraId="2504A38D">
            <w:pPr>
              <w:pStyle w:val="6"/>
              <w:spacing w:before="216" w:line="220" w:lineRule="auto"/>
              <w:ind w:left="689"/>
            </w:pPr>
            <w:r>
              <w:rPr>
                <w:spacing w:val="2"/>
              </w:rPr>
              <w:t>(2)运营期</w:t>
            </w:r>
          </w:p>
          <w:p w14:paraId="07C48733">
            <w:pPr>
              <w:pStyle w:val="6"/>
              <w:spacing w:before="213" w:line="387" w:lineRule="auto"/>
              <w:ind w:left="89" w:right="72" w:firstLine="499"/>
            </w:pPr>
            <w:r>
              <w:rPr>
                <w:spacing w:val="1"/>
              </w:rPr>
              <w:t>项目设置员工食堂提供员工就餐，设计设置1个基准灶</w:t>
            </w:r>
            <w:r>
              <w:t>头，属于小型规模，油 烟排放执行《饮食业油烟排放标准(试行)》(GB18483-2001)表2限值，详见</w:t>
            </w:r>
          </w:p>
          <w:p w14:paraId="091D260F">
            <w:pPr>
              <w:pStyle w:val="6"/>
              <w:spacing w:before="5" w:line="221" w:lineRule="auto"/>
              <w:ind w:left="119"/>
            </w:pPr>
            <w:r>
              <w:t>下表。</w:t>
            </w:r>
          </w:p>
          <w:p w14:paraId="1A8CBE92">
            <w:pPr>
              <w:pStyle w:val="6"/>
              <w:spacing w:before="199" w:line="220" w:lineRule="auto"/>
              <w:ind w:left="3093"/>
            </w:pPr>
            <w:r>
              <w:rPr>
                <w:b/>
                <w:bCs/>
                <w:spacing w:val="-3"/>
              </w:rPr>
              <w:t>表3-16</w:t>
            </w:r>
            <w:r>
              <w:rPr>
                <w:spacing w:val="-3"/>
              </w:rPr>
              <w:t xml:space="preserve">  </w:t>
            </w:r>
            <w:r>
              <w:rPr>
                <w:b/>
                <w:bCs/>
                <w:spacing w:val="-3"/>
              </w:rPr>
              <w:t>油烟排放标准</w:t>
            </w:r>
          </w:p>
          <w:p w14:paraId="7429A4B0">
            <w:pPr>
              <w:spacing w:line="22" w:lineRule="exact"/>
            </w:pPr>
          </w:p>
          <w:tbl>
            <w:tblPr>
              <w:tblStyle w:val="5"/>
              <w:tblW w:w="8030" w:type="dxa"/>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91"/>
              <w:gridCol w:w="1168"/>
              <w:gridCol w:w="1678"/>
              <w:gridCol w:w="1893"/>
            </w:tblGrid>
            <w:tr w14:paraId="52422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291" w:type="dxa"/>
                  <w:vAlign w:val="top"/>
                </w:tcPr>
                <w:p w14:paraId="25477F9D">
                  <w:pPr>
                    <w:pStyle w:val="6"/>
                    <w:spacing w:before="23" w:line="183" w:lineRule="auto"/>
                    <w:ind w:left="1365"/>
                    <w:rPr>
                      <w:sz w:val="22"/>
                      <w:szCs w:val="22"/>
                    </w:rPr>
                  </w:pPr>
                  <w:r>
                    <w:rPr>
                      <w:spacing w:val="-3"/>
                      <w:sz w:val="22"/>
                      <w:szCs w:val="22"/>
                    </w:rPr>
                    <w:t>规模</w:t>
                  </w:r>
                </w:p>
              </w:tc>
              <w:tc>
                <w:tcPr>
                  <w:tcW w:w="1168" w:type="dxa"/>
                  <w:vAlign w:val="top"/>
                </w:tcPr>
                <w:p w14:paraId="663001B3">
                  <w:pPr>
                    <w:pStyle w:val="6"/>
                    <w:spacing w:before="26" w:line="181" w:lineRule="auto"/>
                    <w:ind w:left="354"/>
                    <w:rPr>
                      <w:sz w:val="22"/>
                      <w:szCs w:val="22"/>
                    </w:rPr>
                  </w:pPr>
                  <w:r>
                    <w:rPr>
                      <w:spacing w:val="7"/>
                      <w:sz w:val="22"/>
                      <w:szCs w:val="22"/>
                    </w:rPr>
                    <w:t>小型</w:t>
                  </w:r>
                </w:p>
              </w:tc>
              <w:tc>
                <w:tcPr>
                  <w:tcW w:w="1678" w:type="dxa"/>
                  <w:vAlign w:val="top"/>
                </w:tcPr>
                <w:p w14:paraId="5FECBF4E">
                  <w:pPr>
                    <w:pStyle w:val="6"/>
                    <w:spacing w:before="25" w:line="182" w:lineRule="auto"/>
                    <w:ind w:left="615"/>
                    <w:rPr>
                      <w:sz w:val="22"/>
                      <w:szCs w:val="22"/>
                    </w:rPr>
                  </w:pPr>
                  <w:r>
                    <w:rPr>
                      <w:spacing w:val="7"/>
                      <w:sz w:val="22"/>
                      <w:szCs w:val="22"/>
                    </w:rPr>
                    <w:t>中型</w:t>
                  </w:r>
                </w:p>
              </w:tc>
              <w:tc>
                <w:tcPr>
                  <w:tcW w:w="1893" w:type="dxa"/>
                  <w:vAlign w:val="top"/>
                </w:tcPr>
                <w:p w14:paraId="66007DE3">
                  <w:pPr>
                    <w:pStyle w:val="6"/>
                    <w:spacing w:before="25" w:line="182" w:lineRule="auto"/>
                    <w:ind w:left="718"/>
                    <w:rPr>
                      <w:sz w:val="22"/>
                      <w:szCs w:val="22"/>
                    </w:rPr>
                  </w:pPr>
                  <w:r>
                    <w:rPr>
                      <w:spacing w:val="7"/>
                      <w:sz w:val="22"/>
                      <w:szCs w:val="22"/>
                    </w:rPr>
                    <w:t>大型</w:t>
                  </w:r>
                </w:p>
              </w:tc>
            </w:tr>
            <w:tr w14:paraId="5B211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291" w:type="dxa"/>
                  <w:vAlign w:val="top"/>
                </w:tcPr>
                <w:p w14:paraId="62F7A736">
                  <w:pPr>
                    <w:pStyle w:val="6"/>
                    <w:spacing w:before="25" w:line="202" w:lineRule="auto"/>
                    <w:ind w:left="234"/>
                    <w:rPr>
                      <w:sz w:val="22"/>
                      <w:szCs w:val="22"/>
                    </w:rPr>
                  </w:pPr>
                  <w:r>
                    <w:rPr>
                      <w:spacing w:val="12"/>
                      <w:sz w:val="22"/>
                      <w:szCs w:val="22"/>
                    </w:rPr>
                    <w:t>最高允许排放浓度(</w:t>
                  </w:r>
                  <w:r>
                    <w:rPr>
                      <w:sz w:val="22"/>
                      <w:szCs w:val="22"/>
                    </w:rPr>
                    <w:t>mg</w:t>
                  </w:r>
                  <w:r>
                    <w:rPr>
                      <w:spacing w:val="12"/>
                      <w:sz w:val="22"/>
                      <w:szCs w:val="22"/>
                    </w:rPr>
                    <w:t>/m³)</w:t>
                  </w:r>
                </w:p>
              </w:tc>
              <w:tc>
                <w:tcPr>
                  <w:tcW w:w="4739" w:type="dxa"/>
                  <w:gridSpan w:val="3"/>
                  <w:vAlign w:val="top"/>
                </w:tcPr>
                <w:p w14:paraId="00618EA5">
                  <w:pPr>
                    <w:pStyle w:val="6"/>
                    <w:spacing w:before="53" w:line="178" w:lineRule="auto"/>
                    <w:ind w:left="2164"/>
                    <w:rPr>
                      <w:sz w:val="22"/>
                      <w:szCs w:val="22"/>
                    </w:rPr>
                  </w:pPr>
                  <w:r>
                    <w:rPr>
                      <w:spacing w:val="-3"/>
                      <w:sz w:val="22"/>
                      <w:szCs w:val="22"/>
                    </w:rPr>
                    <w:t>2.0</w:t>
                  </w:r>
                </w:p>
              </w:tc>
            </w:tr>
            <w:tr w14:paraId="52B82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3291" w:type="dxa"/>
                  <w:vAlign w:val="top"/>
                </w:tcPr>
                <w:p w14:paraId="01A2561D">
                  <w:pPr>
                    <w:pStyle w:val="6"/>
                    <w:spacing w:before="36" w:line="197" w:lineRule="auto"/>
                    <w:ind w:left="234"/>
                    <w:rPr>
                      <w:sz w:val="22"/>
                      <w:szCs w:val="22"/>
                    </w:rPr>
                  </w:pPr>
                  <w:r>
                    <w:rPr>
                      <w:spacing w:val="3"/>
                      <w:sz w:val="22"/>
                      <w:szCs w:val="22"/>
                    </w:rPr>
                    <w:t>净化设施最低去除效率(%)</w:t>
                  </w:r>
                </w:p>
              </w:tc>
              <w:tc>
                <w:tcPr>
                  <w:tcW w:w="1168" w:type="dxa"/>
                  <w:vAlign w:val="top"/>
                </w:tcPr>
                <w:p w14:paraId="5E303C7C">
                  <w:pPr>
                    <w:pStyle w:val="6"/>
                    <w:spacing w:before="57" w:line="179" w:lineRule="auto"/>
                    <w:ind w:left="463"/>
                    <w:rPr>
                      <w:sz w:val="22"/>
                      <w:szCs w:val="22"/>
                    </w:rPr>
                  </w:pPr>
                  <w:r>
                    <w:rPr>
                      <w:spacing w:val="-3"/>
                      <w:sz w:val="22"/>
                      <w:szCs w:val="22"/>
                    </w:rPr>
                    <w:t>60</w:t>
                  </w:r>
                </w:p>
              </w:tc>
              <w:tc>
                <w:tcPr>
                  <w:tcW w:w="1678" w:type="dxa"/>
                  <w:vAlign w:val="top"/>
                </w:tcPr>
                <w:p w14:paraId="153957D6">
                  <w:pPr>
                    <w:pStyle w:val="6"/>
                    <w:spacing w:before="57" w:line="179" w:lineRule="auto"/>
                    <w:ind w:left="726"/>
                    <w:rPr>
                      <w:sz w:val="22"/>
                      <w:szCs w:val="22"/>
                    </w:rPr>
                  </w:pPr>
                  <w:r>
                    <w:rPr>
                      <w:spacing w:val="-4"/>
                      <w:sz w:val="22"/>
                      <w:szCs w:val="22"/>
                    </w:rPr>
                    <w:t>75</w:t>
                  </w:r>
                </w:p>
              </w:tc>
              <w:tc>
                <w:tcPr>
                  <w:tcW w:w="1893" w:type="dxa"/>
                  <w:vAlign w:val="top"/>
                </w:tcPr>
                <w:p w14:paraId="615F86C7">
                  <w:pPr>
                    <w:pStyle w:val="6"/>
                    <w:spacing w:before="57" w:line="179" w:lineRule="auto"/>
                    <w:ind w:left="827"/>
                    <w:rPr>
                      <w:sz w:val="22"/>
                      <w:szCs w:val="22"/>
                    </w:rPr>
                  </w:pPr>
                  <w:r>
                    <w:rPr>
                      <w:spacing w:val="-3"/>
                      <w:sz w:val="22"/>
                      <w:szCs w:val="22"/>
                    </w:rPr>
                    <w:t>85</w:t>
                  </w:r>
                </w:p>
              </w:tc>
            </w:tr>
          </w:tbl>
          <w:p w14:paraId="0673F46D">
            <w:pPr>
              <w:pStyle w:val="6"/>
              <w:spacing w:before="191" w:line="219" w:lineRule="auto"/>
              <w:ind w:left="593"/>
            </w:pPr>
            <w:r>
              <w:rPr>
                <w:b/>
                <w:bCs/>
                <w:spacing w:val="-4"/>
              </w:rPr>
              <w:t>2、废水排放标准</w:t>
            </w:r>
          </w:p>
          <w:p w14:paraId="5C3121B1">
            <w:pPr>
              <w:pStyle w:val="6"/>
              <w:spacing w:before="250" w:line="220" w:lineRule="auto"/>
              <w:ind w:left="709"/>
            </w:pPr>
            <w:r>
              <w:rPr>
                <w:spacing w:val="2"/>
              </w:rPr>
              <w:t>(1)施工期</w:t>
            </w:r>
          </w:p>
          <w:p w14:paraId="71A889DD">
            <w:pPr>
              <w:pStyle w:val="6"/>
              <w:spacing w:before="182" w:line="390" w:lineRule="auto"/>
              <w:ind w:left="109" w:firstLine="479"/>
            </w:pPr>
            <w:r>
              <w:rPr>
                <w:spacing w:val="-1"/>
              </w:rPr>
              <w:t>项目施工期设置旱厕，粪便污水经收集后用于区域农地绿化施肥，施工废水产</w:t>
            </w:r>
            <w:r>
              <w:rPr>
                <w:spacing w:val="9"/>
              </w:rPr>
              <w:t xml:space="preserve"> </w:t>
            </w:r>
            <w:r>
              <w:rPr>
                <w:spacing w:val="-1"/>
              </w:rPr>
              <w:t>生量较少，经临时沉淀池沉淀处理后回用于施工现场洒水降尘，不外排，因此不设</w:t>
            </w:r>
            <w:r>
              <w:rPr>
                <w:spacing w:val="13"/>
              </w:rPr>
              <w:t xml:space="preserve"> </w:t>
            </w:r>
            <w:r>
              <w:t>施工期废水排放标准。</w:t>
            </w:r>
          </w:p>
          <w:p w14:paraId="4AD2B35D">
            <w:pPr>
              <w:pStyle w:val="6"/>
              <w:spacing w:before="1" w:line="220" w:lineRule="auto"/>
              <w:ind w:left="709"/>
            </w:pPr>
            <w:r>
              <w:rPr>
                <w:spacing w:val="2"/>
              </w:rPr>
              <w:t>(2)运行期</w:t>
            </w:r>
          </w:p>
          <w:p w14:paraId="54E0FD9B">
            <w:pPr>
              <w:pStyle w:val="6"/>
              <w:spacing w:before="192" w:line="306" w:lineRule="auto"/>
              <w:ind w:left="109" w:firstLine="483"/>
            </w:pPr>
            <w:r>
              <w:rPr>
                <w:spacing w:val="-8"/>
              </w:rPr>
              <w:t>本项目采用“雨、污分流”排水体制，营运期废水主要为升压站办公生活污水，</w:t>
            </w:r>
            <w:r>
              <w:rPr>
                <w:spacing w:val="13"/>
              </w:rPr>
              <w:t xml:space="preserve"> </w:t>
            </w:r>
            <w:r>
              <w:rPr>
                <w:spacing w:val="-3"/>
              </w:rPr>
              <w:t>办公生活污水经一体化污水处理设备处理后全部回用于项目内绿化，不外排。执</w:t>
            </w:r>
          </w:p>
        </w:tc>
      </w:tr>
    </w:tbl>
    <w:p w14:paraId="3FDA6901">
      <w:pPr>
        <w:pStyle w:val="2"/>
      </w:pPr>
    </w:p>
    <w:p w14:paraId="44DC052F">
      <w:pPr>
        <w:sectPr>
          <w:footerReference r:id="rId77" w:type="default"/>
          <w:pgSz w:w="11910" w:h="16840"/>
          <w:pgMar w:top="1431" w:right="1431" w:bottom="1269" w:left="1405" w:header="0" w:footer="1089" w:gutter="0"/>
          <w:cols w:space="720" w:num="1"/>
        </w:sectPr>
      </w:pPr>
    </w:p>
    <w:p w14:paraId="050B9A51">
      <w:pPr>
        <w:spacing w:line="58" w:lineRule="exact"/>
      </w:pPr>
    </w:p>
    <w:tbl>
      <w:tblPr>
        <w:tblStyle w:val="5"/>
        <w:tblW w:w="91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4"/>
        <w:gridCol w:w="8765"/>
      </w:tblGrid>
      <w:tr w14:paraId="4F40B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9" w:hRule="atLeast"/>
        </w:trPr>
        <w:tc>
          <w:tcPr>
            <w:tcW w:w="344" w:type="dxa"/>
            <w:vAlign w:val="top"/>
          </w:tcPr>
          <w:p w14:paraId="0905B76A">
            <w:pPr>
              <w:rPr>
                <w:rFonts w:ascii="Arial"/>
                <w:sz w:val="21"/>
              </w:rPr>
            </w:pPr>
          </w:p>
        </w:tc>
        <w:tc>
          <w:tcPr>
            <w:tcW w:w="8765" w:type="dxa"/>
            <w:vAlign w:val="top"/>
          </w:tcPr>
          <w:p w14:paraId="6E5F7CDA">
            <w:pPr>
              <w:pStyle w:val="6"/>
              <w:spacing w:before="202" w:line="242" w:lineRule="auto"/>
              <w:ind w:left="2818" w:right="38" w:hanging="2723"/>
              <w:rPr>
                <w:sz w:val="25"/>
                <w:szCs w:val="25"/>
              </w:rPr>
            </w:pPr>
            <w:r>
              <w:rPr>
                <w:spacing w:val="-1"/>
              </w:rPr>
              <w:t>行《城市污水再生利用城市杂用水水质》(</w:t>
            </w:r>
            <w:r>
              <w:rPr>
                <w:rFonts w:ascii="Times New Roman" w:hAnsi="Times New Roman" w:eastAsia="Times New Roman" w:cs="Times New Roman"/>
                <w:spacing w:val="-1"/>
              </w:rPr>
              <w:t>GB/</w:t>
            </w:r>
            <w:r>
              <w:rPr>
                <w:rFonts w:ascii="Times New Roman" w:hAnsi="Times New Roman" w:eastAsia="Times New Roman" w:cs="Times New Roman"/>
                <w:spacing w:val="-2"/>
              </w:rPr>
              <w:t xml:space="preserve">T18920-2020) </w:t>
            </w:r>
            <w:r>
              <w:rPr>
                <w:spacing w:val="-2"/>
              </w:rPr>
              <w:t>中城市绿化用水标准。</w:t>
            </w:r>
            <w:r>
              <w:t xml:space="preserve"> </w:t>
            </w:r>
            <w:r>
              <w:rPr>
                <w:b/>
                <w:bCs/>
                <w:spacing w:val="-4"/>
                <w:sz w:val="25"/>
                <w:szCs w:val="25"/>
              </w:rPr>
              <w:t>表3-17城市杂用水水质标准</w:t>
            </w:r>
          </w:p>
          <w:tbl>
            <w:tblPr>
              <w:tblStyle w:val="5"/>
              <w:tblW w:w="8020" w:type="dxa"/>
              <w:tblInd w:w="3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836"/>
              <w:gridCol w:w="4500"/>
            </w:tblGrid>
            <w:tr w14:paraId="380D0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84" w:type="dxa"/>
                  <w:vAlign w:val="top"/>
                </w:tcPr>
                <w:p w14:paraId="33B9B10A">
                  <w:pPr>
                    <w:pStyle w:val="6"/>
                    <w:spacing w:before="35" w:line="193" w:lineRule="auto"/>
                    <w:ind w:left="115"/>
                    <w:rPr>
                      <w:sz w:val="22"/>
                      <w:szCs w:val="22"/>
                    </w:rPr>
                  </w:pPr>
                  <w:r>
                    <w:rPr>
                      <w:spacing w:val="6"/>
                      <w:sz w:val="22"/>
                      <w:szCs w:val="22"/>
                    </w:rPr>
                    <w:t>序号</w:t>
                  </w:r>
                </w:p>
              </w:tc>
              <w:tc>
                <w:tcPr>
                  <w:tcW w:w="2836" w:type="dxa"/>
                  <w:vAlign w:val="top"/>
                </w:tcPr>
                <w:p w14:paraId="71515461">
                  <w:pPr>
                    <w:pStyle w:val="6"/>
                    <w:spacing w:before="35" w:line="193" w:lineRule="auto"/>
                    <w:ind w:left="1190"/>
                    <w:rPr>
                      <w:sz w:val="22"/>
                      <w:szCs w:val="22"/>
                    </w:rPr>
                  </w:pPr>
                  <w:r>
                    <w:rPr>
                      <w:spacing w:val="-6"/>
                      <w:sz w:val="22"/>
                      <w:szCs w:val="22"/>
                    </w:rPr>
                    <w:t>项 目</w:t>
                  </w:r>
                </w:p>
              </w:tc>
              <w:tc>
                <w:tcPr>
                  <w:tcW w:w="4500" w:type="dxa"/>
                  <w:vAlign w:val="top"/>
                </w:tcPr>
                <w:p w14:paraId="1513B29A">
                  <w:pPr>
                    <w:pStyle w:val="6"/>
                    <w:spacing w:before="33" w:line="194" w:lineRule="auto"/>
                    <w:ind w:left="375"/>
                    <w:rPr>
                      <w:sz w:val="22"/>
                      <w:szCs w:val="22"/>
                    </w:rPr>
                  </w:pPr>
                  <w:r>
                    <w:rPr>
                      <w:sz w:val="22"/>
                      <w:szCs w:val="22"/>
                    </w:rPr>
                    <w:t>城市绿化、道路清扫、消防、建筑施工</w:t>
                  </w:r>
                </w:p>
              </w:tc>
            </w:tr>
            <w:tr w14:paraId="488A1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684" w:type="dxa"/>
                  <w:vAlign w:val="top"/>
                </w:tcPr>
                <w:p w14:paraId="1B9C3F9B">
                  <w:pPr>
                    <w:pStyle w:val="6"/>
                    <w:spacing w:before="50" w:line="183" w:lineRule="auto"/>
                    <w:ind w:left="275"/>
                    <w:rPr>
                      <w:sz w:val="22"/>
                      <w:szCs w:val="22"/>
                    </w:rPr>
                  </w:pPr>
                  <w:r>
                    <w:rPr>
                      <w:sz w:val="22"/>
                      <w:szCs w:val="22"/>
                    </w:rPr>
                    <w:t>1</w:t>
                  </w:r>
                </w:p>
              </w:tc>
              <w:tc>
                <w:tcPr>
                  <w:tcW w:w="2836" w:type="dxa"/>
                  <w:vAlign w:val="top"/>
                </w:tcPr>
                <w:p w14:paraId="7A6154A3">
                  <w:pPr>
                    <w:pStyle w:val="6"/>
                    <w:spacing w:before="59" w:line="176" w:lineRule="auto"/>
                    <w:ind w:left="1301"/>
                    <w:rPr>
                      <w:sz w:val="22"/>
                      <w:szCs w:val="22"/>
                    </w:rPr>
                  </w:pPr>
                  <w:r>
                    <w:rPr>
                      <w:spacing w:val="-2"/>
                      <w:sz w:val="22"/>
                      <w:szCs w:val="22"/>
                    </w:rPr>
                    <w:t>pH</w:t>
                  </w:r>
                </w:p>
              </w:tc>
              <w:tc>
                <w:tcPr>
                  <w:tcW w:w="4500" w:type="dxa"/>
                  <w:vAlign w:val="top"/>
                </w:tcPr>
                <w:p w14:paraId="430A0782">
                  <w:pPr>
                    <w:pStyle w:val="6"/>
                    <w:spacing w:before="50" w:line="183" w:lineRule="auto"/>
                    <w:ind w:left="1854"/>
                    <w:rPr>
                      <w:sz w:val="22"/>
                      <w:szCs w:val="22"/>
                    </w:rPr>
                  </w:pPr>
                  <w:r>
                    <w:rPr>
                      <w:spacing w:val="-2"/>
                      <w:sz w:val="22"/>
                      <w:szCs w:val="22"/>
                    </w:rPr>
                    <w:t>6.0~9.0</w:t>
                  </w:r>
                </w:p>
              </w:tc>
            </w:tr>
            <w:tr w14:paraId="576FA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84" w:type="dxa"/>
                  <w:vAlign w:val="top"/>
                </w:tcPr>
                <w:p w14:paraId="2DB287DD">
                  <w:pPr>
                    <w:pStyle w:val="6"/>
                    <w:spacing w:before="41" w:line="174" w:lineRule="auto"/>
                    <w:ind w:left="275"/>
                    <w:rPr>
                      <w:sz w:val="22"/>
                      <w:szCs w:val="22"/>
                    </w:rPr>
                  </w:pPr>
                  <w:r>
                    <w:rPr>
                      <w:sz w:val="22"/>
                      <w:szCs w:val="22"/>
                    </w:rPr>
                    <w:t>2</w:t>
                  </w:r>
                </w:p>
              </w:tc>
              <w:tc>
                <w:tcPr>
                  <w:tcW w:w="2836" w:type="dxa"/>
                  <w:vAlign w:val="top"/>
                </w:tcPr>
                <w:p w14:paraId="2E848688">
                  <w:pPr>
                    <w:pStyle w:val="6"/>
                    <w:spacing w:before="20" w:line="192" w:lineRule="auto"/>
                    <w:ind w:left="1081"/>
                    <w:rPr>
                      <w:sz w:val="22"/>
                      <w:szCs w:val="22"/>
                    </w:rPr>
                  </w:pPr>
                  <w:r>
                    <w:rPr>
                      <w:spacing w:val="12"/>
                      <w:sz w:val="22"/>
                      <w:szCs w:val="22"/>
                    </w:rPr>
                    <w:t>色(度)</w:t>
                  </w:r>
                </w:p>
              </w:tc>
              <w:tc>
                <w:tcPr>
                  <w:tcW w:w="4500" w:type="dxa"/>
                  <w:vAlign w:val="top"/>
                </w:tcPr>
                <w:p w14:paraId="49C552E1">
                  <w:pPr>
                    <w:pStyle w:val="6"/>
                    <w:spacing w:before="41" w:line="174" w:lineRule="auto"/>
                    <w:ind w:left="2134"/>
                    <w:rPr>
                      <w:sz w:val="22"/>
                      <w:szCs w:val="22"/>
                    </w:rPr>
                  </w:pPr>
                  <w:r>
                    <w:rPr>
                      <w:spacing w:val="-4"/>
                      <w:sz w:val="22"/>
                      <w:szCs w:val="22"/>
                    </w:rPr>
                    <w:t>30</w:t>
                  </w:r>
                </w:p>
              </w:tc>
            </w:tr>
            <w:tr w14:paraId="4CF31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84" w:type="dxa"/>
                  <w:vAlign w:val="top"/>
                </w:tcPr>
                <w:p w14:paraId="0407B18B">
                  <w:pPr>
                    <w:pStyle w:val="6"/>
                    <w:spacing w:before="63" w:line="181" w:lineRule="auto"/>
                    <w:ind w:left="275"/>
                    <w:rPr>
                      <w:sz w:val="22"/>
                      <w:szCs w:val="22"/>
                    </w:rPr>
                  </w:pPr>
                  <w:r>
                    <w:rPr>
                      <w:sz w:val="22"/>
                      <w:szCs w:val="22"/>
                    </w:rPr>
                    <w:t>3</w:t>
                  </w:r>
                </w:p>
              </w:tc>
              <w:tc>
                <w:tcPr>
                  <w:tcW w:w="2836" w:type="dxa"/>
                  <w:vAlign w:val="top"/>
                </w:tcPr>
                <w:p w14:paraId="19ACB5AA">
                  <w:pPr>
                    <w:pStyle w:val="6"/>
                    <w:spacing w:before="41" w:line="199" w:lineRule="auto"/>
                    <w:ind w:left="1301"/>
                    <w:rPr>
                      <w:sz w:val="22"/>
                      <w:szCs w:val="22"/>
                    </w:rPr>
                  </w:pPr>
                  <w:r>
                    <w:rPr>
                      <w:sz w:val="22"/>
                      <w:szCs w:val="22"/>
                    </w:rPr>
                    <w:t>嗅</w:t>
                  </w:r>
                </w:p>
              </w:tc>
              <w:tc>
                <w:tcPr>
                  <w:tcW w:w="4500" w:type="dxa"/>
                  <w:vAlign w:val="top"/>
                </w:tcPr>
                <w:p w14:paraId="0E96C6D9">
                  <w:pPr>
                    <w:pStyle w:val="6"/>
                    <w:spacing w:before="41" w:line="199" w:lineRule="auto"/>
                    <w:ind w:left="1805"/>
                    <w:rPr>
                      <w:sz w:val="22"/>
                      <w:szCs w:val="22"/>
                    </w:rPr>
                  </w:pPr>
                  <w:r>
                    <w:rPr>
                      <w:spacing w:val="2"/>
                      <w:sz w:val="22"/>
                      <w:szCs w:val="22"/>
                    </w:rPr>
                    <w:t>无不快感</w:t>
                  </w:r>
                </w:p>
              </w:tc>
            </w:tr>
            <w:tr w14:paraId="268AA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84" w:type="dxa"/>
                  <w:vAlign w:val="top"/>
                </w:tcPr>
                <w:p w14:paraId="7CA52488">
                  <w:pPr>
                    <w:pStyle w:val="6"/>
                    <w:spacing w:before="43" w:line="173" w:lineRule="auto"/>
                    <w:ind w:left="275"/>
                    <w:rPr>
                      <w:sz w:val="22"/>
                      <w:szCs w:val="22"/>
                    </w:rPr>
                  </w:pPr>
                  <w:r>
                    <w:rPr>
                      <w:sz w:val="22"/>
                      <w:szCs w:val="22"/>
                    </w:rPr>
                    <w:t>4</w:t>
                  </w:r>
                </w:p>
              </w:tc>
              <w:tc>
                <w:tcPr>
                  <w:tcW w:w="2836" w:type="dxa"/>
                  <w:vAlign w:val="top"/>
                </w:tcPr>
                <w:p w14:paraId="4160D2B3">
                  <w:pPr>
                    <w:pStyle w:val="6"/>
                    <w:spacing w:before="22" w:line="191" w:lineRule="auto"/>
                    <w:ind w:left="671"/>
                    <w:rPr>
                      <w:sz w:val="22"/>
                      <w:szCs w:val="22"/>
                    </w:rPr>
                  </w:pPr>
                  <w:r>
                    <w:rPr>
                      <w:spacing w:val="36"/>
                      <w:sz w:val="22"/>
                      <w:szCs w:val="22"/>
                    </w:rPr>
                    <w:t>浊度(NTU)≤</w:t>
                  </w:r>
                </w:p>
              </w:tc>
              <w:tc>
                <w:tcPr>
                  <w:tcW w:w="4500" w:type="dxa"/>
                  <w:vAlign w:val="top"/>
                </w:tcPr>
                <w:p w14:paraId="51407D6C">
                  <w:pPr>
                    <w:pStyle w:val="6"/>
                    <w:spacing w:before="43" w:line="173" w:lineRule="auto"/>
                    <w:ind w:left="2134"/>
                    <w:rPr>
                      <w:sz w:val="22"/>
                      <w:szCs w:val="22"/>
                    </w:rPr>
                  </w:pPr>
                  <w:r>
                    <w:rPr>
                      <w:spacing w:val="-7"/>
                      <w:sz w:val="22"/>
                      <w:szCs w:val="22"/>
                    </w:rPr>
                    <w:t>10</w:t>
                  </w:r>
                </w:p>
              </w:tc>
            </w:tr>
            <w:tr w14:paraId="0464B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684" w:type="dxa"/>
                  <w:vAlign w:val="top"/>
                </w:tcPr>
                <w:p w14:paraId="0605AF01">
                  <w:pPr>
                    <w:pStyle w:val="6"/>
                    <w:spacing w:before="54" w:line="180" w:lineRule="auto"/>
                    <w:ind w:left="275"/>
                    <w:rPr>
                      <w:sz w:val="22"/>
                      <w:szCs w:val="22"/>
                    </w:rPr>
                  </w:pPr>
                  <w:r>
                    <w:rPr>
                      <w:sz w:val="22"/>
                      <w:szCs w:val="22"/>
                    </w:rPr>
                    <w:t>5</w:t>
                  </w:r>
                </w:p>
              </w:tc>
              <w:tc>
                <w:tcPr>
                  <w:tcW w:w="2836" w:type="dxa"/>
                  <w:vAlign w:val="top"/>
                </w:tcPr>
                <w:p w14:paraId="2284081E">
                  <w:pPr>
                    <w:pStyle w:val="6"/>
                    <w:spacing w:before="24" w:line="205" w:lineRule="auto"/>
                    <w:ind w:left="691"/>
                    <w:rPr>
                      <w:sz w:val="22"/>
                      <w:szCs w:val="22"/>
                    </w:rPr>
                  </w:pPr>
                  <w:r>
                    <w:rPr>
                      <w:spacing w:val="-4"/>
                      <w:sz w:val="22"/>
                      <w:szCs w:val="22"/>
                    </w:rPr>
                    <w:t>BOD</w:t>
                  </w:r>
                  <w:r>
                    <w:rPr>
                      <w:rFonts w:ascii="Calibri" w:hAnsi="Calibri" w:eastAsia="Calibri" w:cs="Calibri"/>
                      <w:spacing w:val="-4"/>
                      <w:sz w:val="22"/>
                      <w:szCs w:val="22"/>
                    </w:rPr>
                    <w:t xml:space="preserve">₅ </w:t>
                  </w:r>
                  <w:r>
                    <w:rPr>
                      <w:spacing w:val="-4"/>
                      <w:sz w:val="22"/>
                      <w:szCs w:val="22"/>
                    </w:rPr>
                    <w:t>(mg/L)≤</w:t>
                  </w:r>
                </w:p>
              </w:tc>
              <w:tc>
                <w:tcPr>
                  <w:tcW w:w="4500" w:type="dxa"/>
                  <w:vAlign w:val="top"/>
                </w:tcPr>
                <w:p w14:paraId="6D6F715E">
                  <w:pPr>
                    <w:pStyle w:val="6"/>
                    <w:spacing w:before="54" w:line="180" w:lineRule="auto"/>
                    <w:ind w:left="2134"/>
                    <w:rPr>
                      <w:sz w:val="22"/>
                      <w:szCs w:val="22"/>
                    </w:rPr>
                  </w:pPr>
                  <w:r>
                    <w:rPr>
                      <w:spacing w:val="-7"/>
                      <w:sz w:val="22"/>
                      <w:szCs w:val="22"/>
                    </w:rPr>
                    <w:t>10</w:t>
                  </w:r>
                </w:p>
              </w:tc>
            </w:tr>
            <w:tr w14:paraId="1608B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84" w:type="dxa"/>
                  <w:vAlign w:val="top"/>
                </w:tcPr>
                <w:p w14:paraId="2FC7E5AB">
                  <w:pPr>
                    <w:pStyle w:val="6"/>
                    <w:spacing w:before="64" w:line="180" w:lineRule="auto"/>
                    <w:ind w:left="275"/>
                    <w:rPr>
                      <w:sz w:val="22"/>
                      <w:szCs w:val="22"/>
                    </w:rPr>
                  </w:pPr>
                  <w:r>
                    <w:rPr>
                      <w:sz w:val="22"/>
                      <w:szCs w:val="22"/>
                    </w:rPr>
                    <w:t>9</w:t>
                  </w:r>
                </w:p>
              </w:tc>
              <w:tc>
                <w:tcPr>
                  <w:tcW w:w="2836" w:type="dxa"/>
                  <w:vAlign w:val="top"/>
                </w:tcPr>
                <w:p w14:paraId="72CE8E41">
                  <w:pPr>
                    <w:pStyle w:val="6"/>
                    <w:spacing w:before="35" w:line="204" w:lineRule="auto"/>
                    <w:ind w:left="751"/>
                    <w:rPr>
                      <w:sz w:val="22"/>
                      <w:szCs w:val="22"/>
                    </w:rPr>
                  </w:pPr>
                  <w:r>
                    <w:rPr>
                      <w:spacing w:val="3"/>
                      <w:sz w:val="22"/>
                      <w:szCs w:val="22"/>
                    </w:rPr>
                    <w:t>氨氮(</w:t>
                  </w:r>
                  <w:r>
                    <w:rPr>
                      <w:sz w:val="22"/>
                      <w:szCs w:val="22"/>
                    </w:rPr>
                    <w:t>mg</w:t>
                  </w:r>
                  <w:r>
                    <w:rPr>
                      <w:spacing w:val="3"/>
                      <w:sz w:val="22"/>
                      <w:szCs w:val="22"/>
                    </w:rPr>
                    <w:t>/L)≤</w:t>
                  </w:r>
                </w:p>
              </w:tc>
              <w:tc>
                <w:tcPr>
                  <w:tcW w:w="4500" w:type="dxa"/>
                  <w:vAlign w:val="top"/>
                </w:tcPr>
                <w:p w14:paraId="1EAFAF4C">
                  <w:pPr>
                    <w:pStyle w:val="6"/>
                    <w:spacing w:before="64" w:line="180" w:lineRule="auto"/>
                    <w:ind w:left="2185"/>
                    <w:rPr>
                      <w:sz w:val="22"/>
                      <w:szCs w:val="22"/>
                    </w:rPr>
                  </w:pPr>
                  <w:r>
                    <w:rPr>
                      <w:sz w:val="22"/>
                      <w:szCs w:val="22"/>
                    </w:rPr>
                    <w:t>8</w:t>
                  </w:r>
                </w:p>
              </w:tc>
            </w:tr>
            <w:tr w14:paraId="4F2DD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Align w:val="top"/>
                </w:tcPr>
                <w:p w14:paraId="62A5E7E0">
                  <w:pPr>
                    <w:pStyle w:val="6"/>
                    <w:spacing w:before="55" w:line="180" w:lineRule="auto"/>
                    <w:ind w:left="275"/>
                    <w:rPr>
                      <w:sz w:val="22"/>
                      <w:szCs w:val="22"/>
                    </w:rPr>
                  </w:pPr>
                  <w:r>
                    <w:rPr>
                      <w:sz w:val="22"/>
                      <w:szCs w:val="22"/>
                    </w:rPr>
                    <w:t>7</w:t>
                  </w:r>
                </w:p>
              </w:tc>
              <w:tc>
                <w:tcPr>
                  <w:tcW w:w="2836" w:type="dxa"/>
                  <w:vAlign w:val="top"/>
                </w:tcPr>
                <w:p w14:paraId="26311B68">
                  <w:pPr>
                    <w:pStyle w:val="6"/>
                    <w:spacing w:before="26" w:line="204" w:lineRule="auto"/>
                    <w:ind w:left="90"/>
                    <w:rPr>
                      <w:sz w:val="22"/>
                      <w:szCs w:val="22"/>
                    </w:rPr>
                  </w:pPr>
                  <w:r>
                    <w:rPr>
                      <w:spacing w:val="1"/>
                      <w:sz w:val="22"/>
                      <w:szCs w:val="22"/>
                    </w:rPr>
                    <w:t>阴离子表面活性剂(</w:t>
                  </w:r>
                  <w:r>
                    <w:rPr>
                      <w:sz w:val="22"/>
                      <w:szCs w:val="22"/>
                    </w:rPr>
                    <w:t>mg</w:t>
                  </w:r>
                  <w:r>
                    <w:rPr>
                      <w:spacing w:val="1"/>
                      <w:sz w:val="22"/>
                      <w:szCs w:val="22"/>
                    </w:rPr>
                    <w:t>/L)≤</w:t>
                  </w:r>
                </w:p>
              </w:tc>
              <w:tc>
                <w:tcPr>
                  <w:tcW w:w="4500" w:type="dxa"/>
                  <w:vAlign w:val="top"/>
                </w:tcPr>
                <w:p w14:paraId="67C75B61">
                  <w:pPr>
                    <w:pStyle w:val="6"/>
                    <w:spacing w:before="55" w:line="180" w:lineRule="auto"/>
                    <w:ind w:left="2075"/>
                    <w:rPr>
                      <w:sz w:val="22"/>
                      <w:szCs w:val="22"/>
                    </w:rPr>
                  </w:pPr>
                  <w:r>
                    <w:rPr>
                      <w:spacing w:val="-3"/>
                      <w:sz w:val="22"/>
                      <w:szCs w:val="22"/>
                    </w:rPr>
                    <w:t>0.5</w:t>
                  </w:r>
                </w:p>
              </w:tc>
            </w:tr>
            <w:tr w14:paraId="64B8F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84" w:type="dxa"/>
                  <w:vAlign w:val="top"/>
                </w:tcPr>
                <w:p w14:paraId="1D2185BB">
                  <w:pPr>
                    <w:pStyle w:val="6"/>
                    <w:spacing w:before="46" w:line="171" w:lineRule="auto"/>
                    <w:ind w:left="275"/>
                    <w:rPr>
                      <w:sz w:val="22"/>
                      <w:szCs w:val="22"/>
                    </w:rPr>
                  </w:pPr>
                  <w:r>
                    <w:rPr>
                      <w:sz w:val="22"/>
                      <w:szCs w:val="22"/>
                    </w:rPr>
                    <w:t>8</w:t>
                  </w:r>
                </w:p>
              </w:tc>
              <w:tc>
                <w:tcPr>
                  <w:tcW w:w="2836" w:type="dxa"/>
                  <w:vAlign w:val="top"/>
                </w:tcPr>
                <w:p w14:paraId="4C9350EE">
                  <w:pPr>
                    <w:pStyle w:val="6"/>
                    <w:spacing w:before="16" w:line="196" w:lineRule="auto"/>
                    <w:ind w:left="861"/>
                    <w:rPr>
                      <w:sz w:val="22"/>
                      <w:szCs w:val="22"/>
                    </w:rPr>
                  </w:pPr>
                  <w:r>
                    <w:rPr>
                      <w:spacing w:val="4"/>
                      <w:sz w:val="22"/>
                      <w:szCs w:val="22"/>
                    </w:rPr>
                    <w:t>铁(</w:t>
                  </w:r>
                  <w:r>
                    <w:rPr>
                      <w:sz w:val="22"/>
                      <w:szCs w:val="22"/>
                    </w:rPr>
                    <w:t>mg</w:t>
                  </w:r>
                  <w:r>
                    <w:rPr>
                      <w:spacing w:val="4"/>
                      <w:sz w:val="22"/>
                      <w:szCs w:val="22"/>
                    </w:rPr>
                    <w:t>/L)≤</w:t>
                  </w:r>
                </w:p>
              </w:tc>
              <w:tc>
                <w:tcPr>
                  <w:tcW w:w="4500" w:type="dxa"/>
                  <w:vAlign w:val="top"/>
                </w:tcPr>
                <w:p w14:paraId="2C259357">
                  <w:pPr>
                    <w:pStyle w:val="6"/>
                    <w:spacing w:before="149" w:line="101" w:lineRule="exact"/>
                    <w:ind w:left="2134"/>
                    <w:rPr>
                      <w:sz w:val="22"/>
                      <w:szCs w:val="22"/>
                    </w:rPr>
                  </w:pPr>
                  <w:r>
                    <w:rPr>
                      <w:spacing w:val="-2"/>
                      <w:position w:val="-5"/>
                      <w:sz w:val="22"/>
                      <w:szCs w:val="22"/>
                    </w:rPr>
                    <w:t>--</w:t>
                  </w:r>
                </w:p>
              </w:tc>
            </w:tr>
            <w:tr w14:paraId="43F55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684" w:type="dxa"/>
                  <w:vAlign w:val="top"/>
                </w:tcPr>
                <w:p w14:paraId="0E42F941">
                  <w:pPr>
                    <w:pStyle w:val="6"/>
                    <w:spacing w:before="55" w:line="179" w:lineRule="auto"/>
                    <w:ind w:left="275"/>
                    <w:rPr>
                      <w:sz w:val="22"/>
                      <w:szCs w:val="22"/>
                    </w:rPr>
                  </w:pPr>
                  <w:r>
                    <w:rPr>
                      <w:sz w:val="22"/>
                      <w:szCs w:val="22"/>
                    </w:rPr>
                    <w:t>9</w:t>
                  </w:r>
                </w:p>
              </w:tc>
              <w:tc>
                <w:tcPr>
                  <w:tcW w:w="2836" w:type="dxa"/>
                  <w:vAlign w:val="top"/>
                </w:tcPr>
                <w:p w14:paraId="3CE74382">
                  <w:pPr>
                    <w:pStyle w:val="6"/>
                    <w:spacing w:before="27" w:line="203" w:lineRule="auto"/>
                    <w:ind w:left="861"/>
                    <w:rPr>
                      <w:sz w:val="22"/>
                      <w:szCs w:val="22"/>
                    </w:rPr>
                  </w:pPr>
                  <w:r>
                    <w:rPr>
                      <w:spacing w:val="4"/>
                      <w:sz w:val="22"/>
                      <w:szCs w:val="22"/>
                    </w:rPr>
                    <w:t>锰(</w:t>
                  </w:r>
                  <w:r>
                    <w:rPr>
                      <w:sz w:val="22"/>
                      <w:szCs w:val="22"/>
                    </w:rPr>
                    <w:t>mg</w:t>
                  </w:r>
                  <w:r>
                    <w:rPr>
                      <w:spacing w:val="4"/>
                      <w:sz w:val="22"/>
                      <w:szCs w:val="22"/>
                    </w:rPr>
                    <w:t>/L)≤</w:t>
                  </w:r>
                </w:p>
              </w:tc>
              <w:tc>
                <w:tcPr>
                  <w:tcW w:w="4500" w:type="dxa"/>
                  <w:vAlign w:val="top"/>
                </w:tcPr>
                <w:p w14:paraId="50D63157">
                  <w:pPr>
                    <w:pStyle w:val="6"/>
                    <w:spacing w:before="159" w:line="110" w:lineRule="exact"/>
                    <w:ind w:left="2134"/>
                    <w:rPr>
                      <w:sz w:val="22"/>
                      <w:szCs w:val="22"/>
                    </w:rPr>
                  </w:pPr>
                  <w:r>
                    <w:rPr>
                      <w:spacing w:val="-2"/>
                      <w:position w:val="-5"/>
                      <w:sz w:val="22"/>
                      <w:szCs w:val="22"/>
                    </w:rPr>
                    <w:t>--</w:t>
                  </w:r>
                </w:p>
              </w:tc>
            </w:tr>
            <w:tr w14:paraId="7E05F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684" w:type="dxa"/>
                  <w:vAlign w:val="top"/>
                </w:tcPr>
                <w:p w14:paraId="508F7A20">
                  <w:pPr>
                    <w:pStyle w:val="6"/>
                    <w:spacing w:before="97" w:line="203" w:lineRule="auto"/>
                    <w:ind w:left="224"/>
                    <w:rPr>
                      <w:sz w:val="22"/>
                      <w:szCs w:val="22"/>
                    </w:rPr>
                  </w:pPr>
                  <w:r>
                    <w:rPr>
                      <w:spacing w:val="-7"/>
                      <w:sz w:val="22"/>
                      <w:szCs w:val="22"/>
                    </w:rPr>
                    <w:t>10</w:t>
                  </w:r>
                </w:p>
              </w:tc>
              <w:tc>
                <w:tcPr>
                  <w:tcW w:w="2836" w:type="dxa"/>
                  <w:vAlign w:val="top"/>
                </w:tcPr>
                <w:p w14:paraId="4316CE11">
                  <w:pPr>
                    <w:pStyle w:val="6"/>
                    <w:spacing w:before="67" w:line="214" w:lineRule="auto"/>
                    <w:ind w:left="421"/>
                    <w:rPr>
                      <w:sz w:val="22"/>
                      <w:szCs w:val="22"/>
                    </w:rPr>
                  </w:pPr>
                  <w:r>
                    <w:rPr>
                      <w:spacing w:val="4"/>
                      <w:sz w:val="22"/>
                      <w:szCs w:val="22"/>
                    </w:rPr>
                    <w:t>溶解性总固体(</w:t>
                  </w:r>
                  <w:r>
                    <w:rPr>
                      <w:sz w:val="22"/>
                      <w:szCs w:val="22"/>
                    </w:rPr>
                    <w:t>mg</w:t>
                  </w:r>
                  <w:r>
                    <w:rPr>
                      <w:spacing w:val="4"/>
                      <w:sz w:val="22"/>
                      <w:szCs w:val="22"/>
                    </w:rPr>
                    <w:t>/L)</w:t>
                  </w:r>
                </w:p>
              </w:tc>
              <w:tc>
                <w:tcPr>
                  <w:tcW w:w="4500" w:type="dxa"/>
                  <w:vAlign w:val="top"/>
                </w:tcPr>
                <w:p w14:paraId="034AECD5">
                  <w:pPr>
                    <w:pStyle w:val="6"/>
                    <w:spacing w:before="78" w:line="219" w:lineRule="auto"/>
                    <w:ind w:left="1635"/>
                    <w:rPr>
                      <w:sz w:val="22"/>
                      <w:szCs w:val="22"/>
                    </w:rPr>
                  </w:pPr>
                  <w:r>
                    <w:rPr>
                      <w:spacing w:val="-3"/>
                      <w:sz w:val="22"/>
                      <w:szCs w:val="22"/>
                    </w:rPr>
                    <w:t>1000(2000)a</w:t>
                  </w:r>
                </w:p>
              </w:tc>
            </w:tr>
            <w:tr w14:paraId="1C4DC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Align w:val="top"/>
                </w:tcPr>
                <w:p w14:paraId="04A542CD">
                  <w:pPr>
                    <w:pStyle w:val="6"/>
                    <w:spacing w:before="57" w:line="178" w:lineRule="auto"/>
                    <w:ind w:left="224"/>
                    <w:rPr>
                      <w:sz w:val="22"/>
                      <w:szCs w:val="22"/>
                    </w:rPr>
                  </w:pPr>
                  <w:r>
                    <w:rPr>
                      <w:spacing w:val="-7"/>
                      <w:sz w:val="22"/>
                      <w:szCs w:val="22"/>
                    </w:rPr>
                    <w:t>11</w:t>
                  </w:r>
                </w:p>
              </w:tc>
              <w:tc>
                <w:tcPr>
                  <w:tcW w:w="2836" w:type="dxa"/>
                  <w:vAlign w:val="top"/>
                </w:tcPr>
                <w:p w14:paraId="3D2AA1E0">
                  <w:pPr>
                    <w:pStyle w:val="6"/>
                    <w:spacing w:before="29" w:line="202" w:lineRule="auto"/>
                    <w:ind w:left="640"/>
                    <w:rPr>
                      <w:sz w:val="22"/>
                      <w:szCs w:val="22"/>
                    </w:rPr>
                  </w:pPr>
                  <w:r>
                    <w:rPr>
                      <w:spacing w:val="3"/>
                      <w:sz w:val="22"/>
                      <w:szCs w:val="22"/>
                    </w:rPr>
                    <w:t>溶解氧(</w:t>
                  </w:r>
                  <w:r>
                    <w:rPr>
                      <w:sz w:val="22"/>
                      <w:szCs w:val="22"/>
                    </w:rPr>
                    <w:t>mg</w:t>
                  </w:r>
                  <w:r>
                    <w:rPr>
                      <w:spacing w:val="3"/>
                      <w:sz w:val="22"/>
                      <w:szCs w:val="22"/>
                    </w:rPr>
                    <w:t>/L)≥</w:t>
                  </w:r>
                </w:p>
              </w:tc>
              <w:tc>
                <w:tcPr>
                  <w:tcW w:w="4500" w:type="dxa"/>
                  <w:vAlign w:val="top"/>
                </w:tcPr>
                <w:p w14:paraId="21810DE0">
                  <w:pPr>
                    <w:pStyle w:val="6"/>
                    <w:spacing w:before="57" w:line="178" w:lineRule="auto"/>
                    <w:ind w:left="2075"/>
                    <w:rPr>
                      <w:sz w:val="22"/>
                      <w:szCs w:val="22"/>
                    </w:rPr>
                  </w:pPr>
                  <w:r>
                    <w:rPr>
                      <w:spacing w:val="-3"/>
                      <w:sz w:val="22"/>
                      <w:szCs w:val="22"/>
                    </w:rPr>
                    <w:t>2.0</w:t>
                  </w:r>
                </w:p>
              </w:tc>
            </w:tr>
            <w:tr w14:paraId="60C09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684" w:type="dxa"/>
                  <w:vAlign w:val="top"/>
                </w:tcPr>
                <w:p w14:paraId="3FB7E4B3">
                  <w:pPr>
                    <w:pStyle w:val="6"/>
                    <w:spacing w:before="58" w:line="177" w:lineRule="auto"/>
                    <w:ind w:left="224"/>
                    <w:rPr>
                      <w:sz w:val="22"/>
                      <w:szCs w:val="22"/>
                    </w:rPr>
                  </w:pPr>
                  <w:r>
                    <w:rPr>
                      <w:spacing w:val="-7"/>
                      <w:sz w:val="22"/>
                      <w:szCs w:val="22"/>
                    </w:rPr>
                    <w:t>12</w:t>
                  </w:r>
                </w:p>
              </w:tc>
              <w:tc>
                <w:tcPr>
                  <w:tcW w:w="2836" w:type="dxa"/>
                  <w:vAlign w:val="top"/>
                </w:tcPr>
                <w:p w14:paraId="6027EBAB">
                  <w:pPr>
                    <w:pStyle w:val="6"/>
                    <w:spacing w:before="29" w:line="201" w:lineRule="auto"/>
                    <w:ind w:left="751"/>
                    <w:rPr>
                      <w:sz w:val="22"/>
                      <w:szCs w:val="22"/>
                    </w:rPr>
                  </w:pPr>
                  <w:r>
                    <w:rPr>
                      <w:spacing w:val="3"/>
                      <w:sz w:val="22"/>
                      <w:szCs w:val="22"/>
                    </w:rPr>
                    <w:t>总氯(</w:t>
                  </w:r>
                  <w:r>
                    <w:rPr>
                      <w:sz w:val="22"/>
                      <w:szCs w:val="22"/>
                    </w:rPr>
                    <w:t>mg</w:t>
                  </w:r>
                  <w:r>
                    <w:rPr>
                      <w:spacing w:val="3"/>
                      <w:sz w:val="22"/>
                      <w:szCs w:val="22"/>
                    </w:rPr>
                    <w:t>/L)≥</w:t>
                  </w:r>
                </w:p>
              </w:tc>
              <w:tc>
                <w:tcPr>
                  <w:tcW w:w="4500" w:type="dxa"/>
                  <w:vAlign w:val="top"/>
                </w:tcPr>
                <w:p w14:paraId="36A6ADB3">
                  <w:pPr>
                    <w:pStyle w:val="6"/>
                    <w:spacing w:before="31" w:line="199" w:lineRule="auto"/>
                    <w:ind w:left="975"/>
                    <w:rPr>
                      <w:sz w:val="22"/>
                      <w:szCs w:val="22"/>
                    </w:rPr>
                  </w:pPr>
                  <w:r>
                    <w:rPr>
                      <w:spacing w:val="2"/>
                      <w:sz w:val="22"/>
                      <w:szCs w:val="22"/>
                    </w:rPr>
                    <w:t>1.0(出厂),0.2(管网末端)</w:t>
                  </w:r>
                </w:p>
              </w:tc>
            </w:tr>
            <w:tr w14:paraId="6007B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84" w:type="dxa"/>
                  <w:vAlign w:val="top"/>
                </w:tcPr>
                <w:p w14:paraId="3122E1CA">
                  <w:pPr>
                    <w:pStyle w:val="6"/>
                    <w:spacing w:before="198"/>
                    <w:ind w:left="224"/>
                    <w:rPr>
                      <w:sz w:val="22"/>
                      <w:szCs w:val="22"/>
                    </w:rPr>
                  </w:pPr>
                  <w:r>
                    <w:rPr>
                      <w:spacing w:val="-7"/>
                      <w:sz w:val="22"/>
                      <w:szCs w:val="22"/>
                    </w:rPr>
                    <w:t>13</w:t>
                  </w:r>
                </w:p>
              </w:tc>
              <w:tc>
                <w:tcPr>
                  <w:tcW w:w="2836" w:type="dxa"/>
                  <w:vAlign w:val="top"/>
                </w:tcPr>
                <w:p w14:paraId="6C946F04">
                  <w:pPr>
                    <w:pStyle w:val="6"/>
                    <w:spacing w:before="37" w:line="219" w:lineRule="auto"/>
                    <w:jc w:val="right"/>
                    <w:rPr>
                      <w:sz w:val="22"/>
                      <w:szCs w:val="22"/>
                    </w:rPr>
                  </w:pPr>
                  <w:r>
                    <w:rPr>
                      <w:spacing w:val="3"/>
                      <w:sz w:val="22"/>
                      <w:szCs w:val="22"/>
                    </w:rPr>
                    <w:t>大肠埃希氏菌/(</w:t>
                  </w:r>
                  <w:r>
                    <w:rPr>
                      <w:sz w:val="22"/>
                      <w:szCs w:val="22"/>
                    </w:rPr>
                    <w:t>MPN</w:t>
                  </w:r>
                  <w:r>
                    <w:rPr>
                      <w:spacing w:val="3"/>
                      <w:sz w:val="22"/>
                      <w:szCs w:val="22"/>
                    </w:rPr>
                    <w:t xml:space="preserve">/100 </w:t>
                  </w:r>
                  <w:r>
                    <w:rPr>
                      <w:sz w:val="22"/>
                      <w:szCs w:val="22"/>
                    </w:rPr>
                    <w:t>ml</w:t>
                  </w:r>
                  <w:r>
                    <w:rPr>
                      <w:spacing w:val="3"/>
                      <w:sz w:val="22"/>
                      <w:szCs w:val="22"/>
                    </w:rPr>
                    <w:t>.</w:t>
                  </w:r>
                </w:p>
                <w:p w14:paraId="483D28E3">
                  <w:pPr>
                    <w:pStyle w:val="6"/>
                    <w:spacing w:before="21" w:line="184" w:lineRule="auto"/>
                    <w:ind w:left="691"/>
                    <w:rPr>
                      <w:sz w:val="22"/>
                      <w:szCs w:val="22"/>
                    </w:rPr>
                  </w:pPr>
                  <w:r>
                    <w:rPr>
                      <w:spacing w:val="6"/>
                      <w:sz w:val="22"/>
                      <w:szCs w:val="22"/>
                    </w:rPr>
                    <w:t>或</w:t>
                  </w:r>
                  <w:r>
                    <w:rPr>
                      <w:sz w:val="22"/>
                      <w:szCs w:val="22"/>
                    </w:rPr>
                    <w:t>CFU</w:t>
                  </w:r>
                  <w:r>
                    <w:rPr>
                      <w:spacing w:val="6"/>
                      <w:sz w:val="22"/>
                      <w:szCs w:val="22"/>
                    </w:rPr>
                    <w:t xml:space="preserve">/100 </w:t>
                  </w:r>
                  <w:r>
                    <w:rPr>
                      <w:sz w:val="22"/>
                      <w:szCs w:val="22"/>
                    </w:rPr>
                    <w:t>ml</w:t>
                  </w:r>
                  <w:r>
                    <w:rPr>
                      <w:spacing w:val="6"/>
                      <w:sz w:val="22"/>
                      <w:szCs w:val="22"/>
                    </w:rPr>
                    <w:t>)</w:t>
                  </w:r>
                </w:p>
              </w:tc>
              <w:tc>
                <w:tcPr>
                  <w:tcW w:w="4500" w:type="dxa"/>
                  <w:vAlign w:val="top"/>
                </w:tcPr>
                <w:p w14:paraId="6D37F86E">
                  <w:pPr>
                    <w:pStyle w:val="6"/>
                    <w:spacing w:before="177" w:line="220" w:lineRule="auto"/>
                    <w:ind w:left="2075"/>
                    <w:rPr>
                      <w:sz w:val="22"/>
                      <w:szCs w:val="22"/>
                    </w:rPr>
                  </w:pPr>
                  <w:r>
                    <w:rPr>
                      <w:spacing w:val="6"/>
                      <w:sz w:val="22"/>
                      <w:szCs w:val="22"/>
                    </w:rPr>
                    <w:t>无c</w:t>
                  </w:r>
                </w:p>
              </w:tc>
            </w:tr>
            <w:tr w14:paraId="3808A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020" w:type="dxa"/>
                  <w:gridSpan w:val="3"/>
                  <w:vAlign w:val="top"/>
                </w:tcPr>
                <w:p w14:paraId="2081D126">
                  <w:pPr>
                    <w:pStyle w:val="6"/>
                    <w:spacing w:before="58" w:line="202" w:lineRule="auto"/>
                    <w:ind w:left="75"/>
                    <w:rPr>
                      <w:sz w:val="22"/>
                      <w:szCs w:val="22"/>
                    </w:rPr>
                  </w:pPr>
                  <w:r>
                    <w:rPr>
                      <w:spacing w:val="-1"/>
                      <w:sz w:val="22"/>
                      <w:szCs w:val="22"/>
                    </w:rPr>
                    <w:t>注：“--”表示对此项无要求</w:t>
                  </w:r>
                </w:p>
              </w:tc>
            </w:tr>
            <w:tr w14:paraId="4B2DD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8020" w:type="dxa"/>
                  <w:gridSpan w:val="3"/>
                  <w:vAlign w:val="top"/>
                </w:tcPr>
                <w:p w14:paraId="6ABB60EB">
                  <w:pPr>
                    <w:pStyle w:val="6"/>
                    <w:spacing w:before="27" w:line="221" w:lineRule="auto"/>
                    <w:ind w:left="75" w:right="1004"/>
                    <w:rPr>
                      <w:sz w:val="22"/>
                      <w:szCs w:val="22"/>
                    </w:rPr>
                  </w:pPr>
                  <w:r>
                    <w:rPr>
                      <w:sz w:val="22"/>
                      <w:szCs w:val="22"/>
                    </w:rPr>
                    <w:t>a括号内指标值为沿海及本地水源中溶解性固体含量较高的区域的指标。 b用于城市绿化时，不应超过2.5mg/L。</w:t>
                  </w:r>
                </w:p>
                <w:p w14:paraId="04DDBAB4">
                  <w:pPr>
                    <w:pStyle w:val="6"/>
                    <w:spacing w:before="14" w:line="189" w:lineRule="auto"/>
                    <w:ind w:left="85"/>
                    <w:rPr>
                      <w:sz w:val="22"/>
                      <w:szCs w:val="22"/>
                    </w:rPr>
                  </w:pPr>
                  <w:r>
                    <w:rPr>
                      <w:sz w:val="22"/>
                      <w:szCs w:val="22"/>
                    </w:rPr>
                    <w:t>c大肠埃希氏菌不应检出。</w:t>
                  </w:r>
                </w:p>
              </w:tc>
            </w:tr>
          </w:tbl>
          <w:p w14:paraId="2B9C37B3">
            <w:pPr>
              <w:pStyle w:val="6"/>
              <w:spacing w:before="52" w:line="220" w:lineRule="auto"/>
              <w:ind w:left="579"/>
              <w:rPr>
                <w:sz w:val="25"/>
                <w:szCs w:val="25"/>
              </w:rPr>
            </w:pPr>
            <w:r>
              <w:rPr>
                <w:b/>
                <w:bCs/>
                <w:spacing w:val="-5"/>
                <w:sz w:val="25"/>
                <w:szCs w:val="25"/>
              </w:rPr>
              <w:t>3、噪声排放标准</w:t>
            </w:r>
          </w:p>
          <w:p w14:paraId="6D0BB3E7">
            <w:pPr>
              <w:pStyle w:val="6"/>
              <w:spacing w:before="155" w:line="220" w:lineRule="auto"/>
              <w:ind w:left="705"/>
            </w:pPr>
            <w:r>
              <w:rPr>
                <w:spacing w:val="17"/>
              </w:rPr>
              <w:t>(1)施工期</w:t>
            </w:r>
          </w:p>
          <w:p w14:paraId="6E1ED233">
            <w:pPr>
              <w:pStyle w:val="6"/>
              <w:spacing w:before="155" w:line="366" w:lineRule="auto"/>
              <w:ind w:left="95" w:right="314" w:firstLine="479"/>
            </w:pPr>
            <w:r>
              <w:rPr>
                <w:spacing w:val="-2"/>
              </w:rPr>
              <w:t>施工期噪声排放执行《建筑施工场界环境噪声排放标准》</w:t>
            </w:r>
            <w:r>
              <w:rPr>
                <w:spacing w:val="56"/>
              </w:rPr>
              <w:t xml:space="preserve"> </w:t>
            </w:r>
            <w:r>
              <w:rPr>
                <w:spacing w:val="-2"/>
              </w:rPr>
              <w:t>(</w:t>
            </w:r>
            <w:r>
              <w:rPr>
                <w:spacing w:val="-48"/>
              </w:rPr>
              <w:t xml:space="preserve"> </w:t>
            </w:r>
            <w:r>
              <w:rPr>
                <w:rFonts w:ascii="Times New Roman" w:hAnsi="Times New Roman" w:eastAsia="Times New Roman" w:cs="Times New Roman"/>
                <w:spacing w:val="-2"/>
              </w:rPr>
              <w:t>GB12523-2011)</w:t>
            </w:r>
            <w:r>
              <w:rPr>
                <w:rFonts w:ascii="Times New Roman" w:hAnsi="Times New Roman" w:eastAsia="Times New Roman" w:cs="Times New Roman"/>
              </w:rPr>
              <w:t xml:space="preserve"> </w:t>
            </w:r>
            <w:r>
              <w:rPr>
                <w:spacing w:val="-3"/>
              </w:rPr>
              <w:t>中规定噪声限值，具体见下表。</w:t>
            </w:r>
          </w:p>
          <w:p w14:paraId="022EEA0A">
            <w:pPr>
              <w:pStyle w:val="6"/>
              <w:spacing w:before="22" w:line="206" w:lineRule="auto"/>
              <w:ind w:left="959"/>
              <w:rPr>
                <w:sz w:val="25"/>
                <w:szCs w:val="25"/>
              </w:rPr>
            </w:pPr>
            <w:r>
              <w:rPr>
                <w:b/>
                <w:bCs/>
                <w:spacing w:val="-1"/>
                <w:sz w:val="25"/>
                <w:szCs w:val="25"/>
              </w:rPr>
              <w:t>表3-18</w:t>
            </w:r>
            <w:r>
              <w:rPr>
                <w:spacing w:val="-1"/>
                <w:sz w:val="25"/>
                <w:szCs w:val="25"/>
              </w:rPr>
              <w:t xml:space="preserve">  </w:t>
            </w:r>
            <w:r>
              <w:rPr>
                <w:b/>
                <w:bCs/>
                <w:spacing w:val="-1"/>
                <w:sz w:val="25"/>
                <w:szCs w:val="25"/>
              </w:rPr>
              <w:t>建筑施工场界环境噪声排放标准限值</w:t>
            </w:r>
            <w:r>
              <w:rPr>
                <w:spacing w:val="-1"/>
                <w:sz w:val="25"/>
                <w:szCs w:val="25"/>
              </w:rPr>
              <w:t xml:space="preserve"> </w:t>
            </w:r>
            <w:r>
              <w:rPr>
                <w:b/>
                <w:bCs/>
                <w:spacing w:val="-1"/>
                <w:sz w:val="25"/>
                <w:szCs w:val="25"/>
              </w:rPr>
              <w:t>单位：dB(A)</w:t>
            </w:r>
          </w:p>
          <w:tbl>
            <w:tblPr>
              <w:tblStyle w:val="5"/>
              <w:tblW w:w="8029"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61"/>
              <w:gridCol w:w="3116"/>
              <w:gridCol w:w="1752"/>
            </w:tblGrid>
            <w:tr w14:paraId="1BD5D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161" w:type="dxa"/>
                  <w:vAlign w:val="top"/>
                </w:tcPr>
                <w:p w14:paraId="300D0B8C">
                  <w:pPr>
                    <w:pStyle w:val="6"/>
                    <w:spacing w:before="55" w:line="212" w:lineRule="auto"/>
                    <w:ind w:left="1344"/>
                    <w:rPr>
                      <w:sz w:val="23"/>
                      <w:szCs w:val="23"/>
                    </w:rPr>
                  </w:pPr>
                  <w:r>
                    <w:rPr>
                      <w:spacing w:val="4"/>
                      <w:sz w:val="23"/>
                      <w:szCs w:val="23"/>
                    </w:rPr>
                    <w:t>时段</w:t>
                  </w:r>
                </w:p>
              </w:tc>
              <w:tc>
                <w:tcPr>
                  <w:tcW w:w="3116" w:type="dxa"/>
                  <w:vAlign w:val="top"/>
                </w:tcPr>
                <w:p w14:paraId="5F5062A3">
                  <w:pPr>
                    <w:pStyle w:val="6"/>
                    <w:spacing w:before="58" w:line="210" w:lineRule="auto"/>
                    <w:ind w:left="1324"/>
                    <w:rPr>
                      <w:sz w:val="23"/>
                      <w:szCs w:val="23"/>
                    </w:rPr>
                  </w:pPr>
                  <w:r>
                    <w:rPr>
                      <w:spacing w:val="11"/>
                      <w:sz w:val="23"/>
                      <w:szCs w:val="23"/>
                    </w:rPr>
                    <w:t>昼间</w:t>
                  </w:r>
                </w:p>
              </w:tc>
              <w:tc>
                <w:tcPr>
                  <w:tcW w:w="1752" w:type="dxa"/>
                  <w:vAlign w:val="top"/>
                </w:tcPr>
                <w:p w14:paraId="12E58005">
                  <w:pPr>
                    <w:pStyle w:val="6"/>
                    <w:spacing w:before="54" w:line="213" w:lineRule="auto"/>
                    <w:ind w:left="638"/>
                    <w:rPr>
                      <w:sz w:val="23"/>
                      <w:szCs w:val="23"/>
                    </w:rPr>
                  </w:pPr>
                  <w:r>
                    <w:rPr>
                      <w:spacing w:val="11"/>
                      <w:sz w:val="23"/>
                      <w:szCs w:val="23"/>
                    </w:rPr>
                    <w:t>夜间</w:t>
                  </w:r>
                </w:p>
              </w:tc>
            </w:tr>
            <w:tr w14:paraId="45D84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3161" w:type="dxa"/>
                  <w:vAlign w:val="top"/>
                </w:tcPr>
                <w:p w14:paraId="3484E18A">
                  <w:pPr>
                    <w:pStyle w:val="6"/>
                    <w:spacing w:before="94" w:line="219" w:lineRule="auto"/>
                    <w:ind w:left="1115"/>
                    <w:rPr>
                      <w:sz w:val="23"/>
                      <w:szCs w:val="23"/>
                    </w:rPr>
                  </w:pPr>
                  <w:r>
                    <w:rPr>
                      <w:spacing w:val="-2"/>
                      <w:sz w:val="23"/>
                      <w:szCs w:val="23"/>
                    </w:rPr>
                    <w:t>标准限值</w:t>
                  </w:r>
                </w:p>
              </w:tc>
              <w:tc>
                <w:tcPr>
                  <w:tcW w:w="3116" w:type="dxa"/>
                  <w:vAlign w:val="top"/>
                </w:tcPr>
                <w:p w14:paraId="02DB0044">
                  <w:pPr>
                    <w:pStyle w:val="6"/>
                    <w:spacing w:before="117" w:line="226" w:lineRule="auto"/>
                    <w:ind w:left="1433"/>
                    <w:rPr>
                      <w:sz w:val="23"/>
                      <w:szCs w:val="23"/>
                    </w:rPr>
                  </w:pPr>
                  <w:r>
                    <w:rPr>
                      <w:spacing w:val="-4"/>
                      <w:sz w:val="23"/>
                      <w:szCs w:val="23"/>
                    </w:rPr>
                    <w:t>70</w:t>
                  </w:r>
                </w:p>
              </w:tc>
              <w:tc>
                <w:tcPr>
                  <w:tcW w:w="1752" w:type="dxa"/>
                  <w:vAlign w:val="top"/>
                </w:tcPr>
                <w:p w14:paraId="028F57B3">
                  <w:pPr>
                    <w:pStyle w:val="6"/>
                    <w:spacing w:before="117" w:line="226" w:lineRule="auto"/>
                    <w:ind w:left="758"/>
                    <w:rPr>
                      <w:sz w:val="23"/>
                      <w:szCs w:val="23"/>
                    </w:rPr>
                  </w:pPr>
                  <w:r>
                    <w:rPr>
                      <w:spacing w:val="-4"/>
                      <w:sz w:val="23"/>
                      <w:szCs w:val="23"/>
                    </w:rPr>
                    <w:t>55</w:t>
                  </w:r>
                </w:p>
              </w:tc>
            </w:tr>
          </w:tbl>
          <w:p w14:paraId="08C8A3E7">
            <w:pPr>
              <w:pStyle w:val="6"/>
              <w:spacing w:before="135" w:line="220" w:lineRule="auto"/>
              <w:ind w:left="685"/>
            </w:pPr>
            <w:r>
              <w:rPr>
                <w:spacing w:val="20"/>
              </w:rPr>
              <w:t>(2)运行期</w:t>
            </w:r>
          </w:p>
          <w:p w14:paraId="15BB1ADC">
            <w:pPr>
              <w:pStyle w:val="6"/>
              <w:spacing w:before="157" w:line="344" w:lineRule="auto"/>
              <w:ind w:left="95" w:right="134" w:firstLine="479"/>
            </w:pPr>
            <w:r>
              <w:rPr>
                <w:spacing w:val="-3"/>
              </w:rPr>
              <w:t>项目厂界执行《工业企业厂界环境噪声排放标准》</w:t>
            </w:r>
            <w:r>
              <w:rPr>
                <w:spacing w:val="80"/>
              </w:rPr>
              <w:t xml:space="preserve"> </w:t>
            </w:r>
            <w:r>
              <w:rPr>
                <w:spacing w:val="-3"/>
              </w:rPr>
              <w:t>(</w:t>
            </w:r>
            <w:r>
              <w:rPr>
                <w:rFonts w:ascii="Times New Roman" w:hAnsi="Times New Roman" w:eastAsia="Times New Roman" w:cs="Times New Roman"/>
                <w:spacing w:val="-3"/>
              </w:rPr>
              <w:t>GB123</w:t>
            </w:r>
            <w:r>
              <w:rPr>
                <w:rFonts w:ascii="Times New Roman" w:hAnsi="Times New Roman" w:eastAsia="Times New Roman" w:cs="Times New Roman"/>
                <w:spacing w:val="-4"/>
              </w:rPr>
              <w:t>48-2008)</w:t>
            </w:r>
            <w:r>
              <w:rPr>
                <w:rFonts w:ascii="Times New Roman" w:hAnsi="Times New Roman" w:eastAsia="Times New Roman" w:cs="Times New Roman"/>
                <w:spacing w:val="15"/>
              </w:rPr>
              <w:t xml:space="preserve">   </w:t>
            </w:r>
            <w:r>
              <w:rPr>
                <w:spacing w:val="-4"/>
              </w:rPr>
              <w:t>中</w:t>
            </w:r>
            <w:r>
              <w:rPr>
                <w:spacing w:val="-33"/>
              </w:rPr>
              <w:t xml:space="preserve"> </w:t>
            </w:r>
            <w:r>
              <w:rPr>
                <w:spacing w:val="-4"/>
              </w:rPr>
              <w:t>的</w:t>
            </w:r>
            <w:r>
              <w:rPr>
                <w:spacing w:val="-34"/>
              </w:rPr>
              <w:t xml:space="preserve"> </w:t>
            </w:r>
            <w:r>
              <w:rPr>
                <w:spacing w:val="-4"/>
              </w:rPr>
              <w:t>1</w:t>
            </w:r>
            <w:r>
              <w:t xml:space="preserve"> </w:t>
            </w:r>
            <w:r>
              <w:rPr>
                <w:spacing w:val="-4"/>
              </w:rPr>
              <w:t>类标准。具体标准值见下表。</w:t>
            </w:r>
          </w:p>
          <w:p w14:paraId="76BBD9F5">
            <w:pPr>
              <w:pStyle w:val="6"/>
              <w:spacing w:line="185" w:lineRule="auto"/>
              <w:ind w:left="1296"/>
              <w:rPr>
                <w:sz w:val="25"/>
                <w:szCs w:val="25"/>
              </w:rPr>
            </w:pPr>
            <w:r>
              <w:rPr>
                <w:spacing w:val="2"/>
                <w:sz w:val="25"/>
                <w:szCs w:val="25"/>
              </w:rPr>
              <w:t xml:space="preserve">表3-19  </w:t>
            </w:r>
            <w:r>
              <w:rPr>
                <w:b/>
                <w:bCs/>
                <w:spacing w:val="2"/>
                <w:sz w:val="25"/>
                <w:szCs w:val="25"/>
              </w:rPr>
              <w:t>工业企业厂界环境噪声排放标准</w:t>
            </w:r>
            <w:r>
              <w:rPr>
                <w:b/>
                <w:bCs/>
                <w:spacing w:val="1"/>
                <w:sz w:val="25"/>
                <w:szCs w:val="25"/>
              </w:rPr>
              <w:t>单位：</w:t>
            </w:r>
            <w:r>
              <w:rPr>
                <w:b/>
                <w:bCs/>
                <w:sz w:val="25"/>
                <w:szCs w:val="25"/>
              </w:rPr>
              <w:t>dB</w:t>
            </w:r>
            <w:r>
              <w:rPr>
                <w:b/>
                <w:bCs/>
                <w:spacing w:val="1"/>
                <w:sz w:val="25"/>
                <w:szCs w:val="25"/>
              </w:rPr>
              <w:t>(A)</w:t>
            </w:r>
          </w:p>
          <w:tbl>
            <w:tblPr>
              <w:tblStyle w:val="5"/>
              <w:tblW w:w="8029"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9"/>
              <w:gridCol w:w="1738"/>
              <w:gridCol w:w="1712"/>
            </w:tblGrid>
            <w:tr w14:paraId="7A2C6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579" w:type="dxa"/>
                  <w:vAlign w:val="top"/>
                </w:tcPr>
                <w:p w14:paraId="50205B6F">
                  <w:pPr>
                    <w:pStyle w:val="6"/>
                    <w:spacing w:before="91" w:line="221" w:lineRule="auto"/>
                    <w:ind w:left="3655"/>
                    <w:rPr>
                      <w:sz w:val="21"/>
                      <w:szCs w:val="21"/>
                    </w:rPr>
                  </w:pPr>
                  <w:r>
                    <w:rPr>
                      <w:spacing w:val="4"/>
                      <w:sz w:val="21"/>
                      <w:szCs w:val="21"/>
                    </w:rPr>
                    <w:t>时段</w:t>
                  </w:r>
                </w:p>
              </w:tc>
              <w:tc>
                <w:tcPr>
                  <w:tcW w:w="1738" w:type="dxa"/>
                  <w:vAlign w:val="top"/>
                </w:tcPr>
                <w:p w14:paraId="45F0082A">
                  <w:pPr>
                    <w:pStyle w:val="6"/>
                    <w:spacing w:before="123" w:line="216" w:lineRule="auto"/>
                    <w:ind w:left="656"/>
                    <w:rPr>
                      <w:sz w:val="21"/>
                      <w:szCs w:val="21"/>
                    </w:rPr>
                  </w:pPr>
                  <w:r>
                    <w:rPr>
                      <w:spacing w:val="10"/>
                      <w:sz w:val="21"/>
                      <w:szCs w:val="21"/>
                    </w:rPr>
                    <w:t>昼间</w:t>
                  </w:r>
                </w:p>
              </w:tc>
              <w:tc>
                <w:tcPr>
                  <w:tcW w:w="1712" w:type="dxa"/>
                  <w:vAlign w:val="top"/>
                </w:tcPr>
                <w:p w14:paraId="244BB96C">
                  <w:pPr>
                    <w:pStyle w:val="6"/>
                    <w:spacing w:before="119" w:line="219" w:lineRule="auto"/>
                    <w:ind w:left="637"/>
                    <w:rPr>
                      <w:sz w:val="21"/>
                      <w:szCs w:val="21"/>
                    </w:rPr>
                  </w:pPr>
                  <w:r>
                    <w:rPr>
                      <w:spacing w:val="10"/>
                      <w:sz w:val="21"/>
                      <w:szCs w:val="21"/>
                    </w:rPr>
                    <w:t>夜间</w:t>
                  </w:r>
                </w:p>
              </w:tc>
            </w:tr>
            <w:tr w14:paraId="2FC4E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4579" w:type="dxa"/>
                  <w:vAlign w:val="top"/>
                </w:tcPr>
                <w:p w14:paraId="4AB86111">
                  <w:pPr>
                    <w:pStyle w:val="6"/>
                    <w:spacing w:before="11" w:line="231" w:lineRule="auto"/>
                    <w:ind w:left="2084" w:right="2156" w:hanging="1999"/>
                    <w:rPr>
                      <w:sz w:val="21"/>
                      <w:szCs w:val="21"/>
                    </w:rPr>
                  </w:pPr>
                  <w:r>
                    <w:rPr>
                      <w:spacing w:val="1"/>
                      <w:sz w:val="21"/>
                      <w:szCs w:val="21"/>
                    </w:rPr>
                    <w:t>厂界外声环境功能区类别</w:t>
                  </w:r>
                  <w:r>
                    <w:rPr>
                      <w:spacing w:val="5"/>
                      <w:sz w:val="21"/>
                      <w:szCs w:val="21"/>
                    </w:rPr>
                    <w:t xml:space="preserve"> </w:t>
                  </w:r>
                  <w:r>
                    <w:rPr>
                      <w:spacing w:val="2"/>
                      <w:sz w:val="21"/>
                      <w:szCs w:val="21"/>
                    </w:rPr>
                    <w:t>1类</w:t>
                  </w:r>
                </w:p>
              </w:tc>
              <w:tc>
                <w:tcPr>
                  <w:tcW w:w="1738" w:type="dxa"/>
                  <w:vAlign w:val="top"/>
                </w:tcPr>
                <w:p w14:paraId="698E66A7">
                  <w:pPr>
                    <w:spacing w:line="272" w:lineRule="auto"/>
                    <w:rPr>
                      <w:rFonts w:ascii="Arial"/>
                      <w:sz w:val="21"/>
                    </w:rPr>
                  </w:pPr>
                </w:p>
                <w:p w14:paraId="720EEEC5">
                  <w:pPr>
                    <w:pStyle w:val="6"/>
                    <w:spacing w:before="68" w:line="171" w:lineRule="auto"/>
                    <w:ind w:left="755"/>
                    <w:rPr>
                      <w:sz w:val="21"/>
                      <w:szCs w:val="21"/>
                    </w:rPr>
                  </w:pPr>
                  <w:r>
                    <w:rPr>
                      <w:spacing w:val="-4"/>
                      <w:sz w:val="21"/>
                      <w:szCs w:val="21"/>
                    </w:rPr>
                    <w:t>55</w:t>
                  </w:r>
                </w:p>
              </w:tc>
              <w:tc>
                <w:tcPr>
                  <w:tcW w:w="1712" w:type="dxa"/>
                  <w:vAlign w:val="top"/>
                </w:tcPr>
                <w:p w14:paraId="74EB6A60">
                  <w:pPr>
                    <w:spacing w:line="252" w:lineRule="auto"/>
                    <w:rPr>
                      <w:rFonts w:ascii="Arial"/>
                      <w:sz w:val="21"/>
                    </w:rPr>
                  </w:pPr>
                </w:p>
                <w:p w14:paraId="1301F78B">
                  <w:pPr>
                    <w:pStyle w:val="6"/>
                    <w:spacing w:before="68" w:line="189" w:lineRule="auto"/>
                    <w:ind w:left="748"/>
                    <w:rPr>
                      <w:sz w:val="21"/>
                      <w:szCs w:val="21"/>
                    </w:rPr>
                  </w:pPr>
                  <w:r>
                    <w:rPr>
                      <w:spacing w:val="-2"/>
                      <w:sz w:val="21"/>
                      <w:szCs w:val="21"/>
                    </w:rPr>
                    <w:t>45</w:t>
                  </w:r>
                </w:p>
              </w:tc>
            </w:tr>
          </w:tbl>
          <w:p w14:paraId="57883997">
            <w:pPr>
              <w:pStyle w:val="6"/>
              <w:spacing w:before="33" w:line="220" w:lineRule="auto"/>
              <w:ind w:left="579"/>
              <w:rPr>
                <w:sz w:val="25"/>
                <w:szCs w:val="25"/>
              </w:rPr>
            </w:pPr>
            <w:r>
              <w:rPr>
                <w:b/>
                <w:bCs/>
                <w:spacing w:val="-4"/>
                <w:sz w:val="25"/>
                <w:szCs w:val="25"/>
              </w:rPr>
              <w:t>4、固体废物</w:t>
            </w:r>
          </w:p>
          <w:p w14:paraId="312B88FE">
            <w:pPr>
              <w:pStyle w:val="6"/>
              <w:spacing w:before="203" w:line="342" w:lineRule="auto"/>
              <w:ind w:left="95" w:right="138" w:firstLine="479"/>
              <w:rPr>
                <w:rFonts w:ascii="Times New Roman" w:hAnsi="Times New Roman" w:eastAsia="Times New Roman" w:cs="Times New Roman"/>
              </w:rPr>
            </w:pPr>
            <w:r>
              <w:rPr>
                <w:spacing w:val="34"/>
              </w:rPr>
              <w:t>一般固体废物执行《</w:t>
            </w:r>
            <w:r>
              <w:rPr>
                <w:spacing w:val="-27"/>
              </w:rPr>
              <w:t xml:space="preserve"> </w:t>
            </w:r>
            <w:r>
              <w:rPr>
                <w:spacing w:val="34"/>
              </w:rPr>
              <w:t>一般工业固体废物贮存和填埋污染控制标准》</w:t>
            </w:r>
            <w:r>
              <w:t xml:space="preserve"> </w:t>
            </w:r>
            <w:r>
              <w:rPr>
                <w:spacing w:val="11"/>
              </w:rPr>
              <w:t>(</w:t>
            </w:r>
            <w:r>
              <w:rPr>
                <w:rFonts w:ascii="Times New Roman" w:hAnsi="Times New Roman" w:eastAsia="Times New Roman" w:cs="Times New Roman"/>
              </w:rPr>
              <w:t>GB</w:t>
            </w:r>
            <w:r>
              <w:rPr>
                <w:rFonts w:ascii="Times New Roman" w:hAnsi="Times New Roman" w:eastAsia="Times New Roman" w:cs="Times New Roman"/>
                <w:spacing w:val="11"/>
              </w:rPr>
              <w:t>18599-2020)</w:t>
            </w:r>
            <w:r>
              <w:rPr>
                <w:rFonts w:ascii="Times New Roman" w:hAnsi="Times New Roman" w:eastAsia="Times New Roman" w:cs="Times New Roman"/>
                <w:spacing w:val="-12"/>
              </w:rPr>
              <w:t xml:space="preserve"> </w:t>
            </w:r>
            <w:r>
              <w:rPr>
                <w:spacing w:val="11"/>
              </w:rPr>
              <w:t>。</w:t>
            </w:r>
            <w:r>
              <w:rPr>
                <w:spacing w:val="-45"/>
              </w:rPr>
              <w:t xml:space="preserve"> </w:t>
            </w:r>
            <w:r>
              <w:rPr>
                <w:spacing w:val="11"/>
              </w:rPr>
              <w:t>危险废物暂存执行《危险废物贮存污染控制标准》</w:t>
            </w:r>
            <w:r>
              <w:rPr>
                <w:spacing w:val="110"/>
              </w:rPr>
              <w:t xml:space="preserve"> </w:t>
            </w:r>
            <w:r>
              <w:rPr>
                <w:spacing w:val="11"/>
              </w:rPr>
              <w:t>(</w:t>
            </w:r>
            <w:r>
              <w:rPr>
                <w:spacing w:val="-48"/>
              </w:rPr>
              <w:t xml:space="preserve"> </w:t>
            </w:r>
            <w:r>
              <w:rPr>
                <w:rFonts w:ascii="Times New Roman" w:hAnsi="Times New Roman" w:eastAsia="Times New Roman" w:cs="Times New Roman"/>
              </w:rPr>
              <w:t>GB</w:t>
            </w:r>
          </w:p>
        </w:tc>
      </w:tr>
    </w:tbl>
    <w:p w14:paraId="140E8F01">
      <w:pPr>
        <w:pStyle w:val="2"/>
      </w:pPr>
    </w:p>
    <w:p w14:paraId="228AEB90">
      <w:pPr>
        <w:sectPr>
          <w:footerReference r:id="rId78" w:type="default"/>
          <w:pgSz w:w="11910" w:h="16840"/>
          <w:pgMar w:top="1431" w:right="1410" w:bottom="1269" w:left="1380" w:header="0" w:footer="1089" w:gutter="0"/>
          <w:cols w:space="720" w:num="1"/>
        </w:sectPr>
      </w:pPr>
    </w:p>
    <w:p w14:paraId="0E9A521C">
      <w:pPr>
        <w:spacing w:line="93" w:lineRule="exact"/>
      </w:pPr>
    </w:p>
    <w:tbl>
      <w:tblPr>
        <w:tblStyle w:val="5"/>
        <w:tblW w:w="9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
        <w:gridCol w:w="8750"/>
      </w:tblGrid>
      <w:tr w14:paraId="2E03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1" w:hRule="atLeast"/>
        </w:trPr>
        <w:tc>
          <w:tcPr>
            <w:tcW w:w="324" w:type="dxa"/>
            <w:vAlign w:val="top"/>
          </w:tcPr>
          <w:p w14:paraId="0ACCADCA">
            <w:pPr>
              <w:rPr>
                <w:rFonts w:ascii="Arial"/>
                <w:sz w:val="21"/>
              </w:rPr>
            </w:pPr>
          </w:p>
        </w:tc>
        <w:tc>
          <w:tcPr>
            <w:tcW w:w="8750" w:type="dxa"/>
            <w:vAlign w:val="top"/>
          </w:tcPr>
          <w:p w14:paraId="651C42DC">
            <w:pPr>
              <w:pStyle w:val="6"/>
              <w:spacing w:before="38" w:line="222" w:lineRule="auto"/>
              <w:ind w:left="90"/>
            </w:pPr>
            <w:r>
              <w:rPr>
                <w:spacing w:val="-5"/>
              </w:rPr>
              <w:t>18597-2023)。</w:t>
            </w:r>
          </w:p>
          <w:p w14:paraId="2187FAF3">
            <w:pPr>
              <w:pStyle w:val="6"/>
              <w:spacing w:before="154" w:line="220" w:lineRule="auto"/>
              <w:ind w:left="574"/>
            </w:pPr>
            <w:r>
              <w:rPr>
                <w:b/>
                <w:bCs/>
                <w:spacing w:val="-5"/>
              </w:rPr>
              <w:t>3、电磁环境</w:t>
            </w:r>
          </w:p>
          <w:p w14:paraId="4189CD4C">
            <w:pPr>
              <w:pStyle w:val="6"/>
              <w:spacing w:before="187" w:line="356" w:lineRule="auto"/>
              <w:ind w:left="90" w:right="328" w:firstLine="499"/>
            </w:pPr>
            <w:r>
              <w:rPr>
                <w:spacing w:val="1"/>
              </w:rPr>
              <w:t>根据《电磁环境控制限值》(</w:t>
            </w:r>
            <w:r>
              <w:t>GB</w:t>
            </w:r>
            <w:r>
              <w:rPr>
                <w:spacing w:val="1"/>
              </w:rPr>
              <w:t>8702-20</w:t>
            </w:r>
            <w:r>
              <w:t>14)中公众曝露控制限值要求。控制 限值见表3-20。</w:t>
            </w:r>
          </w:p>
          <w:p w14:paraId="5005F976">
            <w:pPr>
              <w:pStyle w:val="6"/>
              <w:spacing w:line="219" w:lineRule="auto"/>
              <w:ind w:left="2914"/>
            </w:pPr>
            <w:r>
              <w:rPr>
                <w:b/>
                <w:bCs/>
                <w:spacing w:val="-4"/>
              </w:rPr>
              <w:t>表3-20公众曝露控制限值</w:t>
            </w:r>
          </w:p>
          <w:p w14:paraId="01369E99">
            <w:pPr>
              <w:spacing w:line="154" w:lineRule="exact"/>
            </w:pPr>
          </w:p>
          <w:tbl>
            <w:tblPr>
              <w:tblStyle w:val="5"/>
              <w:tblW w:w="8030"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1"/>
              <w:gridCol w:w="2667"/>
              <w:gridCol w:w="2682"/>
            </w:tblGrid>
            <w:tr w14:paraId="2BB6B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681" w:type="dxa"/>
                  <w:vAlign w:val="top"/>
                </w:tcPr>
                <w:p w14:paraId="635DFAF9">
                  <w:pPr>
                    <w:pStyle w:val="6"/>
                    <w:spacing w:before="33" w:line="191" w:lineRule="auto"/>
                    <w:ind w:left="895"/>
                    <w:rPr>
                      <w:sz w:val="22"/>
                      <w:szCs w:val="22"/>
                    </w:rPr>
                  </w:pPr>
                  <w:r>
                    <w:rPr>
                      <w:spacing w:val="5"/>
                      <w:sz w:val="22"/>
                      <w:szCs w:val="22"/>
                    </w:rPr>
                    <w:t>频率范围</w:t>
                  </w:r>
                </w:p>
              </w:tc>
              <w:tc>
                <w:tcPr>
                  <w:tcW w:w="2667" w:type="dxa"/>
                  <w:vAlign w:val="top"/>
                </w:tcPr>
                <w:p w14:paraId="7F7DF04C">
                  <w:pPr>
                    <w:pStyle w:val="6"/>
                    <w:spacing w:before="34" w:line="190" w:lineRule="auto"/>
                    <w:ind w:left="553"/>
                    <w:rPr>
                      <w:sz w:val="22"/>
                      <w:szCs w:val="22"/>
                    </w:rPr>
                  </w:pPr>
                  <w:r>
                    <w:rPr>
                      <w:spacing w:val="4"/>
                      <w:sz w:val="22"/>
                      <w:szCs w:val="22"/>
                    </w:rPr>
                    <w:t>电场强度E(V/m)</w:t>
                  </w:r>
                </w:p>
              </w:tc>
              <w:tc>
                <w:tcPr>
                  <w:tcW w:w="2682" w:type="dxa"/>
                  <w:vAlign w:val="top"/>
                </w:tcPr>
                <w:p w14:paraId="0B0543DE">
                  <w:pPr>
                    <w:pStyle w:val="6"/>
                    <w:spacing w:before="34" w:line="190" w:lineRule="auto"/>
                    <w:ind w:left="457"/>
                    <w:rPr>
                      <w:sz w:val="22"/>
                      <w:szCs w:val="22"/>
                    </w:rPr>
                  </w:pPr>
                  <w:r>
                    <w:rPr>
                      <w:spacing w:val="4"/>
                      <w:sz w:val="22"/>
                      <w:szCs w:val="22"/>
                    </w:rPr>
                    <w:t>磁感应强度B(μT)</w:t>
                  </w:r>
                </w:p>
              </w:tc>
            </w:tr>
            <w:tr w14:paraId="786BA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2681" w:type="dxa"/>
                  <w:vAlign w:val="top"/>
                </w:tcPr>
                <w:p w14:paraId="253C1CE0">
                  <w:pPr>
                    <w:pStyle w:val="6"/>
                    <w:spacing w:before="54" w:line="172" w:lineRule="exact"/>
                    <w:ind w:left="504"/>
                    <w:rPr>
                      <w:sz w:val="22"/>
                      <w:szCs w:val="22"/>
                    </w:rPr>
                  </w:pPr>
                  <w:r>
                    <w:rPr>
                      <w:spacing w:val="-1"/>
                      <w:position w:val="-4"/>
                      <w:sz w:val="22"/>
                      <w:szCs w:val="22"/>
                    </w:rPr>
                    <w:t>0.025Khz~1.2KHz</w:t>
                  </w:r>
                </w:p>
              </w:tc>
              <w:tc>
                <w:tcPr>
                  <w:tcW w:w="2667" w:type="dxa"/>
                  <w:vAlign w:val="top"/>
                </w:tcPr>
                <w:p w14:paraId="57B7F5E8">
                  <w:pPr>
                    <w:pStyle w:val="6"/>
                    <w:spacing w:before="38" w:line="158" w:lineRule="auto"/>
                    <w:ind w:left="1053"/>
                    <w:rPr>
                      <w:sz w:val="22"/>
                      <w:szCs w:val="22"/>
                    </w:rPr>
                  </w:pPr>
                  <w:r>
                    <w:rPr>
                      <w:spacing w:val="-2"/>
                      <w:sz w:val="22"/>
                      <w:szCs w:val="22"/>
                    </w:rPr>
                    <w:t>200/f</w:t>
                  </w:r>
                </w:p>
              </w:tc>
              <w:tc>
                <w:tcPr>
                  <w:tcW w:w="2682" w:type="dxa"/>
                  <w:vAlign w:val="top"/>
                </w:tcPr>
                <w:p w14:paraId="623B8DCA">
                  <w:pPr>
                    <w:pStyle w:val="6"/>
                    <w:spacing w:before="38" w:line="158" w:lineRule="auto"/>
                    <w:ind w:left="1167"/>
                    <w:rPr>
                      <w:sz w:val="22"/>
                      <w:szCs w:val="22"/>
                    </w:rPr>
                  </w:pPr>
                  <w:r>
                    <w:rPr>
                      <w:spacing w:val="-3"/>
                      <w:sz w:val="22"/>
                      <w:szCs w:val="22"/>
                    </w:rPr>
                    <w:t>5/f</w:t>
                  </w:r>
                </w:p>
              </w:tc>
            </w:tr>
            <w:tr w14:paraId="71D03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681" w:type="dxa"/>
                  <w:vAlign w:val="top"/>
                </w:tcPr>
                <w:p w14:paraId="15B4DE16">
                  <w:pPr>
                    <w:pStyle w:val="6"/>
                    <w:spacing w:before="47" w:line="167" w:lineRule="auto"/>
                    <w:ind w:left="835"/>
                    <w:rPr>
                      <w:sz w:val="22"/>
                      <w:szCs w:val="22"/>
                    </w:rPr>
                  </w:pPr>
                  <w:r>
                    <w:rPr>
                      <w:spacing w:val="-2"/>
                      <w:sz w:val="22"/>
                      <w:szCs w:val="22"/>
                    </w:rPr>
                    <w:t>f=0.05kHz</w:t>
                  </w:r>
                </w:p>
              </w:tc>
              <w:tc>
                <w:tcPr>
                  <w:tcW w:w="2667" w:type="dxa"/>
                  <w:vAlign w:val="top"/>
                </w:tcPr>
                <w:p w14:paraId="709C95EA">
                  <w:pPr>
                    <w:pStyle w:val="6"/>
                    <w:spacing w:before="28" w:line="183" w:lineRule="auto"/>
                    <w:ind w:left="724"/>
                    <w:rPr>
                      <w:sz w:val="22"/>
                      <w:szCs w:val="22"/>
                    </w:rPr>
                  </w:pPr>
                  <w:r>
                    <w:rPr>
                      <w:spacing w:val="-1"/>
                      <w:sz w:val="22"/>
                      <w:szCs w:val="22"/>
                    </w:rPr>
                    <w:t>4000(4KV/m)</w:t>
                  </w:r>
                </w:p>
              </w:tc>
              <w:tc>
                <w:tcPr>
                  <w:tcW w:w="2682" w:type="dxa"/>
                  <w:vAlign w:val="top"/>
                </w:tcPr>
                <w:p w14:paraId="6744C42B">
                  <w:pPr>
                    <w:pStyle w:val="6"/>
                    <w:spacing w:before="28" w:line="183" w:lineRule="auto"/>
                    <w:ind w:left="787"/>
                    <w:rPr>
                      <w:sz w:val="22"/>
                      <w:szCs w:val="22"/>
                    </w:rPr>
                  </w:pPr>
                  <w:r>
                    <w:rPr>
                      <w:spacing w:val="-2"/>
                      <w:sz w:val="22"/>
                      <w:szCs w:val="22"/>
                    </w:rPr>
                    <w:t>100(0.1mT)</w:t>
                  </w:r>
                </w:p>
              </w:tc>
            </w:tr>
          </w:tbl>
          <w:p w14:paraId="5DABA49D">
            <w:pPr>
              <w:pStyle w:val="6"/>
              <w:spacing w:before="19" w:line="219" w:lineRule="auto"/>
              <w:ind w:left="521"/>
            </w:pPr>
            <w:r>
              <w:t>注：1、频率f的取值为0.05kHz。</w:t>
            </w:r>
          </w:p>
          <w:p w14:paraId="75A99B6C">
            <w:pPr>
              <w:pStyle w:val="6"/>
              <w:spacing w:before="4" w:line="203" w:lineRule="auto"/>
              <w:ind w:left="90" w:firstLine="430"/>
            </w:pPr>
            <w:r>
              <w:rPr>
                <w:spacing w:val="-27"/>
              </w:rPr>
              <w:t>2、架空输电线路线下的耕地、园地</w:t>
            </w:r>
            <w:r>
              <w:rPr>
                <w:spacing w:val="-26"/>
              </w:rPr>
              <w:t>、牧草地、畜禽饲养地、养殖水</w:t>
            </w:r>
            <w:r>
              <w:rPr>
                <w:spacing w:val="-27"/>
              </w:rPr>
              <w:t>面、道路等场所，</w:t>
            </w:r>
            <w:r>
              <w:rPr>
                <w:spacing w:val="-11"/>
              </w:rPr>
              <w:t>其</w:t>
            </w:r>
            <w:r>
              <w:t xml:space="preserve"> 频率50Hz的电场强度控制限值为10KV/m,且应给出警示和防护指示标志。</w:t>
            </w:r>
          </w:p>
          <w:p w14:paraId="75880E1E">
            <w:pPr>
              <w:pStyle w:val="6"/>
              <w:spacing w:before="1" w:line="184" w:lineRule="auto"/>
              <w:ind w:left="541"/>
            </w:pPr>
            <w:r>
              <w:rPr>
                <w:spacing w:val="4"/>
              </w:rPr>
              <w:t>①工频电场强度评价标准控制限值以4</w:t>
            </w:r>
            <w:r>
              <w:t>KV</w:t>
            </w:r>
            <w:r>
              <w:rPr>
                <w:spacing w:val="4"/>
              </w:rPr>
              <w:t>/m作为工频</w:t>
            </w:r>
            <w:r>
              <w:rPr>
                <w:spacing w:val="3"/>
              </w:rPr>
              <w:t>电场强度评价标准；</w:t>
            </w:r>
          </w:p>
          <w:p w14:paraId="10704FDB">
            <w:pPr>
              <w:pStyle w:val="6"/>
              <w:spacing w:line="199" w:lineRule="auto"/>
              <w:jc w:val="right"/>
            </w:pPr>
            <w:r>
              <w:rPr>
                <w:spacing w:val="-19"/>
              </w:rPr>
              <w:t>②工频磁感应强度评价标准控制限值以0.1mT作为工频磁</w:t>
            </w:r>
            <w:r>
              <w:rPr>
                <w:spacing w:val="-20"/>
              </w:rPr>
              <w:t>感应强度评价标准控制限值。</w:t>
            </w:r>
          </w:p>
        </w:tc>
      </w:tr>
      <w:tr w14:paraId="27E74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8" w:hRule="atLeast"/>
        </w:trPr>
        <w:tc>
          <w:tcPr>
            <w:tcW w:w="324" w:type="dxa"/>
            <w:textDirection w:val="tbRlV"/>
            <w:vAlign w:val="top"/>
          </w:tcPr>
          <w:p w14:paraId="7398C730">
            <w:pPr>
              <w:pStyle w:val="6"/>
              <w:spacing w:before="57" w:line="202" w:lineRule="auto"/>
              <w:ind w:left="3192"/>
            </w:pPr>
            <w:r>
              <w:t>其</w:t>
            </w:r>
            <w:r>
              <w:rPr>
                <w:spacing w:val="36"/>
              </w:rPr>
              <w:t xml:space="preserve"> </w:t>
            </w:r>
            <w:r>
              <w:t>他</w:t>
            </w:r>
          </w:p>
        </w:tc>
        <w:tc>
          <w:tcPr>
            <w:tcW w:w="8750" w:type="dxa"/>
            <w:vAlign w:val="top"/>
          </w:tcPr>
          <w:p w14:paraId="03AB8747">
            <w:pPr>
              <w:pStyle w:val="6"/>
              <w:spacing w:before="151" w:line="220" w:lineRule="auto"/>
              <w:ind w:left="594"/>
            </w:pPr>
            <w:r>
              <w:rPr>
                <w:b/>
                <w:bCs/>
                <w:spacing w:val="-3"/>
              </w:rPr>
              <w:t>1、废气总量控制指标</w:t>
            </w:r>
          </w:p>
          <w:p w14:paraId="6893E4E1">
            <w:pPr>
              <w:pStyle w:val="6"/>
              <w:spacing w:before="156" w:line="337" w:lineRule="auto"/>
              <w:ind w:left="90" w:firstLine="499"/>
            </w:pPr>
            <w:r>
              <w:t>本项目运营期不涉及二氧化硫、氮氧化物、烟粉尘</w:t>
            </w:r>
            <w:r>
              <w:rPr>
                <w:spacing w:val="-1"/>
              </w:rPr>
              <w:t>和挥发性有机污染物，故不</w:t>
            </w:r>
            <w:r>
              <w:t xml:space="preserve"> </w:t>
            </w:r>
            <w:r>
              <w:rPr>
                <w:spacing w:val="-1"/>
              </w:rPr>
              <w:t>设置废气总量控制指标。</w:t>
            </w:r>
          </w:p>
          <w:p w14:paraId="090309EE">
            <w:pPr>
              <w:pStyle w:val="6"/>
              <w:spacing w:line="219" w:lineRule="auto"/>
              <w:ind w:left="574"/>
            </w:pPr>
            <w:r>
              <w:rPr>
                <w:b/>
                <w:bCs/>
                <w:spacing w:val="-5"/>
              </w:rPr>
              <w:t>2、废水</w:t>
            </w:r>
          </w:p>
          <w:p w14:paraId="321A058F">
            <w:pPr>
              <w:pStyle w:val="6"/>
              <w:spacing w:before="157" w:line="340" w:lineRule="auto"/>
              <w:ind w:left="90" w:firstLine="499"/>
              <w:jc w:val="both"/>
            </w:pPr>
            <w:r>
              <w:t>运营期升压站办公生活污水，办公生活污水经一</w:t>
            </w:r>
            <w:r>
              <w:rPr>
                <w:spacing w:val="-1"/>
              </w:rPr>
              <w:t>体化污水处理设备处理后全部</w:t>
            </w:r>
            <w:r>
              <w:t xml:space="preserve"> 回用于项目内绿化，不外排。项目光伏板清洗废水直接顺着流在光伏板下面的经济</w:t>
            </w:r>
            <w:r>
              <w:rPr>
                <w:spacing w:val="8"/>
              </w:rPr>
              <w:t xml:space="preserve"> </w:t>
            </w:r>
            <w:r>
              <w:rPr>
                <w:spacing w:val="-1"/>
              </w:rPr>
              <w:t>作物上，作为经济作物灌溉补充水，不外排。</w:t>
            </w:r>
          </w:p>
          <w:p w14:paraId="3E4BC8F5">
            <w:pPr>
              <w:pStyle w:val="6"/>
              <w:spacing w:before="15" w:line="219" w:lineRule="auto"/>
              <w:ind w:left="600"/>
            </w:pPr>
            <w:r>
              <w:rPr>
                <w:spacing w:val="-1"/>
              </w:rPr>
              <w:t>项目废水不外排，不设废水总量控制指标。</w:t>
            </w:r>
          </w:p>
          <w:p w14:paraId="234683FC">
            <w:pPr>
              <w:pStyle w:val="6"/>
              <w:spacing w:before="122" w:line="220" w:lineRule="auto"/>
              <w:ind w:left="574"/>
            </w:pPr>
            <w:r>
              <w:rPr>
                <w:b/>
                <w:bCs/>
                <w:spacing w:val="-6"/>
              </w:rPr>
              <w:t>3、固废</w:t>
            </w:r>
          </w:p>
          <w:p w14:paraId="7F5A2DD0">
            <w:pPr>
              <w:pStyle w:val="6"/>
              <w:spacing w:before="165" w:line="337" w:lineRule="auto"/>
              <w:ind w:left="90" w:firstLine="509"/>
            </w:pPr>
            <w:r>
              <w:rPr>
                <w:spacing w:val="-1"/>
              </w:rPr>
              <w:t>本项目产生的固体废物包括生产固废、废弃包装物及日常生活垃圾、化粪池和</w:t>
            </w:r>
            <w:r>
              <w:rPr>
                <w:spacing w:val="12"/>
              </w:rPr>
              <w:t xml:space="preserve"> </w:t>
            </w:r>
            <w:r>
              <w:t>污水处理站污泥。固体废弃物均得到妥善处置，处置率100%,不设置固废总量控</w:t>
            </w:r>
          </w:p>
          <w:p w14:paraId="0A037E3F">
            <w:pPr>
              <w:pStyle w:val="6"/>
              <w:spacing w:before="36" w:line="220" w:lineRule="auto"/>
              <w:ind w:left="90"/>
            </w:pPr>
            <w:r>
              <w:t>制指标。</w:t>
            </w:r>
          </w:p>
        </w:tc>
      </w:tr>
    </w:tbl>
    <w:p w14:paraId="14AE9C81">
      <w:pPr>
        <w:pStyle w:val="2"/>
      </w:pPr>
    </w:p>
    <w:p w14:paraId="7EB25848">
      <w:pPr>
        <w:sectPr>
          <w:footerReference r:id="rId79" w:type="default"/>
          <w:pgSz w:w="11910" w:h="16840"/>
          <w:pgMar w:top="1431" w:right="1420" w:bottom="1241" w:left="1405" w:header="0" w:footer="1097" w:gutter="0"/>
          <w:cols w:space="720" w:num="1"/>
        </w:sectPr>
      </w:pPr>
    </w:p>
    <w:p w14:paraId="108E6CAF">
      <w:pPr>
        <w:pStyle w:val="2"/>
        <w:spacing w:line="305" w:lineRule="auto"/>
      </w:pPr>
    </w:p>
    <w:p w14:paraId="7BCFB023">
      <w:pPr>
        <w:spacing w:before="101" w:line="220" w:lineRule="auto"/>
        <w:ind w:left="3009"/>
        <w:outlineLvl w:val="0"/>
        <w:rPr>
          <w:rFonts w:ascii="宋体" w:hAnsi="宋体" w:eastAsia="宋体" w:cs="宋体"/>
          <w:sz w:val="31"/>
          <w:szCs w:val="31"/>
        </w:rPr>
      </w:pPr>
      <w:bookmarkStart w:id="6" w:name="bookmark4"/>
      <w:bookmarkEnd w:id="6"/>
      <w:r>
        <w:rPr>
          <w:rFonts w:ascii="宋体" w:hAnsi="宋体" w:eastAsia="宋体" w:cs="宋体"/>
          <w:b/>
          <w:bCs/>
          <w:spacing w:val="-15"/>
          <w:sz w:val="31"/>
          <w:szCs w:val="31"/>
        </w:rPr>
        <w:t>四、生态环境影响分析</w:t>
      </w:r>
    </w:p>
    <w:p w14:paraId="129094F2">
      <w:pPr>
        <w:spacing w:before="24"/>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6"/>
        <w:gridCol w:w="1864"/>
        <w:gridCol w:w="1082"/>
        <w:gridCol w:w="1212"/>
        <w:gridCol w:w="1703"/>
        <w:gridCol w:w="391"/>
        <w:gridCol w:w="2084"/>
        <w:gridCol w:w="168"/>
      </w:tblGrid>
      <w:tr w14:paraId="6F94E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3" w:hRule="atLeast"/>
        </w:trPr>
        <w:tc>
          <w:tcPr>
            <w:tcW w:w="466" w:type="dxa"/>
            <w:vMerge w:val="restart"/>
            <w:tcBorders>
              <w:bottom w:val="nil"/>
            </w:tcBorders>
            <w:textDirection w:val="tbRlV"/>
            <w:vAlign w:val="top"/>
          </w:tcPr>
          <w:p w14:paraId="54AE481E">
            <w:pPr>
              <w:pStyle w:val="6"/>
              <w:spacing w:before="190" w:line="202" w:lineRule="auto"/>
              <w:ind w:left="4474"/>
              <w:rPr>
                <w:sz w:val="23"/>
                <w:szCs w:val="23"/>
              </w:rPr>
            </w:pPr>
            <w:r>
              <w:rPr>
                <w:sz w:val="23"/>
                <w:szCs w:val="23"/>
              </w:rPr>
              <w:t>施</w:t>
            </w:r>
            <w:r>
              <w:rPr>
                <w:spacing w:val="-27"/>
                <w:sz w:val="23"/>
                <w:szCs w:val="23"/>
              </w:rPr>
              <w:t xml:space="preserve"> </w:t>
            </w:r>
            <w:r>
              <w:rPr>
                <w:sz w:val="23"/>
                <w:szCs w:val="23"/>
              </w:rPr>
              <w:t>工</w:t>
            </w:r>
            <w:r>
              <w:rPr>
                <w:spacing w:val="-27"/>
                <w:sz w:val="23"/>
                <w:szCs w:val="23"/>
              </w:rPr>
              <w:t xml:space="preserve"> </w:t>
            </w:r>
            <w:r>
              <w:rPr>
                <w:sz w:val="23"/>
                <w:szCs w:val="23"/>
              </w:rPr>
              <w:t>期</w:t>
            </w:r>
            <w:r>
              <w:rPr>
                <w:spacing w:val="-27"/>
                <w:sz w:val="23"/>
                <w:szCs w:val="23"/>
              </w:rPr>
              <w:t xml:space="preserve"> </w:t>
            </w:r>
            <w:r>
              <w:rPr>
                <w:sz w:val="23"/>
                <w:szCs w:val="23"/>
              </w:rPr>
              <w:t>生</w:t>
            </w:r>
            <w:r>
              <w:rPr>
                <w:spacing w:val="-26"/>
                <w:sz w:val="23"/>
                <w:szCs w:val="23"/>
              </w:rPr>
              <w:t xml:space="preserve"> </w:t>
            </w:r>
            <w:r>
              <w:rPr>
                <w:sz w:val="23"/>
                <w:szCs w:val="23"/>
              </w:rPr>
              <w:t>态</w:t>
            </w:r>
            <w:r>
              <w:rPr>
                <w:spacing w:val="-26"/>
                <w:sz w:val="23"/>
                <w:szCs w:val="23"/>
              </w:rPr>
              <w:t xml:space="preserve"> </w:t>
            </w:r>
            <w:r>
              <w:rPr>
                <w:sz w:val="23"/>
                <w:szCs w:val="23"/>
              </w:rPr>
              <w:t>环</w:t>
            </w:r>
            <w:r>
              <w:rPr>
                <w:spacing w:val="-27"/>
                <w:sz w:val="23"/>
                <w:szCs w:val="23"/>
              </w:rPr>
              <w:t xml:space="preserve"> </w:t>
            </w:r>
            <w:r>
              <w:rPr>
                <w:sz w:val="23"/>
                <w:szCs w:val="23"/>
              </w:rPr>
              <w:t>境</w:t>
            </w:r>
            <w:r>
              <w:rPr>
                <w:spacing w:val="-26"/>
                <w:sz w:val="23"/>
                <w:szCs w:val="23"/>
              </w:rPr>
              <w:t xml:space="preserve"> </w:t>
            </w:r>
            <w:r>
              <w:rPr>
                <w:sz w:val="23"/>
                <w:szCs w:val="23"/>
              </w:rPr>
              <w:t>影</w:t>
            </w:r>
            <w:r>
              <w:rPr>
                <w:spacing w:val="-26"/>
                <w:sz w:val="23"/>
                <w:szCs w:val="23"/>
              </w:rPr>
              <w:t xml:space="preserve"> </w:t>
            </w:r>
            <w:r>
              <w:rPr>
                <w:sz w:val="23"/>
                <w:szCs w:val="23"/>
              </w:rPr>
              <w:t>响</w:t>
            </w:r>
            <w:r>
              <w:rPr>
                <w:spacing w:val="-27"/>
                <w:sz w:val="23"/>
                <w:szCs w:val="23"/>
              </w:rPr>
              <w:t xml:space="preserve"> </w:t>
            </w:r>
            <w:r>
              <w:rPr>
                <w:sz w:val="23"/>
                <w:szCs w:val="23"/>
              </w:rPr>
              <w:t>分</w:t>
            </w:r>
            <w:r>
              <w:rPr>
                <w:spacing w:val="-26"/>
                <w:sz w:val="23"/>
                <w:szCs w:val="23"/>
              </w:rPr>
              <w:t xml:space="preserve"> </w:t>
            </w:r>
            <w:r>
              <w:rPr>
                <w:sz w:val="23"/>
                <w:szCs w:val="23"/>
              </w:rPr>
              <w:t>析</w:t>
            </w:r>
          </w:p>
        </w:tc>
        <w:tc>
          <w:tcPr>
            <w:tcW w:w="8504" w:type="dxa"/>
            <w:gridSpan w:val="7"/>
            <w:vAlign w:val="top"/>
          </w:tcPr>
          <w:p w14:paraId="7F9D0AD4">
            <w:pPr>
              <w:pStyle w:val="6"/>
              <w:spacing w:before="31" w:line="219" w:lineRule="auto"/>
              <w:ind w:left="62"/>
              <w:rPr>
                <w:sz w:val="23"/>
                <w:szCs w:val="23"/>
              </w:rPr>
            </w:pPr>
            <w:r>
              <w:rPr>
                <w:b/>
                <w:bCs/>
                <w:spacing w:val="-5"/>
                <w:sz w:val="23"/>
                <w:szCs w:val="23"/>
              </w:rPr>
              <w:t>一、施工期环境影响因素分析</w:t>
            </w:r>
          </w:p>
          <w:p w14:paraId="04C9EB72">
            <w:pPr>
              <w:pStyle w:val="6"/>
              <w:spacing w:before="190" w:line="372" w:lineRule="auto"/>
              <w:ind w:left="8" w:right="488" w:firstLine="529"/>
              <w:rPr>
                <w:sz w:val="23"/>
                <w:szCs w:val="23"/>
              </w:rPr>
            </w:pPr>
            <w:r>
              <w:rPr>
                <w:sz w:val="23"/>
                <w:szCs w:val="23"/>
              </w:rPr>
              <w:t>施工期工艺流程及产污节点图详见上文4-1。项目施</w:t>
            </w:r>
            <w:r>
              <w:rPr>
                <w:spacing w:val="-1"/>
                <w:sz w:val="23"/>
                <w:szCs w:val="23"/>
              </w:rPr>
              <w:t>工期的主要污染工序见</w:t>
            </w:r>
            <w:r>
              <w:rPr>
                <w:sz w:val="23"/>
                <w:szCs w:val="23"/>
              </w:rPr>
              <w:t xml:space="preserve"> </w:t>
            </w:r>
            <w:r>
              <w:rPr>
                <w:spacing w:val="1"/>
                <w:sz w:val="23"/>
                <w:szCs w:val="23"/>
              </w:rPr>
              <w:t>表4-1。</w:t>
            </w:r>
          </w:p>
          <w:p w14:paraId="3035B76D">
            <w:pPr>
              <w:pStyle w:val="6"/>
              <w:spacing w:line="220" w:lineRule="auto"/>
              <w:ind w:left="2092"/>
              <w:rPr>
                <w:sz w:val="23"/>
                <w:szCs w:val="23"/>
              </w:rPr>
            </w:pPr>
            <w:r>
              <w:rPr>
                <w:b/>
                <w:bCs/>
                <w:spacing w:val="-3"/>
                <w:sz w:val="23"/>
                <w:szCs w:val="23"/>
              </w:rPr>
              <w:t>表4-1项目施工期主要污染工序一览表</w:t>
            </w:r>
          </w:p>
        </w:tc>
      </w:tr>
      <w:tr w14:paraId="36FBE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66" w:type="dxa"/>
            <w:vMerge w:val="continue"/>
            <w:tcBorders>
              <w:top w:val="nil"/>
              <w:bottom w:val="nil"/>
            </w:tcBorders>
            <w:textDirection w:val="tbRlV"/>
            <w:vAlign w:val="top"/>
          </w:tcPr>
          <w:p w14:paraId="1119C312">
            <w:pPr>
              <w:rPr>
                <w:rFonts w:ascii="Arial"/>
                <w:sz w:val="21"/>
              </w:rPr>
            </w:pPr>
          </w:p>
        </w:tc>
        <w:tc>
          <w:tcPr>
            <w:tcW w:w="2946" w:type="dxa"/>
            <w:gridSpan w:val="2"/>
            <w:vAlign w:val="top"/>
          </w:tcPr>
          <w:p w14:paraId="654A2597">
            <w:pPr>
              <w:pStyle w:val="6"/>
              <w:spacing w:before="30" w:line="192" w:lineRule="auto"/>
              <w:ind w:left="998"/>
              <w:rPr>
                <w:sz w:val="23"/>
                <w:szCs w:val="23"/>
              </w:rPr>
            </w:pPr>
            <w:r>
              <w:rPr>
                <w:spacing w:val="4"/>
                <w:sz w:val="23"/>
                <w:szCs w:val="23"/>
              </w:rPr>
              <w:t>污染类别</w:t>
            </w:r>
          </w:p>
        </w:tc>
        <w:tc>
          <w:tcPr>
            <w:tcW w:w="2915" w:type="dxa"/>
            <w:gridSpan w:val="2"/>
            <w:vAlign w:val="top"/>
          </w:tcPr>
          <w:p w14:paraId="5B6DC917">
            <w:pPr>
              <w:pStyle w:val="6"/>
              <w:spacing w:before="32" w:line="191" w:lineRule="auto"/>
              <w:ind w:left="1092"/>
              <w:rPr>
                <w:sz w:val="23"/>
                <w:szCs w:val="23"/>
              </w:rPr>
            </w:pPr>
            <w:r>
              <w:rPr>
                <w:spacing w:val="3"/>
                <w:sz w:val="23"/>
                <w:szCs w:val="23"/>
              </w:rPr>
              <w:t>污染源</w:t>
            </w:r>
          </w:p>
        </w:tc>
        <w:tc>
          <w:tcPr>
            <w:tcW w:w="2643" w:type="dxa"/>
            <w:gridSpan w:val="3"/>
            <w:vAlign w:val="top"/>
          </w:tcPr>
          <w:p w14:paraId="64562DDC">
            <w:pPr>
              <w:pStyle w:val="6"/>
              <w:spacing w:before="32" w:line="191" w:lineRule="auto"/>
              <w:ind w:left="617"/>
              <w:rPr>
                <w:sz w:val="23"/>
                <w:szCs w:val="23"/>
              </w:rPr>
            </w:pPr>
            <w:r>
              <w:rPr>
                <w:spacing w:val="1"/>
                <w:sz w:val="23"/>
                <w:szCs w:val="23"/>
              </w:rPr>
              <w:t>主要污染因子</w:t>
            </w:r>
          </w:p>
        </w:tc>
      </w:tr>
      <w:tr w14:paraId="526A5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6" w:type="dxa"/>
            <w:vMerge w:val="continue"/>
            <w:tcBorders>
              <w:top w:val="nil"/>
              <w:bottom w:val="nil"/>
            </w:tcBorders>
            <w:textDirection w:val="tbRlV"/>
            <w:vAlign w:val="top"/>
          </w:tcPr>
          <w:p w14:paraId="46CA1846">
            <w:pPr>
              <w:rPr>
                <w:rFonts w:ascii="Arial"/>
                <w:sz w:val="21"/>
              </w:rPr>
            </w:pPr>
          </w:p>
        </w:tc>
        <w:tc>
          <w:tcPr>
            <w:tcW w:w="2946" w:type="dxa"/>
            <w:gridSpan w:val="2"/>
            <w:vMerge w:val="restart"/>
            <w:tcBorders>
              <w:bottom w:val="nil"/>
            </w:tcBorders>
            <w:vAlign w:val="top"/>
          </w:tcPr>
          <w:p w14:paraId="16A1CA77">
            <w:pPr>
              <w:pStyle w:val="6"/>
              <w:spacing w:before="312" w:line="220" w:lineRule="auto"/>
              <w:ind w:left="1228"/>
              <w:rPr>
                <w:sz w:val="23"/>
                <w:szCs w:val="23"/>
              </w:rPr>
            </w:pPr>
            <w:r>
              <w:rPr>
                <w:spacing w:val="7"/>
                <w:sz w:val="23"/>
                <w:szCs w:val="23"/>
              </w:rPr>
              <w:t>废气</w:t>
            </w:r>
          </w:p>
        </w:tc>
        <w:tc>
          <w:tcPr>
            <w:tcW w:w="2915" w:type="dxa"/>
            <w:gridSpan w:val="2"/>
            <w:vAlign w:val="top"/>
          </w:tcPr>
          <w:p w14:paraId="02D649D3">
            <w:pPr>
              <w:pStyle w:val="6"/>
              <w:spacing w:before="22" w:line="191" w:lineRule="auto"/>
              <w:ind w:left="972"/>
              <w:rPr>
                <w:sz w:val="23"/>
                <w:szCs w:val="23"/>
              </w:rPr>
            </w:pPr>
            <w:r>
              <w:rPr>
                <w:spacing w:val="-2"/>
                <w:sz w:val="23"/>
                <w:szCs w:val="23"/>
              </w:rPr>
              <w:t>施工作业</w:t>
            </w:r>
          </w:p>
        </w:tc>
        <w:tc>
          <w:tcPr>
            <w:tcW w:w="2643" w:type="dxa"/>
            <w:gridSpan w:val="3"/>
            <w:vAlign w:val="top"/>
          </w:tcPr>
          <w:p w14:paraId="4B0FC0BF">
            <w:pPr>
              <w:pStyle w:val="6"/>
              <w:spacing w:before="24" w:line="189" w:lineRule="auto"/>
              <w:ind w:left="1077"/>
              <w:rPr>
                <w:sz w:val="23"/>
                <w:szCs w:val="23"/>
              </w:rPr>
            </w:pPr>
            <w:r>
              <w:rPr>
                <w:spacing w:val="-3"/>
                <w:sz w:val="23"/>
                <w:szCs w:val="23"/>
              </w:rPr>
              <w:t>扬尘</w:t>
            </w:r>
          </w:p>
        </w:tc>
      </w:tr>
      <w:tr w14:paraId="68DEF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6" w:type="dxa"/>
            <w:vMerge w:val="continue"/>
            <w:tcBorders>
              <w:top w:val="nil"/>
              <w:bottom w:val="nil"/>
            </w:tcBorders>
            <w:textDirection w:val="tbRlV"/>
            <w:vAlign w:val="top"/>
          </w:tcPr>
          <w:p w14:paraId="416463CF">
            <w:pPr>
              <w:rPr>
                <w:rFonts w:ascii="Arial"/>
                <w:sz w:val="21"/>
              </w:rPr>
            </w:pPr>
          </w:p>
        </w:tc>
        <w:tc>
          <w:tcPr>
            <w:tcW w:w="2946" w:type="dxa"/>
            <w:gridSpan w:val="2"/>
            <w:vMerge w:val="continue"/>
            <w:tcBorders>
              <w:top w:val="nil"/>
              <w:bottom w:val="nil"/>
            </w:tcBorders>
            <w:vAlign w:val="top"/>
          </w:tcPr>
          <w:p w14:paraId="3DD28520">
            <w:pPr>
              <w:rPr>
                <w:rFonts w:ascii="Arial"/>
                <w:sz w:val="21"/>
              </w:rPr>
            </w:pPr>
          </w:p>
        </w:tc>
        <w:tc>
          <w:tcPr>
            <w:tcW w:w="2915" w:type="dxa"/>
            <w:gridSpan w:val="2"/>
            <w:vAlign w:val="top"/>
          </w:tcPr>
          <w:p w14:paraId="46B95E96">
            <w:pPr>
              <w:pStyle w:val="6"/>
              <w:spacing w:before="20" w:line="184" w:lineRule="auto"/>
              <w:ind w:left="403"/>
              <w:rPr>
                <w:sz w:val="23"/>
                <w:szCs w:val="23"/>
              </w:rPr>
            </w:pPr>
            <w:r>
              <w:rPr>
                <w:spacing w:val="-1"/>
                <w:sz w:val="23"/>
                <w:szCs w:val="23"/>
              </w:rPr>
              <w:t>施工机械及运输车辆</w:t>
            </w:r>
          </w:p>
        </w:tc>
        <w:tc>
          <w:tcPr>
            <w:tcW w:w="2643" w:type="dxa"/>
            <w:gridSpan w:val="3"/>
            <w:vAlign w:val="top"/>
          </w:tcPr>
          <w:p w14:paraId="1C07A5D8">
            <w:pPr>
              <w:pStyle w:val="6"/>
              <w:spacing w:before="20" w:line="184" w:lineRule="auto"/>
              <w:jc w:val="right"/>
              <w:rPr>
                <w:sz w:val="23"/>
                <w:szCs w:val="23"/>
              </w:rPr>
            </w:pPr>
            <w:r>
              <w:rPr>
                <w:spacing w:val="-1"/>
                <w:sz w:val="23"/>
                <w:szCs w:val="23"/>
              </w:rPr>
              <w:t>机械废气(CO、NOx、烃类)</w:t>
            </w:r>
          </w:p>
        </w:tc>
      </w:tr>
      <w:tr w14:paraId="30646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66" w:type="dxa"/>
            <w:vMerge w:val="continue"/>
            <w:tcBorders>
              <w:top w:val="nil"/>
              <w:bottom w:val="nil"/>
            </w:tcBorders>
            <w:textDirection w:val="tbRlV"/>
            <w:vAlign w:val="top"/>
          </w:tcPr>
          <w:p w14:paraId="7F4902F5">
            <w:pPr>
              <w:rPr>
                <w:rFonts w:ascii="Arial"/>
                <w:sz w:val="21"/>
              </w:rPr>
            </w:pPr>
          </w:p>
        </w:tc>
        <w:tc>
          <w:tcPr>
            <w:tcW w:w="2946" w:type="dxa"/>
            <w:gridSpan w:val="2"/>
            <w:vMerge w:val="continue"/>
            <w:tcBorders>
              <w:top w:val="nil"/>
            </w:tcBorders>
            <w:vAlign w:val="top"/>
          </w:tcPr>
          <w:p w14:paraId="52475C34">
            <w:pPr>
              <w:rPr>
                <w:rFonts w:ascii="Arial"/>
                <w:sz w:val="21"/>
              </w:rPr>
            </w:pPr>
          </w:p>
        </w:tc>
        <w:tc>
          <w:tcPr>
            <w:tcW w:w="2915" w:type="dxa"/>
            <w:gridSpan w:val="2"/>
            <w:vAlign w:val="top"/>
          </w:tcPr>
          <w:p w14:paraId="7D7A3AC6">
            <w:pPr>
              <w:pStyle w:val="6"/>
              <w:spacing w:before="30" w:line="200" w:lineRule="auto"/>
              <w:ind w:left="862"/>
              <w:rPr>
                <w:sz w:val="23"/>
                <w:szCs w:val="23"/>
              </w:rPr>
            </w:pPr>
            <w:r>
              <w:rPr>
                <w:spacing w:val="-2"/>
                <w:sz w:val="23"/>
                <w:szCs w:val="23"/>
              </w:rPr>
              <w:t>焊接及装修</w:t>
            </w:r>
          </w:p>
        </w:tc>
        <w:tc>
          <w:tcPr>
            <w:tcW w:w="2643" w:type="dxa"/>
            <w:gridSpan w:val="3"/>
            <w:vAlign w:val="top"/>
          </w:tcPr>
          <w:p w14:paraId="4F76015E">
            <w:pPr>
              <w:pStyle w:val="6"/>
              <w:spacing w:before="30" w:line="200" w:lineRule="auto"/>
              <w:ind w:left="847"/>
              <w:rPr>
                <w:sz w:val="23"/>
                <w:szCs w:val="23"/>
              </w:rPr>
            </w:pPr>
            <w:r>
              <w:rPr>
                <w:spacing w:val="-2"/>
                <w:sz w:val="23"/>
                <w:szCs w:val="23"/>
              </w:rPr>
              <w:t>焊接烟尘</w:t>
            </w:r>
          </w:p>
        </w:tc>
      </w:tr>
      <w:tr w14:paraId="3DB1B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6" w:type="dxa"/>
            <w:vMerge w:val="continue"/>
            <w:tcBorders>
              <w:top w:val="nil"/>
              <w:bottom w:val="nil"/>
            </w:tcBorders>
            <w:textDirection w:val="tbRlV"/>
            <w:vAlign w:val="top"/>
          </w:tcPr>
          <w:p w14:paraId="498C3F5C">
            <w:pPr>
              <w:rPr>
                <w:rFonts w:ascii="Arial"/>
                <w:sz w:val="21"/>
              </w:rPr>
            </w:pPr>
          </w:p>
        </w:tc>
        <w:tc>
          <w:tcPr>
            <w:tcW w:w="2946" w:type="dxa"/>
            <w:gridSpan w:val="2"/>
            <w:vMerge w:val="restart"/>
            <w:tcBorders>
              <w:bottom w:val="nil"/>
            </w:tcBorders>
            <w:vAlign w:val="top"/>
          </w:tcPr>
          <w:p w14:paraId="766B9E93">
            <w:pPr>
              <w:pStyle w:val="6"/>
              <w:spacing w:before="291" w:line="219" w:lineRule="auto"/>
              <w:ind w:left="1228"/>
              <w:rPr>
                <w:sz w:val="23"/>
                <w:szCs w:val="23"/>
              </w:rPr>
            </w:pPr>
            <w:r>
              <w:rPr>
                <w:spacing w:val="-3"/>
                <w:sz w:val="23"/>
                <w:szCs w:val="23"/>
              </w:rPr>
              <w:t>废水</w:t>
            </w:r>
          </w:p>
        </w:tc>
        <w:tc>
          <w:tcPr>
            <w:tcW w:w="2915" w:type="dxa"/>
            <w:gridSpan w:val="2"/>
            <w:vAlign w:val="top"/>
          </w:tcPr>
          <w:p w14:paraId="08BDB2AE">
            <w:pPr>
              <w:pStyle w:val="6"/>
              <w:spacing w:before="20" w:line="184" w:lineRule="auto"/>
              <w:ind w:left="972"/>
              <w:rPr>
                <w:sz w:val="23"/>
                <w:szCs w:val="23"/>
              </w:rPr>
            </w:pPr>
            <w:r>
              <w:rPr>
                <w:spacing w:val="-2"/>
                <w:sz w:val="23"/>
                <w:szCs w:val="23"/>
              </w:rPr>
              <w:t>施工废水</w:t>
            </w:r>
          </w:p>
        </w:tc>
        <w:tc>
          <w:tcPr>
            <w:tcW w:w="2643" w:type="dxa"/>
            <w:gridSpan w:val="3"/>
            <w:vAlign w:val="top"/>
          </w:tcPr>
          <w:p w14:paraId="31942398">
            <w:pPr>
              <w:pStyle w:val="6"/>
              <w:spacing w:before="80" w:line="170" w:lineRule="exact"/>
              <w:ind w:left="1187"/>
              <w:rPr>
                <w:sz w:val="23"/>
                <w:szCs w:val="23"/>
              </w:rPr>
            </w:pPr>
            <w:r>
              <w:rPr>
                <w:spacing w:val="-3"/>
                <w:position w:val="-3"/>
                <w:sz w:val="23"/>
                <w:szCs w:val="23"/>
              </w:rPr>
              <w:t>SS</w:t>
            </w:r>
          </w:p>
        </w:tc>
      </w:tr>
      <w:tr w14:paraId="73B96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6" w:type="dxa"/>
            <w:vMerge w:val="continue"/>
            <w:tcBorders>
              <w:top w:val="nil"/>
              <w:bottom w:val="nil"/>
            </w:tcBorders>
            <w:textDirection w:val="tbRlV"/>
            <w:vAlign w:val="top"/>
          </w:tcPr>
          <w:p w14:paraId="4439AD8F">
            <w:pPr>
              <w:rPr>
                <w:rFonts w:ascii="Arial"/>
                <w:sz w:val="21"/>
              </w:rPr>
            </w:pPr>
          </w:p>
        </w:tc>
        <w:tc>
          <w:tcPr>
            <w:tcW w:w="2946" w:type="dxa"/>
            <w:gridSpan w:val="2"/>
            <w:vMerge w:val="continue"/>
            <w:tcBorders>
              <w:top w:val="nil"/>
              <w:bottom w:val="nil"/>
            </w:tcBorders>
            <w:vAlign w:val="top"/>
          </w:tcPr>
          <w:p w14:paraId="42E9F754">
            <w:pPr>
              <w:rPr>
                <w:rFonts w:ascii="Arial"/>
                <w:sz w:val="21"/>
              </w:rPr>
            </w:pPr>
          </w:p>
        </w:tc>
        <w:tc>
          <w:tcPr>
            <w:tcW w:w="2915" w:type="dxa"/>
            <w:gridSpan w:val="2"/>
            <w:vAlign w:val="top"/>
          </w:tcPr>
          <w:p w14:paraId="1017B6D1">
            <w:pPr>
              <w:pStyle w:val="6"/>
              <w:spacing w:before="20" w:line="184" w:lineRule="auto"/>
              <w:ind w:left="742"/>
              <w:rPr>
                <w:sz w:val="23"/>
                <w:szCs w:val="23"/>
              </w:rPr>
            </w:pPr>
            <w:r>
              <w:rPr>
                <w:spacing w:val="-2"/>
                <w:sz w:val="23"/>
                <w:szCs w:val="23"/>
              </w:rPr>
              <w:t>施工生活污水</w:t>
            </w:r>
          </w:p>
        </w:tc>
        <w:tc>
          <w:tcPr>
            <w:tcW w:w="2643" w:type="dxa"/>
            <w:gridSpan w:val="3"/>
            <w:vAlign w:val="top"/>
          </w:tcPr>
          <w:p w14:paraId="5D884AB9">
            <w:pPr>
              <w:pStyle w:val="6"/>
              <w:spacing w:before="20" w:line="184" w:lineRule="auto"/>
              <w:ind w:left="327"/>
              <w:rPr>
                <w:sz w:val="23"/>
                <w:szCs w:val="23"/>
              </w:rPr>
            </w:pPr>
            <w:r>
              <w:rPr>
                <w:sz w:val="23"/>
                <w:szCs w:val="23"/>
              </w:rPr>
              <w:t>COD</w:t>
            </w:r>
            <w:r>
              <w:rPr>
                <w:spacing w:val="21"/>
                <w:sz w:val="23"/>
                <w:szCs w:val="23"/>
              </w:rPr>
              <w:t>、</w:t>
            </w:r>
            <w:r>
              <w:rPr>
                <w:sz w:val="23"/>
                <w:szCs w:val="23"/>
              </w:rPr>
              <w:t>NH</w:t>
            </w:r>
            <w:r>
              <w:rPr>
                <w:rFonts w:ascii="Calibri" w:hAnsi="Calibri" w:eastAsia="Calibri" w:cs="Calibri"/>
                <w:spacing w:val="21"/>
                <w:sz w:val="23"/>
                <w:szCs w:val="23"/>
              </w:rPr>
              <w:t>₃</w:t>
            </w:r>
            <w:r>
              <w:rPr>
                <w:spacing w:val="21"/>
                <w:sz w:val="23"/>
                <w:szCs w:val="23"/>
              </w:rPr>
              <w:t>-N、</w:t>
            </w:r>
            <w:r>
              <w:rPr>
                <w:sz w:val="23"/>
                <w:szCs w:val="23"/>
              </w:rPr>
              <w:t>SS</w:t>
            </w:r>
            <w:r>
              <w:rPr>
                <w:spacing w:val="21"/>
                <w:sz w:val="23"/>
                <w:szCs w:val="23"/>
              </w:rPr>
              <w:t>等</w:t>
            </w:r>
          </w:p>
        </w:tc>
      </w:tr>
      <w:tr w14:paraId="6B3D1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6" w:type="dxa"/>
            <w:vMerge w:val="continue"/>
            <w:tcBorders>
              <w:top w:val="nil"/>
              <w:bottom w:val="nil"/>
            </w:tcBorders>
            <w:textDirection w:val="tbRlV"/>
            <w:vAlign w:val="top"/>
          </w:tcPr>
          <w:p w14:paraId="5B7AA20F">
            <w:pPr>
              <w:rPr>
                <w:rFonts w:ascii="Arial"/>
                <w:sz w:val="21"/>
              </w:rPr>
            </w:pPr>
          </w:p>
        </w:tc>
        <w:tc>
          <w:tcPr>
            <w:tcW w:w="2946" w:type="dxa"/>
            <w:gridSpan w:val="2"/>
            <w:vMerge w:val="continue"/>
            <w:tcBorders>
              <w:top w:val="nil"/>
            </w:tcBorders>
            <w:vAlign w:val="top"/>
          </w:tcPr>
          <w:p w14:paraId="02606145">
            <w:pPr>
              <w:rPr>
                <w:rFonts w:ascii="Arial"/>
                <w:sz w:val="21"/>
              </w:rPr>
            </w:pPr>
          </w:p>
        </w:tc>
        <w:tc>
          <w:tcPr>
            <w:tcW w:w="2915" w:type="dxa"/>
            <w:gridSpan w:val="2"/>
            <w:vAlign w:val="top"/>
          </w:tcPr>
          <w:p w14:paraId="3B99A4E9">
            <w:pPr>
              <w:pStyle w:val="6"/>
              <w:spacing w:before="20" w:line="192" w:lineRule="auto"/>
              <w:ind w:left="742"/>
              <w:rPr>
                <w:sz w:val="23"/>
                <w:szCs w:val="23"/>
              </w:rPr>
            </w:pPr>
            <w:r>
              <w:rPr>
                <w:spacing w:val="1"/>
                <w:sz w:val="23"/>
                <w:szCs w:val="23"/>
              </w:rPr>
              <w:t>雨季地表径流</w:t>
            </w:r>
          </w:p>
        </w:tc>
        <w:tc>
          <w:tcPr>
            <w:tcW w:w="2643" w:type="dxa"/>
            <w:gridSpan w:val="3"/>
            <w:vAlign w:val="top"/>
          </w:tcPr>
          <w:p w14:paraId="2483B09D">
            <w:pPr>
              <w:pStyle w:val="6"/>
              <w:spacing w:before="20" w:line="192" w:lineRule="auto"/>
              <w:ind w:left="1077"/>
              <w:rPr>
                <w:sz w:val="23"/>
                <w:szCs w:val="23"/>
              </w:rPr>
            </w:pPr>
            <w:r>
              <w:rPr>
                <w:sz w:val="23"/>
                <w:szCs w:val="23"/>
              </w:rPr>
              <w:t>SS</w:t>
            </w:r>
            <w:r>
              <w:rPr>
                <w:spacing w:val="10"/>
                <w:sz w:val="23"/>
                <w:szCs w:val="23"/>
              </w:rPr>
              <w:t>等</w:t>
            </w:r>
          </w:p>
        </w:tc>
      </w:tr>
      <w:tr w14:paraId="794FF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6" w:type="dxa"/>
            <w:vMerge w:val="continue"/>
            <w:tcBorders>
              <w:top w:val="nil"/>
              <w:bottom w:val="nil"/>
            </w:tcBorders>
            <w:textDirection w:val="tbRlV"/>
            <w:vAlign w:val="top"/>
          </w:tcPr>
          <w:p w14:paraId="549B71BD">
            <w:pPr>
              <w:rPr>
                <w:rFonts w:ascii="Arial"/>
                <w:sz w:val="21"/>
              </w:rPr>
            </w:pPr>
          </w:p>
        </w:tc>
        <w:tc>
          <w:tcPr>
            <w:tcW w:w="2946" w:type="dxa"/>
            <w:gridSpan w:val="2"/>
            <w:vMerge w:val="restart"/>
            <w:tcBorders>
              <w:bottom w:val="nil"/>
            </w:tcBorders>
            <w:vAlign w:val="top"/>
          </w:tcPr>
          <w:p w14:paraId="72464E69">
            <w:pPr>
              <w:pStyle w:val="6"/>
              <w:spacing w:before="152" w:line="220" w:lineRule="auto"/>
              <w:ind w:left="1228"/>
              <w:rPr>
                <w:sz w:val="23"/>
                <w:szCs w:val="23"/>
              </w:rPr>
            </w:pPr>
            <w:r>
              <w:rPr>
                <w:spacing w:val="7"/>
                <w:sz w:val="23"/>
                <w:szCs w:val="23"/>
              </w:rPr>
              <w:t>噪声</w:t>
            </w:r>
          </w:p>
        </w:tc>
        <w:tc>
          <w:tcPr>
            <w:tcW w:w="2915" w:type="dxa"/>
            <w:gridSpan w:val="2"/>
            <w:vAlign w:val="top"/>
          </w:tcPr>
          <w:p w14:paraId="14F68033">
            <w:pPr>
              <w:pStyle w:val="6"/>
              <w:spacing w:before="20" w:line="184" w:lineRule="auto"/>
              <w:ind w:left="972"/>
              <w:rPr>
                <w:sz w:val="23"/>
                <w:szCs w:val="23"/>
              </w:rPr>
            </w:pPr>
            <w:r>
              <w:rPr>
                <w:spacing w:val="-2"/>
                <w:sz w:val="23"/>
                <w:szCs w:val="23"/>
              </w:rPr>
              <w:t>施工机械</w:t>
            </w:r>
          </w:p>
        </w:tc>
        <w:tc>
          <w:tcPr>
            <w:tcW w:w="2643" w:type="dxa"/>
            <w:gridSpan w:val="3"/>
            <w:vAlign w:val="top"/>
          </w:tcPr>
          <w:p w14:paraId="25A28212">
            <w:pPr>
              <w:pStyle w:val="6"/>
              <w:spacing w:before="20" w:line="184" w:lineRule="auto"/>
              <w:ind w:left="847"/>
              <w:rPr>
                <w:sz w:val="23"/>
                <w:szCs w:val="23"/>
              </w:rPr>
            </w:pPr>
            <w:r>
              <w:rPr>
                <w:spacing w:val="3"/>
                <w:sz w:val="23"/>
                <w:szCs w:val="23"/>
              </w:rPr>
              <w:t>机械噪声</w:t>
            </w:r>
          </w:p>
        </w:tc>
      </w:tr>
      <w:tr w14:paraId="703BD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6" w:type="dxa"/>
            <w:vMerge w:val="continue"/>
            <w:tcBorders>
              <w:top w:val="nil"/>
              <w:bottom w:val="nil"/>
            </w:tcBorders>
            <w:textDirection w:val="tbRlV"/>
            <w:vAlign w:val="top"/>
          </w:tcPr>
          <w:p w14:paraId="1FA6EE71">
            <w:pPr>
              <w:rPr>
                <w:rFonts w:ascii="Arial"/>
                <w:sz w:val="21"/>
              </w:rPr>
            </w:pPr>
          </w:p>
        </w:tc>
        <w:tc>
          <w:tcPr>
            <w:tcW w:w="2946" w:type="dxa"/>
            <w:gridSpan w:val="2"/>
            <w:vMerge w:val="continue"/>
            <w:tcBorders>
              <w:top w:val="nil"/>
            </w:tcBorders>
            <w:vAlign w:val="top"/>
          </w:tcPr>
          <w:p w14:paraId="01A65C16">
            <w:pPr>
              <w:rPr>
                <w:rFonts w:ascii="Arial"/>
                <w:sz w:val="21"/>
              </w:rPr>
            </w:pPr>
          </w:p>
        </w:tc>
        <w:tc>
          <w:tcPr>
            <w:tcW w:w="2915" w:type="dxa"/>
            <w:gridSpan w:val="2"/>
            <w:vAlign w:val="top"/>
          </w:tcPr>
          <w:p w14:paraId="274D89E8">
            <w:pPr>
              <w:pStyle w:val="6"/>
              <w:spacing w:before="20" w:line="184" w:lineRule="auto"/>
              <w:ind w:left="972"/>
              <w:rPr>
                <w:sz w:val="23"/>
                <w:szCs w:val="23"/>
              </w:rPr>
            </w:pPr>
            <w:r>
              <w:rPr>
                <w:spacing w:val="-2"/>
                <w:sz w:val="23"/>
                <w:szCs w:val="23"/>
              </w:rPr>
              <w:t>运输车辆</w:t>
            </w:r>
          </w:p>
        </w:tc>
        <w:tc>
          <w:tcPr>
            <w:tcW w:w="2643" w:type="dxa"/>
            <w:gridSpan w:val="3"/>
            <w:vAlign w:val="top"/>
          </w:tcPr>
          <w:p w14:paraId="73135299">
            <w:pPr>
              <w:pStyle w:val="6"/>
              <w:spacing w:before="22" w:line="183" w:lineRule="auto"/>
              <w:ind w:left="847"/>
              <w:rPr>
                <w:sz w:val="23"/>
                <w:szCs w:val="23"/>
              </w:rPr>
            </w:pPr>
            <w:r>
              <w:rPr>
                <w:spacing w:val="3"/>
                <w:sz w:val="23"/>
                <w:szCs w:val="23"/>
              </w:rPr>
              <w:t>交通噪声</w:t>
            </w:r>
          </w:p>
        </w:tc>
      </w:tr>
      <w:tr w14:paraId="41426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66" w:type="dxa"/>
            <w:vMerge w:val="continue"/>
            <w:tcBorders>
              <w:top w:val="nil"/>
              <w:bottom w:val="nil"/>
            </w:tcBorders>
            <w:textDirection w:val="tbRlV"/>
            <w:vAlign w:val="top"/>
          </w:tcPr>
          <w:p w14:paraId="3BD2FACB">
            <w:pPr>
              <w:rPr>
                <w:rFonts w:ascii="Arial"/>
                <w:sz w:val="21"/>
              </w:rPr>
            </w:pPr>
          </w:p>
        </w:tc>
        <w:tc>
          <w:tcPr>
            <w:tcW w:w="2946" w:type="dxa"/>
            <w:gridSpan w:val="2"/>
            <w:vMerge w:val="restart"/>
            <w:tcBorders>
              <w:bottom w:val="nil"/>
            </w:tcBorders>
            <w:vAlign w:val="top"/>
          </w:tcPr>
          <w:p w14:paraId="6B16597F">
            <w:pPr>
              <w:pStyle w:val="6"/>
              <w:spacing w:before="142" w:line="220" w:lineRule="auto"/>
              <w:ind w:left="1228"/>
              <w:rPr>
                <w:sz w:val="23"/>
                <w:szCs w:val="23"/>
              </w:rPr>
            </w:pPr>
            <w:r>
              <w:rPr>
                <w:spacing w:val="5"/>
                <w:sz w:val="23"/>
                <w:szCs w:val="23"/>
              </w:rPr>
              <w:t>固废</w:t>
            </w:r>
          </w:p>
        </w:tc>
        <w:tc>
          <w:tcPr>
            <w:tcW w:w="2915" w:type="dxa"/>
            <w:gridSpan w:val="2"/>
            <w:vAlign w:val="top"/>
          </w:tcPr>
          <w:p w14:paraId="0B57C54A">
            <w:pPr>
              <w:pStyle w:val="6"/>
              <w:spacing w:before="31" w:line="167" w:lineRule="auto"/>
              <w:ind w:left="972"/>
              <w:rPr>
                <w:sz w:val="23"/>
                <w:szCs w:val="23"/>
              </w:rPr>
            </w:pPr>
            <w:r>
              <w:rPr>
                <w:spacing w:val="3"/>
                <w:sz w:val="23"/>
                <w:szCs w:val="23"/>
              </w:rPr>
              <w:t>工程施工</w:t>
            </w:r>
          </w:p>
        </w:tc>
        <w:tc>
          <w:tcPr>
            <w:tcW w:w="2643" w:type="dxa"/>
            <w:gridSpan w:val="3"/>
            <w:vAlign w:val="top"/>
          </w:tcPr>
          <w:p w14:paraId="07F6D9ED">
            <w:pPr>
              <w:pStyle w:val="6"/>
              <w:spacing w:before="30" w:line="168" w:lineRule="auto"/>
              <w:ind w:left="157"/>
              <w:rPr>
                <w:sz w:val="23"/>
                <w:szCs w:val="23"/>
              </w:rPr>
            </w:pPr>
            <w:r>
              <w:rPr>
                <w:spacing w:val="-1"/>
                <w:sz w:val="23"/>
                <w:szCs w:val="23"/>
              </w:rPr>
              <w:t>废弃土石方、建筑垃圾</w:t>
            </w:r>
          </w:p>
        </w:tc>
      </w:tr>
      <w:tr w14:paraId="3B4CC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66" w:type="dxa"/>
            <w:vMerge w:val="continue"/>
            <w:tcBorders>
              <w:top w:val="nil"/>
              <w:bottom w:val="nil"/>
            </w:tcBorders>
            <w:textDirection w:val="tbRlV"/>
            <w:vAlign w:val="top"/>
          </w:tcPr>
          <w:p w14:paraId="3CD9724A">
            <w:pPr>
              <w:rPr>
                <w:rFonts w:ascii="Arial"/>
                <w:sz w:val="21"/>
              </w:rPr>
            </w:pPr>
          </w:p>
        </w:tc>
        <w:tc>
          <w:tcPr>
            <w:tcW w:w="2946" w:type="dxa"/>
            <w:gridSpan w:val="2"/>
            <w:vMerge w:val="continue"/>
            <w:tcBorders>
              <w:top w:val="nil"/>
            </w:tcBorders>
            <w:vAlign w:val="top"/>
          </w:tcPr>
          <w:p w14:paraId="4F3381EE">
            <w:pPr>
              <w:rPr>
                <w:rFonts w:ascii="Arial"/>
                <w:sz w:val="21"/>
              </w:rPr>
            </w:pPr>
          </w:p>
        </w:tc>
        <w:tc>
          <w:tcPr>
            <w:tcW w:w="2915" w:type="dxa"/>
            <w:gridSpan w:val="2"/>
            <w:vAlign w:val="top"/>
          </w:tcPr>
          <w:p w14:paraId="18ECB32C">
            <w:pPr>
              <w:pStyle w:val="6"/>
              <w:spacing w:before="33" w:line="166" w:lineRule="auto"/>
              <w:ind w:left="972"/>
              <w:rPr>
                <w:sz w:val="23"/>
                <w:szCs w:val="23"/>
              </w:rPr>
            </w:pPr>
            <w:r>
              <w:rPr>
                <w:spacing w:val="7"/>
                <w:sz w:val="23"/>
                <w:szCs w:val="23"/>
              </w:rPr>
              <w:t>施工人员</w:t>
            </w:r>
          </w:p>
        </w:tc>
        <w:tc>
          <w:tcPr>
            <w:tcW w:w="2643" w:type="dxa"/>
            <w:gridSpan w:val="3"/>
            <w:vAlign w:val="top"/>
          </w:tcPr>
          <w:p w14:paraId="16C41BA5">
            <w:pPr>
              <w:pStyle w:val="6"/>
              <w:spacing w:before="31" w:line="167" w:lineRule="auto"/>
              <w:ind w:left="847"/>
              <w:rPr>
                <w:sz w:val="23"/>
                <w:szCs w:val="23"/>
              </w:rPr>
            </w:pPr>
            <w:r>
              <w:rPr>
                <w:spacing w:val="2"/>
                <w:sz w:val="23"/>
                <w:szCs w:val="23"/>
              </w:rPr>
              <w:t>生活垃圾</w:t>
            </w:r>
          </w:p>
        </w:tc>
      </w:tr>
      <w:tr w14:paraId="4FAE0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66" w:type="dxa"/>
            <w:vMerge w:val="continue"/>
            <w:tcBorders>
              <w:top w:val="nil"/>
              <w:bottom w:val="nil"/>
            </w:tcBorders>
            <w:textDirection w:val="tbRlV"/>
            <w:vAlign w:val="top"/>
          </w:tcPr>
          <w:p w14:paraId="26C1ECC7">
            <w:pPr>
              <w:rPr>
                <w:rFonts w:ascii="Arial"/>
                <w:sz w:val="21"/>
              </w:rPr>
            </w:pPr>
          </w:p>
        </w:tc>
        <w:tc>
          <w:tcPr>
            <w:tcW w:w="2946" w:type="dxa"/>
            <w:gridSpan w:val="2"/>
            <w:vAlign w:val="top"/>
          </w:tcPr>
          <w:p w14:paraId="1C20FF1E">
            <w:pPr>
              <w:pStyle w:val="6"/>
              <w:spacing w:before="27" w:line="186" w:lineRule="auto"/>
              <w:ind w:left="1228"/>
              <w:rPr>
                <w:sz w:val="23"/>
                <w:szCs w:val="23"/>
              </w:rPr>
            </w:pPr>
            <w:r>
              <w:rPr>
                <w:spacing w:val="5"/>
                <w:sz w:val="23"/>
                <w:szCs w:val="23"/>
              </w:rPr>
              <w:t>生态</w:t>
            </w:r>
          </w:p>
        </w:tc>
        <w:tc>
          <w:tcPr>
            <w:tcW w:w="5558" w:type="dxa"/>
            <w:gridSpan w:val="5"/>
            <w:vAlign w:val="top"/>
          </w:tcPr>
          <w:p w14:paraId="272EB392">
            <w:pPr>
              <w:pStyle w:val="6"/>
              <w:spacing w:before="21" w:line="191" w:lineRule="auto"/>
              <w:ind w:left="673"/>
              <w:rPr>
                <w:sz w:val="23"/>
                <w:szCs w:val="23"/>
              </w:rPr>
            </w:pPr>
            <w:r>
              <w:rPr>
                <w:spacing w:val="-1"/>
                <w:sz w:val="23"/>
                <w:szCs w:val="23"/>
              </w:rPr>
              <w:t>对土地利用、景观、动植物的影响和水土流失等</w:t>
            </w:r>
          </w:p>
        </w:tc>
      </w:tr>
      <w:tr w14:paraId="251AD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7" w:hRule="atLeast"/>
        </w:trPr>
        <w:tc>
          <w:tcPr>
            <w:tcW w:w="466" w:type="dxa"/>
            <w:vMerge w:val="continue"/>
            <w:tcBorders>
              <w:top w:val="nil"/>
              <w:bottom w:val="nil"/>
            </w:tcBorders>
            <w:textDirection w:val="tbRlV"/>
            <w:vAlign w:val="top"/>
          </w:tcPr>
          <w:p w14:paraId="4DA2C50A">
            <w:pPr>
              <w:rPr>
                <w:rFonts w:ascii="Arial"/>
                <w:sz w:val="21"/>
              </w:rPr>
            </w:pPr>
          </w:p>
        </w:tc>
        <w:tc>
          <w:tcPr>
            <w:tcW w:w="8504" w:type="dxa"/>
            <w:gridSpan w:val="7"/>
            <w:vAlign w:val="top"/>
          </w:tcPr>
          <w:p w14:paraId="6242177B">
            <w:pPr>
              <w:pStyle w:val="6"/>
              <w:spacing w:before="39" w:line="220" w:lineRule="auto"/>
              <w:ind w:left="12"/>
              <w:rPr>
                <w:sz w:val="23"/>
                <w:szCs w:val="23"/>
              </w:rPr>
            </w:pPr>
            <w:r>
              <w:rPr>
                <w:b/>
                <w:bCs/>
                <w:spacing w:val="-4"/>
                <w:sz w:val="23"/>
                <w:szCs w:val="23"/>
              </w:rPr>
              <w:t>二、施工期生态影响分析</w:t>
            </w:r>
          </w:p>
          <w:p w14:paraId="54598992">
            <w:pPr>
              <w:pStyle w:val="6"/>
              <w:spacing w:before="195" w:line="220" w:lineRule="auto"/>
              <w:ind w:left="602"/>
              <w:rPr>
                <w:sz w:val="23"/>
                <w:szCs w:val="23"/>
              </w:rPr>
            </w:pPr>
            <w:r>
              <w:rPr>
                <w:b/>
                <w:bCs/>
                <w:spacing w:val="-3"/>
                <w:sz w:val="23"/>
                <w:szCs w:val="23"/>
              </w:rPr>
              <w:t>(1)对土地利用的影响分析</w:t>
            </w:r>
          </w:p>
          <w:p w14:paraId="0CA44027">
            <w:pPr>
              <w:pStyle w:val="6"/>
              <w:spacing w:before="205" w:line="369" w:lineRule="auto"/>
              <w:ind w:left="58" w:right="183" w:firstLine="459"/>
              <w:rPr>
                <w:sz w:val="23"/>
                <w:szCs w:val="23"/>
              </w:rPr>
            </w:pPr>
            <w:r>
              <w:rPr>
                <w:spacing w:val="8"/>
                <w:sz w:val="23"/>
                <w:szCs w:val="23"/>
              </w:rPr>
              <w:t>项目总用地总面积208.8715</w:t>
            </w:r>
            <w:r>
              <w:rPr>
                <w:sz w:val="23"/>
                <w:szCs w:val="23"/>
              </w:rPr>
              <w:t>hm</w:t>
            </w:r>
            <w:r>
              <w:rPr>
                <w:spacing w:val="8"/>
                <w:sz w:val="23"/>
                <w:szCs w:val="23"/>
              </w:rPr>
              <w:t>²,光伏</w:t>
            </w:r>
            <w:r>
              <w:rPr>
                <w:spacing w:val="7"/>
                <w:sz w:val="23"/>
                <w:szCs w:val="23"/>
              </w:rPr>
              <w:t>板区内临时用地面积为207.2271</w:t>
            </w:r>
            <w:r>
              <w:rPr>
                <w:sz w:val="23"/>
                <w:szCs w:val="23"/>
              </w:rPr>
              <w:t>hm</w:t>
            </w:r>
            <w:r>
              <w:rPr>
                <w:spacing w:val="7"/>
                <w:sz w:val="23"/>
                <w:szCs w:val="23"/>
              </w:rPr>
              <w:t>²,</w:t>
            </w:r>
            <w:r>
              <w:rPr>
                <w:sz w:val="23"/>
                <w:szCs w:val="23"/>
              </w:rPr>
              <w:t xml:space="preserve">  </w:t>
            </w:r>
            <w:r>
              <w:rPr>
                <w:spacing w:val="5"/>
                <w:sz w:val="23"/>
                <w:szCs w:val="23"/>
              </w:rPr>
              <w:t>占用林地地类性质为一般灌木林及其他林地，塔基共114个，占用面积0.543</w:t>
            </w:r>
            <w:r>
              <w:rPr>
                <w:sz w:val="23"/>
                <w:szCs w:val="23"/>
              </w:rPr>
              <w:t>hm</w:t>
            </w:r>
            <w:r>
              <w:rPr>
                <w:spacing w:val="5"/>
                <w:sz w:val="23"/>
                <w:szCs w:val="23"/>
              </w:rPr>
              <w:t xml:space="preserve">², </w:t>
            </w:r>
            <w:r>
              <w:rPr>
                <w:spacing w:val="3"/>
                <w:sz w:val="23"/>
                <w:szCs w:val="23"/>
              </w:rPr>
              <w:t>升压站占地面积1.1014</w:t>
            </w:r>
            <w:r>
              <w:rPr>
                <w:sz w:val="23"/>
                <w:szCs w:val="23"/>
              </w:rPr>
              <w:t>hm</w:t>
            </w:r>
            <w:r>
              <w:rPr>
                <w:spacing w:val="3"/>
                <w:sz w:val="23"/>
                <w:szCs w:val="23"/>
              </w:rPr>
              <w:t>²,塔基及升压站永久占地为其他用地。永久占地</w:t>
            </w:r>
          </w:p>
          <w:p w14:paraId="70E5B8CD">
            <w:pPr>
              <w:pStyle w:val="6"/>
              <w:spacing w:before="2" w:line="380" w:lineRule="auto"/>
              <w:ind w:left="79" w:right="251" w:hanging="10"/>
              <w:rPr>
                <w:sz w:val="23"/>
                <w:szCs w:val="23"/>
              </w:rPr>
            </w:pPr>
            <w:r>
              <w:rPr>
                <w:spacing w:val="6"/>
                <w:sz w:val="23"/>
                <w:szCs w:val="23"/>
              </w:rPr>
              <w:t>1.6444</w:t>
            </w:r>
            <w:r>
              <w:rPr>
                <w:sz w:val="23"/>
                <w:szCs w:val="23"/>
              </w:rPr>
              <w:t>hm</w:t>
            </w:r>
            <w:r>
              <w:rPr>
                <w:spacing w:val="6"/>
                <w:sz w:val="23"/>
                <w:szCs w:val="23"/>
              </w:rPr>
              <w:t>²,临时占地207.2271</w:t>
            </w:r>
            <w:r>
              <w:rPr>
                <w:sz w:val="23"/>
                <w:szCs w:val="23"/>
              </w:rPr>
              <w:t>hm</w:t>
            </w:r>
            <w:r>
              <w:rPr>
                <w:spacing w:val="6"/>
                <w:sz w:val="23"/>
                <w:szCs w:val="23"/>
              </w:rPr>
              <w:t>²。合计工程及评价范围内</w:t>
            </w:r>
            <w:r>
              <w:rPr>
                <w:spacing w:val="5"/>
                <w:sz w:val="23"/>
                <w:szCs w:val="23"/>
              </w:rPr>
              <w:t>占地类型见下表。项</w:t>
            </w:r>
            <w:r>
              <w:rPr>
                <w:sz w:val="23"/>
                <w:szCs w:val="23"/>
              </w:rPr>
              <w:t xml:space="preserve"> 目建设过程中不进行新建道路，仅对现有道路转</w:t>
            </w:r>
            <w:r>
              <w:rPr>
                <w:spacing w:val="-1"/>
                <w:sz w:val="23"/>
                <w:szCs w:val="23"/>
              </w:rPr>
              <w:t>弯处进行加宽。</w:t>
            </w:r>
          </w:p>
          <w:p w14:paraId="7D3E88A3">
            <w:pPr>
              <w:pStyle w:val="6"/>
              <w:spacing w:line="208" w:lineRule="auto"/>
              <w:ind w:left="1862"/>
              <w:rPr>
                <w:sz w:val="23"/>
                <w:szCs w:val="23"/>
              </w:rPr>
            </w:pPr>
            <w:r>
              <w:rPr>
                <w:b/>
                <w:bCs/>
                <w:spacing w:val="-3"/>
                <w:sz w:val="23"/>
                <w:szCs w:val="23"/>
              </w:rPr>
              <w:t>表4-1项目区及评价区土地利用类型统计表</w:t>
            </w:r>
          </w:p>
        </w:tc>
      </w:tr>
      <w:tr w14:paraId="069A5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466" w:type="dxa"/>
            <w:vMerge w:val="continue"/>
            <w:tcBorders>
              <w:top w:val="nil"/>
              <w:bottom w:val="nil"/>
            </w:tcBorders>
            <w:textDirection w:val="tbRlV"/>
            <w:vAlign w:val="top"/>
          </w:tcPr>
          <w:p w14:paraId="1E184C28">
            <w:pPr>
              <w:rPr>
                <w:rFonts w:ascii="Arial"/>
                <w:sz w:val="21"/>
              </w:rPr>
            </w:pPr>
          </w:p>
        </w:tc>
        <w:tc>
          <w:tcPr>
            <w:tcW w:w="1864" w:type="dxa"/>
            <w:vAlign w:val="top"/>
          </w:tcPr>
          <w:p w14:paraId="3F29F53D">
            <w:pPr>
              <w:pStyle w:val="6"/>
              <w:spacing w:before="64" w:line="219" w:lineRule="auto"/>
              <w:ind w:left="558"/>
              <w:rPr>
                <w:sz w:val="21"/>
                <w:szCs w:val="21"/>
              </w:rPr>
            </w:pPr>
            <w:r>
              <w:rPr>
                <w:spacing w:val="3"/>
                <w:sz w:val="21"/>
                <w:szCs w:val="21"/>
              </w:rPr>
              <w:t>一级类型</w:t>
            </w:r>
          </w:p>
        </w:tc>
        <w:tc>
          <w:tcPr>
            <w:tcW w:w="2294" w:type="dxa"/>
            <w:gridSpan w:val="2"/>
            <w:vAlign w:val="top"/>
          </w:tcPr>
          <w:p w14:paraId="3CF9244C">
            <w:pPr>
              <w:pStyle w:val="6"/>
              <w:spacing w:before="64" w:line="219" w:lineRule="auto"/>
              <w:ind w:left="764"/>
              <w:rPr>
                <w:sz w:val="21"/>
                <w:szCs w:val="21"/>
              </w:rPr>
            </w:pPr>
            <w:r>
              <w:rPr>
                <w:spacing w:val="3"/>
                <w:sz w:val="21"/>
                <w:szCs w:val="21"/>
              </w:rPr>
              <w:t>二级类型</w:t>
            </w:r>
          </w:p>
        </w:tc>
        <w:tc>
          <w:tcPr>
            <w:tcW w:w="2094" w:type="dxa"/>
            <w:gridSpan w:val="2"/>
            <w:vAlign w:val="top"/>
          </w:tcPr>
          <w:p w14:paraId="5FFB433B">
            <w:pPr>
              <w:pStyle w:val="6"/>
              <w:spacing w:before="65" w:line="220" w:lineRule="auto"/>
              <w:ind w:left="240"/>
              <w:rPr>
                <w:sz w:val="21"/>
                <w:szCs w:val="21"/>
              </w:rPr>
            </w:pPr>
            <w:r>
              <w:rPr>
                <w:spacing w:val="18"/>
                <w:sz w:val="21"/>
                <w:szCs w:val="21"/>
              </w:rPr>
              <w:t>项目区面积(</w:t>
            </w:r>
            <w:r>
              <w:rPr>
                <w:sz w:val="21"/>
                <w:szCs w:val="21"/>
              </w:rPr>
              <w:t>hm</w:t>
            </w:r>
            <w:r>
              <w:rPr>
                <w:spacing w:val="18"/>
                <w:sz w:val="21"/>
                <w:szCs w:val="21"/>
              </w:rPr>
              <w:t>²)</w:t>
            </w:r>
          </w:p>
        </w:tc>
        <w:tc>
          <w:tcPr>
            <w:tcW w:w="2084" w:type="dxa"/>
            <w:vAlign w:val="top"/>
          </w:tcPr>
          <w:p w14:paraId="2CBF61B3">
            <w:pPr>
              <w:pStyle w:val="6"/>
              <w:spacing w:before="62" w:line="218" w:lineRule="auto"/>
              <w:ind w:left="236"/>
              <w:rPr>
                <w:sz w:val="21"/>
                <w:szCs w:val="21"/>
              </w:rPr>
            </w:pPr>
            <w:r>
              <w:rPr>
                <w:spacing w:val="18"/>
                <w:sz w:val="21"/>
                <w:szCs w:val="21"/>
              </w:rPr>
              <w:t>评价区面积(</w:t>
            </w:r>
            <w:r>
              <w:rPr>
                <w:sz w:val="21"/>
                <w:szCs w:val="21"/>
              </w:rPr>
              <w:t>hm</w:t>
            </w:r>
            <w:r>
              <w:rPr>
                <w:spacing w:val="18"/>
                <w:sz w:val="21"/>
                <w:szCs w:val="21"/>
              </w:rPr>
              <w:t>²)</w:t>
            </w:r>
          </w:p>
        </w:tc>
        <w:tc>
          <w:tcPr>
            <w:tcW w:w="168" w:type="dxa"/>
            <w:tcBorders>
              <w:top w:val="nil"/>
              <w:bottom w:val="nil"/>
            </w:tcBorders>
            <w:vAlign w:val="top"/>
          </w:tcPr>
          <w:p w14:paraId="0D333641">
            <w:pPr>
              <w:rPr>
                <w:rFonts w:ascii="Arial"/>
                <w:sz w:val="21"/>
              </w:rPr>
            </w:pPr>
          </w:p>
        </w:tc>
      </w:tr>
      <w:tr w14:paraId="29FDA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466" w:type="dxa"/>
            <w:vMerge w:val="continue"/>
            <w:tcBorders>
              <w:top w:val="nil"/>
              <w:bottom w:val="nil"/>
            </w:tcBorders>
            <w:textDirection w:val="tbRlV"/>
            <w:vAlign w:val="top"/>
          </w:tcPr>
          <w:p w14:paraId="6BF1EC07">
            <w:pPr>
              <w:rPr>
                <w:rFonts w:ascii="Arial"/>
                <w:sz w:val="21"/>
              </w:rPr>
            </w:pPr>
          </w:p>
        </w:tc>
        <w:tc>
          <w:tcPr>
            <w:tcW w:w="1864" w:type="dxa"/>
            <w:vAlign w:val="top"/>
          </w:tcPr>
          <w:p w14:paraId="4B4B8AB7">
            <w:pPr>
              <w:pStyle w:val="6"/>
              <w:spacing w:before="74" w:line="219" w:lineRule="auto"/>
              <w:ind w:left="658"/>
              <w:rPr>
                <w:sz w:val="21"/>
                <w:szCs w:val="21"/>
              </w:rPr>
            </w:pPr>
            <w:r>
              <w:rPr>
                <w:spacing w:val="-2"/>
                <w:sz w:val="21"/>
                <w:szCs w:val="21"/>
              </w:rPr>
              <w:t>04草地</w:t>
            </w:r>
          </w:p>
        </w:tc>
        <w:tc>
          <w:tcPr>
            <w:tcW w:w="2294" w:type="dxa"/>
            <w:gridSpan w:val="2"/>
            <w:vAlign w:val="top"/>
          </w:tcPr>
          <w:p w14:paraId="46F3A340">
            <w:pPr>
              <w:pStyle w:val="6"/>
              <w:spacing w:before="74" w:line="219" w:lineRule="auto"/>
              <w:ind w:left="604"/>
              <w:rPr>
                <w:sz w:val="21"/>
                <w:szCs w:val="21"/>
              </w:rPr>
            </w:pPr>
            <w:r>
              <w:rPr>
                <w:spacing w:val="1"/>
                <w:sz w:val="21"/>
                <w:szCs w:val="21"/>
              </w:rPr>
              <w:t>043其它草地</w:t>
            </w:r>
          </w:p>
        </w:tc>
        <w:tc>
          <w:tcPr>
            <w:tcW w:w="2094" w:type="dxa"/>
            <w:gridSpan w:val="2"/>
            <w:vAlign w:val="top"/>
          </w:tcPr>
          <w:p w14:paraId="05C410CD">
            <w:pPr>
              <w:pStyle w:val="6"/>
              <w:spacing w:before="95" w:line="205" w:lineRule="auto"/>
              <w:ind w:left="710"/>
              <w:rPr>
                <w:sz w:val="21"/>
                <w:szCs w:val="21"/>
              </w:rPr>
            </w:pPr>
            <w:r>
              <w:rPr>
                <w:spacing w:val="-3"/>
                <w:sz w:val="21"/>
                <w:szCs w:val="21"/>
              </w:rPr>
              <w:t>128.897</w:t>
            </w:r>
          </w:p>
        </w:tc>
        <w:tc>
          <w:tcPr>
            <w:tcW w:w="2084" w:type="dxa"/>
            <w:vAlign w:val="top"/>
          </w:tcPr>
          <w:p w14:paraId="55C64655">
            <w:pPr>
              <w:pStyle w:val="6"/>
              <w:spacing w:before="95" w:line="205" w:lineRule="auto"/>
              <w:ind w:left="806"/>
              <w:rPr>
                <w:sz w:val="21"/>
                <w:szCs w:val="21"/>
              </w:rPr>
            </w:pPr>
            <w:r>
              <w:rPr>
                <w:spacing w:val="-2"/>
                <w:sz w:val="21"/>
                <w:szCs w:val="21"/>
              </w:rPr>
              <w:t>589.8</w:t>
            </w:r>
          </w:p>
        </w:tc>
        <w:tc>
          <w:tcPr>
            <w:tcW w:w="168" w:type="dxa"/>
            <w:tcBorders>
              <w:top w:val="nil"/>
              <w:bottom w:val="nil"/>
            </w:tcBorders>
            <w:vAlign w:val="top"/>
          </w:tcPr>
          <w:p w14:paraId="31645893">
            <w:pPr>
              <w:rPr>
                <w:rFonts w:ascii="Arial"/>
                <w:sz w:val="21"/>
              </w:rPr>
            </w:pPr>
          </w:p>
        </w:tc>
      </w:tr>
      <w:tr w14:paraId="290FA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66" w:type="dxa"/>
            <w:vMerge w:val="continue"/>
            <w:tcBorders>
              <w:top w:val="nil"/>
              <w:bottom w:val="nil"/>
            </w:tcBorders>
            <w:textDirection w:val="tbRlV"/>
            <w:vAlign w:val="top"/>
          </w:tcPr>
          <w:p w14:paraId="4591C16C">
            <w:pPr>
              <w:rPr>
                <w:rFonts w:ascii="Arial"/>
                <w:sz w:val="21"/>
              </w:rPr>
            </w:pPr>
          </w:p>
        </w:tc>
        <w:tc>
          <w:tcPr>
            <w:tcW w:w="1864" w:type="dxa"/>
            <w:vAlign w:val="top"/>
          </w:tcPr>
          <w:p w14:paraId="63522BA4">
            <w:pPr>
              <w:pStyle w:val="6"/>
              <w:spacing w:before="85" w:line="219" w:lineRule="auto"/>
              <w:ind w:left="238"/>
              <w:rPr>
                <w:sz w:val="21"/>
                <w:szCs w:val="21"/>
              </w:rPr>
            </w:pPr>
            <w:r>
              <w:rPr>
                <w:spacing w:val="1"/>
                <w:sz w:val="21"/>
                <w:szCs w:val="21"/>
              </w:rPr>
              <w:t>10交通运输用地</w:t>
            </w:r>
          </w:p>
        </w:tc>
        <w:tc>
          <w:tcPr>
            <w:tcW w:w="2294" w:type="dxa"/>
            <w:gridSpan w:val="2"/>
            <w:vAlign w:val="top"/>
          </w:tcPr>
          <w:p w14:paraId="021DC54E">
            <w:pPr>
              <w:pStyle w:val="6"/>
              <w:spacing w:before="84" w:line="219" w:lineRule="auto"/>
              <w:ind w:left="554"/>
              <w:rPr>
                <w:sz w:val="21"/>
                <w:szCs w:val="21"/>
              </w:rPr>
            </w:pPr>
            <w:r>
              <w:rPr>
                <w:spacing w:val="1"/>
                <w:sz w:val="21"/>
                <w:szCs w:val="21"/>
              </w:rPr>
              <w:t>1006农村道路</w:t>
            </w:r>
          </w:p>
        </w:tc>
        <w:tc>
          <w:tcPr>
            <w:tcW w:w="2094" w:type="dxa"/>
            <w:gridSpan w:val="2"/>
            <w:vAlign w:val="top"/>
          </w:tcPr>
          <w:p w14:paraId="169E69BE">
            <w:pPr>
              <w:pStyle w:val="6"/>
              <w:spacing w:before="106" w:line="214" w:lineRule="auto"/>
              <w:ind w:left="870"/>
              <w:rPr>
                <w:sz w:val="21"/>
                <w:szCs w:val="21"/>
              </w:rPr>
            </w:pPr>
            <w:r>
              <w:rPr>
                <w:spacing w:val="-3"/>
                <w:sz w:val="21"/>
                <w:szCs w:val="21"/>
              </w:rPr>
              <w:t>7.01</w:t>
            </w:r>
          </w:p>
        </w:tc>
        <w:tc>
          <w:tcPr>
            <w:tcW w:w="2084" w:type="dxa"/>
            <w:vAlign w:val="top"/>
          </w:tcPr>
          <w:p w14:paraId="151553AB">
            <w:pPr>
              <w:pStyle w:val="6"/>
              <w:spacing w:before="106" w:line="214" w:lineRule="auto"/>
              <w:ind w:left="806"/>
              <w:rPr>
                <w:sz w:val="21"/>
                <w:szCs w:val="21"/>
              </w:rPr>
            </w:pPr>
            <w:r>
              <w:rPr>
                <w:spacing w:val="-2"/>
                <w:sz w:val="21"/>
                <w:szCs w:val="21"/>
              </w:rPr>
              <w:t>67.21</w:t>
            </w:r>
          </w:p>
        </w:tc>
        <w:tc>
          <w:tcPr>
            <w:tcW w:w="168" w:type="dxa"/>
            <w:tcBorders>
              <w:top w:val="nil"/>
              <w:bottom w:val="nil"/>
            </w:tcBorders>
            <w:vAlign w:val="top"/>
          </w:tcPr>
          <w:p w14:paraId="52D7C80F">
            <w:pPr>
              <w:rPr>
                <w:rFonts w:ascii="Arial"/>
                <w:sz w:val="21"/>
              </w:rPr>
            </w:pPr>
          </w:p>
        </w:tc>
      </w:tr>
      <w:tr w14:paraId="32375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466" w:type="dxa"/>
            <w:vMerge w:val="continue"/>
            <w:tcBorders>
              <w:top w:val="nil"/>
              <w:bottom w:val="nil"/>
            </w:tcBorders>
            <w:textDirection w:val="tbRlV"/>
            <w:vAlign w:val="top"/>
          </w:tcPr>
          <w:p w14:paraId="6B4E87B5">
            <w:pPr>
              <w:rPr>
                <w:rFonts w:ascii="Arial"/>
                <w:sz w:val="21"/>
              </w:rPr>
            </w:pPr>
          </w:p>
        </w:tc>
        <w:tc>
          <w:tcPr>
            <w:tcW w:w="1864" w:type="dxa"/>
            <w:vAlign w:val="top"/>
          </w:tcPr>
          <w:p w14:paraId="3794D36E">
            <w:pPr>
              <w:pStyle w:val="6"/>
              <w:spacing w:before="76" w:line="221" w:lineRule="auto"/>
              <w:ind w:left="448"/>
              <w:rPr>
                <w:sz w:val="21"/>
                <w:szCs w:val="21"/>
              </w:rPr>
            </w:pPr>
            <w:r>
              <w:rPr>
                <w:spacing w:val="1"/>
                <w:sz w:val="21"/>
                <w:szCs w:val="21"/>
              </w:rPr>
              <w:t>12其它土地</w:t>
            </w:r>
          </w:p>
        </w:tc>
        <w:tc>
          <w:tcPr>
            <w:tcW w:w="2294" w:type="dxa"/>
            <w:gridSpan w:val="2"/>
            <w:vAlign w:val="top"/>
          </w:tcPr>
          <w:p w14:paraId="4528D9C4">
            <w:pPr>
              <w:pStyle w:val="6"/>
              <w:spacing w:before="76" w:line="220" w:lineRule="auto"/>
              <w:ind w:left="665"/>
              <w:rPr>
                <w:sz w:val="21"/>
                <w:szCs w:val="21"/>
              </w:rPr>
            </w:pPr>
            <w:r>
              <w:rPr>
                <w:spacing w:val="1"/>
                <w:sz w:val="21"/>
                <w:szCs w:val="21"/>
              </w:rPr>
              <w:t>1206裸土地</w:t>
            </w:r>
          </w:p>
        </w:tc>
        <w:tc>
          <w:tcPr>
            <w:tcW w:w="2094" w:type="dxa"/>
            <w:gridSpan w:val="2"/>
            <w:vAlign w:val="top"/>
          </w:tcPr>
          <w:p w14:paraId="3F62107D">
            <w:pPr>
              <w:pStyle w:val="6"/>
              <w:spacing w:before="96" w:line="204" w:lineRule="auto"/>
              <w:ind w:left="1030"/>
              <w:rPr>
                <w:sz w:val="21"/>
                <w:szCs w:val="21"/>
              </w:rPr>
            </w:pPr>
            <w:r>
              <w:rPr>
                <w:sz w:val="21"/>
                <w:szCs w:val="21"/>
              </w:rPr>
              <w:t>0</w:t>
            </w:r>
          </w:p>
        </w:tc>
        <w:tc>
          <w:tcPr>
            <w:tcW w:w="2084" w:type="dxa"/>
            <w:vAlign w:val="top"/>
          </w:tcPr>
          <w:p w14:paraId="446DCD6E">
            <w:pPr>
              <w:pStyle w:val="6"/>
              <w:spacing w:before="96" w:line="204" w:lineRule="auto"/>
              <w:ind w:left="806"/>
              <w:rPr>
                <w:sz w:val="21"/>
                <w:szCs w:val="21"/>
              </w:rPr>
            </w:pPr>
            <w:r>
              <w:rPr>
                <w:spacing w:val="-4"/>
                <w:sz w:val="21"/>
                <w:szCs w:val="21"/>
              </w:rPr>
              <w:t>171.4</w:t>
            </w:r>
          </w:p>
        </w:tc>
        <w:tc>
          <w:tcPr>
            <w:tcW w:w="168" w:type="dxa"/>
            <w:tcBorders>
              <w:top w:val="nil"/>
              <w:bottom w:val="nil"/>
            </w:tcBorders>
            <w:vAlign w:val="top"/>
          </w:tcPr>
          <w:p w14:paraId="6D3C1626">
            <w:pPr>
              <w:rPr>
                <w:rFonts w:ascii="Arial"/>
                <w:sz w:val="21"/>
              </w:rPr>
            </w:pPr>
          </w:p>
        </w:tc>
      </w:tr>
      <w:tr w14:paraId="79812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466" w:type="dxa"/>
            <w:vMerge w:val="continue"/>
            <w:tcBorders>
              <w:top w:val="nil"/>
              <w:bottom w:val="nil"/>
            </w:tcBorders>
            <w:textDirection w:val="tbRlV"/>
            <w:vAlign w:val="top"/>
          </w:tcPr>
          <w:p w14:paraId="25E98FE4">
            <w:pPr>
              <w:rPr>
                <w:rFonts w:ascii="Arial"/>
                <w:sz w:val="21"/>
              </w:rPr>
            </w:pPr>
          </w:p>
        </w:tc>
        <w:tc>
          <w:tcPr>
            <w:tcW w:w="1864" w:type="dxa"/>
            <w:vMerge w:val="restart"/>
            <w:tcBorders>
              <w:bottom w:val="nil"/>
            </w:tcBorders>
            <w:vAlign w:val="top"/>
          </w:tcPr>
          <w:p w14:paraId="2F605060">
            <w:pPr>
              <w:pStyle w:val="6"/>
              <w:spacing w:before="246" w:line="219" w:lineRule="auto"/>
              <w:ind w:left="658"/>
              <w:rPr>
                <w:sz w:val="21"/>
                <w:szCs w:val="21"/>
              </w:rPr>
            </w:pPr>
            <w:r>
              <w:rPr>
                <w:spacing w:val="-2"/>
                <w:sz w:val="21"/>
                <w:szCs w:val="21"/>
              </w:rPr>
              <w:t>03林地</w:t>
            </w:r>
          </w:p>
        </w:tc>
        <w:tc>
          <w:tcPr>
            <w:tcW w:w="2294" w:type="dxa"/>
            <w:gridSpan w:val="2"/>
            <w:vAlign w:val="top"/>
          </w:tcPr>
          <w:p w14:paraId="65692D0E">
            <w:pPr>
              <w:pStyle w:val="6"/>
              <w:spacing w:before="76" w:line="219" w:lineRule="auto"/>
              <w:ind w:left="554"/>
              <w:rPr>
                <w:sz w:val="21"/>
                <w:szCs w:val="21"/>
              </w:rPr>
            </w:pPr>
            <w:r>
              <w:rPr>
                <w:spacing w:val="-2"/>
                <w:sz w:val="21"/>
                <w:szCs w:val="21"/>
              </w:rPr>
              <w:t>0301乔木林地</w:t>
            </w:r>
          </w:p>
        </w:tc>
        <w:tc>
          <w:tcPr>
            <w:tcW w:w="2094" w:type="dxa"/>
            <w:gridSpan w:val="2"/>
            <w:vAlign w:val="top"/>
          </w:tcPr>
          <w:p w14:paraId="18973A96">
            <w:pPr>
              <w:pStyle w:val="6"/>
              <w:spacing w:before="98" w:line="203" w:lineRule="auto"/>
              <w:ind w:left="1030"/>
              <w:rPr>
                <w:sz w:val="21"/>
                <w:szCs w:val="21"/>
              </w:rPr>
            </w:pPr>
            <w:r>
              <w:rPr>
                <w:sz w:val="21"/>
                <w:szCs w:val="21"/>
              </w:rPr>
              <w:t>0</w:t>
            </w:r>
          </w:p>
        </w:tc>
        <w:tc>
          <w:tcPr>
            <w:tcW w:w="2084" w:type="dxa"/>
            <w:vAlign w:val="top"/>
          </w:tcPr>
          <w:p w14:paraId="5BD47B58">
            <w:pPr>
              <w:pStyle w:val="6"/>
              <w:spacing w:before="98" w:line="203" w:lineRule="auto"/>
              <w:ind w:left="756"/>
              <w:rPr>
                <w:sz w:val="21"/>
                <w:szCs w:val="21"/>
              </w:rPr>
            </w:pPr>
            <w:r>
              <w:rPr>
                <w:spacing w:val="-2"/>
                <w:sz w:val="21"/>
                <w:szCs w:val="21"/>
              </w:rPr>
              <w:t>718.29</w:t>
            </w:r>
          </w:p>
        </w:tc>
        <w:tc>
          <w:tcPr>
            <w:tcW w:w="168" w:type="dxa"/>
            <w:tcBorders>
              <w:top w:val="nil"/>
              <w:bottom w:val="nil"/>
            </w:tcBorders>
            <w:vAlign w:val="top"/>
          </w:tcPr>
          <w:p w14:paraId="059756A9">
            <w:pPr>
              <w:rPr>
                <w:rFonts w:ascii="Arial"/>
                <w:sz w:val="21"/>
              </w:rPr>
            </w:pPr>
          </w:p>
        </w:tc>
      </w:tr>
      <w:tr w14:paraId="38600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66" w:type="dxa"/>
            <w:vMerge w:val="continue"/>
            <w:tcBorders>
              <w:top w:val="nil"/>
              <w:bottom w:val="nil"/>
            </w:tcBorders>
            <w:textDirection w:val="tbRlV"/>
            <w:vAlign w:val="top"/>
          </w:tcPr>
          <w:p w14:paraId="53881F0E">
            <w:pPr>
              <w:rPr>
                <w:rFonts w:ascii="Arial"/>
                <w:sz w:val="21"/>
              </w:rPr>
            </w:pPr>
          </w:p>
        </w:tc>
        <w:tc>
          <w:tcPr>
            <w:tcW w:w="1864" w:type="dxa"/>
            <w:vMerge w:val="continue"/>
            <w:tcBorders>
              <w:top w:val="nil"/>
            </w:tcBorders>
            <w:vAlign w:val="top"/>
          </w:tcPr>
          <w:p w14:paraId="730AE7B8">
            <w:pPr>
              <w:rPr>
                <w:rFonts w:ascii="Arial"/>
                <w:sz w:val="21"/>
              </w:rPr>
            </w:pPr>
          </w:p>
        </w:tc>
        <w:tc>
          <w:tcPr>
            <w:tcW w:w="2294" w:type="dxa"/>
            <w:gridSpan w:val="2"/>
            <w:vAlign w:val="top"/>
          </w:tcPr>
          <w:p w14:paraId="208FCBDD">
            <w:pPr>
              <w:pStyle w:val="6"/>
              <w:spacing w:before="77" w:line="219" w:lineRule="auto"/>
              <w:ind w:left="554"/>
              <w:rPr>
                <w:sz w:val="21"/>
                <w:szCs w:val="21"/>
              </w:rPr>
            </w:pPr>
            <w:r>
              <w:rPr>
                <w:spacing w:val="-2"/>
                <w:sz w:val="21"/>
                <w:szCs w:val="21"/>
              </w:rPr>
              <w:t>0307灌木林地</w:t>
            </w:r>
          </w:p>
        </w:tc>
        <w:tc>
          <w:tcPr>
            <w:tcW w:w="2094" w:type="dxa"/>
            <w:gridSpan w:val="2"/>
            <w:vAlign w:val="top"/>
          </w:tcPr>
          <w:p w14:paraId="4B7A1468">
            <w:pPr>
              <w:pStyle w:val="6"/>
              <w:spacing w:before="99" w:line="203" w:lineRule="auto"/>
              <w:ind w:left="821"/>
              <w:rPr>
                <w:sz w:val="21"/>
                <w:szCs w:val="21"/>
              </w:rPr>
            </w:pPr>
            <w:r>
              <w:rPr>
                <w:spacing w:val="-2"/>
                <w:sz w:val="21"/>
                <w:szCs w:val="21"/>
              </w:rPr>
              <w:t>37.64</w:t>
            </w:r>
          </w:p>
        </w:tc>
        <w:tc>
          <w:tcPr>
            <w:tcW w:w="2084" w:type="dxa"/>
            <w:vAlign w:val="top"/>
          </w:tcPr>
          <w:p w14:paraId="224C7EC9">
            <w:pPr>
              <w:pStyle w:val="6"/>
              <w:spacing w:before="99" w:line="203" w:lineRule="auto"/>
              <w:ind w:left="756"/>
              <w:rPr>
                <w:sz w:val="21"/>
                <w:szCs w:val="21"/>
              </w:rPr>
            </w:pPr>
            <w:r>
              <w:rPr>
                <w:spacing w:val="-4"/>
                <w:sz w:val="21"/>
                <w:szCs w:val="21"/>
              </w:rPr>
              <w:t>178.58</w:t>
            </w:r>
          </w:p>
        </w:tc>
        <w:tc>
          <w:tcPr>
            <w:tcW w:w="168" w:type="dxa"/>
            <w:tcBorders>
              <w:top w:val="nil"/>
              <w:bottom w:val="nil"/>
            </w:tcBorders>
            <w:vAlign w:val="top"/>
          </w:tcPr>
          <w:p w14:paraId="5B62497C">
            <w:pPr>
              <w:rPr>
                <w:rFonts w:ascii="Arial"/>
                <w:sz w:val="21"/>
              </w:rPr>
            </w:pPr>
          </w:p>
        </w:tc>
      </w:tr>
      <w:tr w14:paraId="5ACE8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466" w:type="dxa"/>
            <w:vMerge w:val="continue"/>
            <w:tcBorders>
              <w:top w:val="nil"/>
              <w:bottom w:val="nil"/>
            </w:tcBorders>
            <w:textDirection w:val="tbRlV"/>
            <w:vAlign w:val="top"/>
          </w:tcPr>
          <w:p w14:paraId="01017C2A">
            <w:pPr>
              <w:rPr>
                <w:rFonts w:ascii="Arial"/>
                <w:sz w:val="21"/>
              </w:rPr>
            </w:pPr>
          </w:p>
        </w:tc>
        <w:tc>
          <w:tcPr>
            <w:tcW w:w="1864" w:type="dxa"/>
            <w:vAlign w:val="top"/>
          </w:tcPr>
          <w:p w14:paraId="6753D686">
            <w:pPr>
              <w:pStyle w:val="6"/>
              <w:spacing w:before="66" w:line="219" w:lineRule="auto"/>
              <w:ind w:left="658"/>
              <w:rPr>
                <w:sz w:val="21"/>
                <w:szCs w:val="21"/>
              </w:rPr>
            </w:pPr>
            <w:r>
              <w:rPr>
                <w:spacing w:val="-2"/>
                <w:sz w:val="21"/>
                <w:szCs w:val="21"/>
              </w:rPr>
              <w:t>01耕地</w:t>
            </w:r>
          </w:p>
        </w:tc>
        <w:tc>
          <w:tcPr>
            <w:tcW w:w="2294" w:type="dxa"/>
            <w:gridSpan w:val="2"/>
            <w:vAlign w:val="top"/>
          </w:tcPr>
          <w:p w14:paraId="13895D41">
            <w:pPr>
              <w:pStyle w:val="6"/>
              <w:spacing w:before="68" w:line="221" w:lineRule="auto"/>
              <w:ind w:left="764"/>
              <w:rPr>
                <w:sz w:val="21"/>
                <w:szCs w:val="21"/>
              </w:rPr>
            </w:pPr>
            <w:r>
              <w:rPr>
                <w:spacing w:val="-2"/>
                <w:sz w:val="21"/>
                <w:szCs w:val="21"/>
              </w:rPr>
              <w:t>0103旱地</w:t>
            </w:r>
          </w:p>
        </w:tc>
        <w:tc>
          <w:tcPr>
            <w:tcW w:w="2094" w:type="dxa"/>
            <w:gridSpan w:val="2"/>
            <w:vAlign w:val="top"/>
          </w:tcPr>
          <w:p w14:paraId="1B89B4E9">
            <w:pPr>
              <w:pStyle w:val="6"/>
              <w:spacing w:before="89" w:line="203" w:lineRule="auto"/>
              <w:ind w:left="710"/>
              <w:rPr>
                <w:sz w:val="21"/>
                <w:szCs w:val="21"/>
              </w:rPr>
            </w:pPr>
            <w:r>
              <w:rPr>
                <w:spacing w:val="-2"/>
                <w:sz w:val="21"/>
                <w:szCs w:val="21"/>
              </w:rPr>
              <w:t>35.3245</w:t>
            </w:r>
          </w:p>
        </w:tc>
        <w:tc>
          <w:tcPr>
            <w:tcW w:w="2084" w:type="dxa"/>
            <w:vAlign w:val="top"/>
          </w:tcPr>
          <w:p w14:paraId="7A13DC2C">
            <w:pPr>
              <w:pStyle w:val="6"/>
              <w:spacing w:before="89" w:line="203" w:lineRule="auto"/>
              <w:ind w:left="806"/>
              <w:rPr>
                <w:sz w:val="21"/>
                <w:szCs w:val="21"/>
              </w:rPr>
            </w:pPr>
            <w:r>
              <w:rPr>
                <w:spacing w:val="-2"/>
                <w:sz w:val="21"/>
                <w:szCs w:val="21"/>
              </w:rPr>
              <w:t>214.8</w:t>
            </w:r>
          </w:p>
        </w:tc>
        <w:tc>
          <w:tcPr>
            <w:tcW w:w="168" w:type="dxa"/>
            <w:tcBorders>
              <w:top w:val="nil"/>
              <w:bottom w:val="nil"/>
            </w:tcBorders>
            <w:vAlign w:val="top"/>
          </w:tcPr>
          <w:p w14:paraId="7DAA5A88">
            <w:pPr>
              <w:rPr>
                <w:rFonts w:ascii="Arial"/>
                <w:sz w:val="21"/>
              </w:rPr>
            </w:pPr>
          </w:p>
        </w:tc>
      </w:tr>
      <w:tr w14:paraId="3562D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466" w:type="dxa"/>
            <w:vMerge w:val="continue"/>
            <w:tcBorders>
              <w:top w:val="nil"/>
              <w:bottom w:val="nil"/>
            </w:tcBorders>
            <w:textDirection w:val="tbRlV"/>
            <w:vAlign w:val="top"/>
          </w:tcPr>
          <w:p w14:paraId="673489FF">
            <w:pPr>
              <w:rPr>
                <w:rFonts w:ascii="Arial"/>
                <w:sz w:val="21"/>
              </w:rPr>
            </w:pPr>
          </w:p>
        </w:tc>
        <w:tc>
          <w:tcPr>
            <w:tcW w:w="1864" w:type="dxa"/>
            <w:vAlign w:val="top"/>
          </w:tcPr>
          <w:p w14:paraId="0A2982E0">
            <w:pPr>
              <w:pStyle w:val="6"/>
              <w:spacing w:before="78" w:line="220" w:lineRule="auto"/>
              <w:ind w:left="448"/>
              <w:rPr>
                <w:sz w:val="21"/>
                <w:szCs w:val="21"/>
              </w:rPr>
            </w:pPr>
            <w:r>
              <w:rPr>
                <w:spacing w:val="-2"/>
                <w:sz w:val="21"/>
                <w:szCs w:val="21"/>
              </w:rPr>
              <w:t>07住宅用地</w:t>
            </w:r>
          </w:p>
        </w:tc>
        <w:tc>
          <w:tcPr>
            <w:tcW w:w="2294" w:type="dxa"/>
            <w:gridSpan w:val="2"/>
            <w:vAlign w:val="top"/>
          </w:tcPr>
          <w:p w14:paraId="44135AAC">
            <w:pPr>
              <w:pStyle w:val="6"/>
              <w:spacing w:before="76" w:line="219" w:lineRule="auto"/>
              <w:ind w:left="454"/>
              <w:rPr>
                <w:sz w:val="21"/>
                <w:szCs w:val="21"/>
              </w:rPr>
            </w:pPr>
            <w:r>
              <w:rPr>
                <w:spacing w:val="-1"/>
                <w:sz w:val="21"/>
                <w:szCs w:val="21"/>
              </w:rPr>
              <w:t>0702农村宅基地</w:t>
            </w:r>
          </w:p>
        </w:tc>
        <w:tc>
          <w:tcPr>
            <w:tcW w:w="2094" w:type="dxa"/>
            <w:gridSpan w:val="2"/>
            <w:vAlign w:val="top"/>
          </w:tcPr>
          <w:p w14:paraId="451A4279">
            <w:pPr>
              <w:pStyle w:val="6"/>
              <w:spacing w:before="98" w:line="203" w:lineRule="auto"/>
              <w:ind w:left="1030"/>
              <w:rPr>
                <w:sz w:val="21"/>
                <w:szCs w:val="21"/>
              </w:rPr>
            </w:pPr>
            <w:r>
              <w:rPr>
                <w:sz w:val="21"/>
                <w:szCs w:val="21"/>
              </w:rPr>
              <w:t>0</w:t>
            </w:r>
          </w:p>
        </w:tc>
        <w:tc>
          <w:tcPr>
            <w:tcW w:w="2084" w:type="dxa"/>
            <w:vAlign w:val="top"/>
          </w:tcPr>
          <w:p w14:paraId="5D7FE1EE">
            <w:pPr>
              <w:pStyle w:val="6"/>
              <w:spacing w:before="98" w:line="203" w:lineRule="auto"/>
              <w:ind w:left="756"/>
              <w:rPr>
                <w:sz w:val="21"/>
                <w:szCs w:val="21"/>
              </w:rPr>
            </w:pPr>
            <w:r>
              <w:rPr>
                <w:spacing w:val="-4"/>
                <w:sz w:val="21"/>
                <w:szCs w:val="21"/>
              </w:rPr>
              <w:t>131.28</w:t>
            </w:r>
          </w:p>
        </w:tc>
        <w:tc>
          <w:tcPr>
            <w:tcW w:w="168" w:type="dxa"/>
            <w:tcBorders>
              <w:top w:val="nil"/>
              <w:bottom w:val="nil"/>
            </w:tcBorders>
            <w:vAlign w:val="top"/>
          </w:tcPr>
          <w:p w14:paraId="533E3807">
            <w:pPr>
              <w:rPr>
                <w:rFonts w:ascii="Arial"/>
                <w:sz w:val="21"/>
              </w:rPr>
            </w:pPr>
          </w:p>
        </w:tc>
      </w:tr>
      <w:tr w14:paraId="6DC76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66" w:type="dxa"/>
            <w:vMerge w:val="continue"/>
            <w:tcBorders>
              <w:top w:val="nil"/>
              <w:bottom w:val="nil"/>
            </w:tcBorders>
            <w:textDirection w:val="tbRlV"/>
            <w:vAlign w:val="top"/>
          </w:tcPr>
          <w:p w14:paraId="42AF2DF8">
            <w:pPr>
              <w:rPr>
                <w:rFonts w:ascii="Arial"/>
                <w:sz w:val="21"/>
              </w:rPr>
            </w:pPr>
          </w:p>
        </w:tc>
        <w:tc>
          <w:tcPr>
            <w:tcW w:w="4158" w:type="dxa"/>
            <w:gridSpan w:val="3"/>
            <w:vAlign w:val="top"/>
          </w:tcPr>
          <w:p w14:paraId="2E970BB3">
            <w:pPr>
              <w:pStyle w:val="6"/>
              <w:spacing w:before="89" w:line="221" w:lineRule="auto"/>
              <w:ind w:left="1908"/>
              <w:rPr>
                <w:sz w:val="21"/>
                <w:szCs w:val="21"/>
              </w:rPr>
            </w:pPr>
            <w:r>
              <w:rPr>
                <w:spacing w:val="-3"/>
                <w:sz w:val="21"/>
                <w:szCs w:val="21"/>
              </w:rPr>
              <w:t>合计</w:t>
            </w:r>
          </w:p>
        </w:tc>
        <w:tc>
          <w:tcPr>
            <w:tcW w:w="2094" w:type="dxa"/>
            <w:gridSpan w:val="2"/>
            <w:vAlign w:val="top"/>
          </w:tcPr>
          <w:p w14:paraId="4D713C15">
            <w:pPr>
              <w:pStyle w:val="6"/>
              <w:spacing w:before="109" w:line="211" w:lineRule="auto"/>
              <w:ind w:left="660"/>
              <w:rPr>
                <w:sz w:val="21"/>
                <w:szCs w:val="21"/>
              </w:rPr>
            </w:pPr>
            <w:r>
              <w:rPr>
                <w:spacing w:val="-2"/>
                <w:sz w:val="21"/>
                <w:szCs w:val="21"/>
              </w:rPr>
              <w:t>208.8715</w:t>
            </w:r>
          </w:p>
        </w:tc>
        <w:tc>
          <w:tcPr>
            <w:tcW w:w="2084" w:type="dxa"/>
            <w:vAlign w:val="top"/>
          </w:tcPr>
          <w:p w14:paraId="7C99DE3B">
            <w:pPr>
              <w:pStyle w:val="6"/>
              <w:spacing w:before="109" w:line="211" w:lineRule="auto"/>
              <w:ind w:left="706"/>
              <w:rPr>
                <w:sz w:val="21"/>
                <w:szCs w:val="21"/>
              </w:rPr>
            </w:pPr>
            <w:r>
              <w:rPr>
                <w:spacing w:val="-3"/>
                <w:sz w:val="21"/>
                <w:szCs w:val="21"/>
              </w:rPr>
              <w:t>1971.36</w:t>
            </w:r>
          </w:p>
        </w:tc>
        <w:tc>
          <w:tcPr>
            <w:tcW w:w="168" w:type="dxa"/>
            <w:tcBorders>
              <w:top w:val="nil"/>
              <w:bottom w:val="nil"/>
            </w:tcBorders>
            <w:vAlign w:val="top"/>
          </w:tcPr>
          <w:p w14:paraId="257F38D1">
            <w:pPr>
              <w:rPr>
                <w:rFonts w:ascii="Arial"/>
                <w:sz w:val="21"/>
              </w:rPr>
            </w:pPr>
          </w:p>
        </w:tc>
      </w:tr>
      <w:tr w14:paraId="5EF6C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466" w:type="dxa"/>
            <w:vMerge w:val="continue"/>
            <w:tcBorders>
              <w:top w:val="nil"/>
            </w:tcBorders>
            <w:textDirection w:val="tbRlV"/>
            <w:vAlign w:val="top"/>
          </w:tcPr>
          <w:p w14:paraId="65A3414B">
            <w:pPr>
              <w:rPr>
                <w:rFonts w:ascii="Arial"/>
                <w:sz w:val="21"/>
              </w:rPr>
            </w:pPr>
          </w:p>
        </w:tc>
        <w:tc>
          <w:tcPr>
            <w:tcW w:w="8504" w:type="dxa"/>
            <w:gridSpan w:val="7"/>
            <w:vAlign w:val="top"/>
          </w:tcPr>
          <w:p w14:paraId="6D9B60D4">
            <w:pPr>
              <w:pStyle w:val="6"/>
              <w:spacing w:before="37" w:line="219" w:lineRule="auto"/>
              <w:ind w:left="548"/>
              <w:rPr>
                <w:sz w:val="23"/>
                <w:szCs w:val="23"/>
              </w:rPr>
            </w:pPr>
            <w:r>
              <w:rPr>
                <w:spacing w:val="3"/>
                <w:sz w:val="23"/>
                <w:szCs w:val="23"/>
              </w:rPr>
              <w:t>本工程不涉及占用永久基本农田、生态保护红线、有林地、未成林造林地、</w:t>
            </w:r>
          </w:p>
        </w:tc>
      </w:tr>
    </w:tbl>
    <w:p w14:paraId="6EB534E4">
      <w:pPr>
        <w:pStyle w:val="2"/>
      </w:pPr>
    </w:p>
    <w:p w14:paraId="40062B87">
      <w:pPr>
        <w:sectPr>
          <w:footerReference r:id="rId80" w:type="default"/>
          <w:pgSz w:w="11910" w:h="16840"/>
          <w:pgMar w:top="1431" w:right="1484" w:bottom="1266" w:left="1445" w:header="0" w:footer="1089" w:gutter="0"/>
          <w:cols w:space="720" w:num="1"/>
        </w:sectPr>
      </w:pPr>
    </w:p>
    <w:p w14:paraId="4DFD0922">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3B1BE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72442621">
            <w:pPr>
              <w:rPr>
                <w:rFonts w:ascii="Arial"/>
                <w:sz w:val="21"/>
              </w:rPr>
            </w:pPr>
          </w:p>
        </w:tc>
        <w:tc>
          <w:tcPr>
            <w:tcW w:w="8556" w:type="dxa"/>
            <w:vAlign w:val="top"/>
          </w:tcPr>
          <w:p w14:paraId="541410C2">
            <w:pPr>
              <w:pStyle w:val="6"/>
              <w:spacing w:before="23" w:line="219" w:lineRule="auto"/>
              <w:ind w:left="90"/>
            </w:pPr>
            <w:r>
              <w:rPr>
                <w:spacing w:val="-1"/>
              </w:rPr>
              <w:t>稳定耕地等限制开发区域。</w:t>
            </w:r>
          </w:p>
          <w:p w14:paraId="7DE505DE">
            <w:pPr>
              <w:pStyle w:val="6"/>
              <w:spacing w:before="184" w:line="217" w:lineRule="auto"/>
              <w:ind w:left="570"/>
            </w:pPr>
            <w:r>
              <w:rPr>
                <w:spacing w:val="2"/>
              </w:rPr>
              <w:t>①永久占地影响</w:t>
            </w:r>
          </w:p>
          <w:p w14:paraId="549B3AAE">
            <w:pPr>
              <w:pStyle w:val="6"/>
              <w:spacing w:before="179" w:line="361" w:lineRule="auto"/>
              <w:ind w:left="100" w:right="5" w:firstLine="499"/>
            </w:pPr>
            <w:r>
              <w:t>由于项目的永久占用将使项目区的土地利用性质和功能部分发生改变，被占</w:t>
            </w:r>
            <w:r>
              <w:rPr>
                <w:spacing w:val="18"/>
              </w:rPr>
              <w:t xml:space="preserve"> </w:t>
            </w:r>
            <w:r>
              <w:t>用的土地，其利用性质将改变为建设用地，这种改变是永久性的，是不可逆的。 但从整个评价区的总体情况来看，主要的构成地类没有太大的改变。拟建项目改</w:t>
            </w:r>
            <w:r>
              <w:rPr>
                <w:spacing w:val="1"/>
              </w:rPr>
              <w:t xml:space="preserve"> 变用地类型的建设内容占地主要升压站和集电线路塔基，总占地面积为</w:t>
            </w:r>
          </w:p>
          <w:p w14:paraId="517C2927">
            <w:pPr>
              <w:pStyle w:val="6"/>
              <w:spacing w:line="358" w:lineRule="auto"/>
              <w:ind w:left="110" w:right="144" w:firstLine="10"/>
            </w:pPr>
            <w:r>
              <w:rPr>
                <w:spacing w:val="3"/>
              </w:rPr>
              <w:t>1.2716</w:t>
            </w:r>
            <w:r>
              <w:t>hm</w:t>
            </w:r>
            <w:r>
              <w:rPr>
                <w:spacing w:val="3"/>
              </w:rPr>
              <w:t>²,建筑物占地面积不大，除建筑物占地外均不改变用地性质，因此，</w:t>
            </w:r>
            <w:r>
              <w:rPr>
                <w:spacing w:val="8"/>
              </w:rPr>
              <w:t xml:space="preserve"> </w:t>
            </w:r>
            <w:r>
              <w:t>局部区域土地利用类型的改变不会对评价区土地利用格局造成显著影响。</w:t>
            </w:r>
          </w:p>
          <w:p w14:paraId="26043AA7">
            <w:pPr>
              <w:pStyle w:val="6"/>
              <w:spacing w:line="217" w:lineRule="auto"/>
              <w:ind w:left="560"/>
            </w:pPr>
            <w:r>
              <w:rPr>
                <w:spacing w:val="2"/>
              </w:rPr>
              <w:t>②临时占地影响</w:t>
            </w:r>
          </w:p>
          <w:p w14:paraId="2FEE1C08">
            <w:pPr>
              <w:pStyle w:val="6"/>
              <w:spacing w:before="190" w:line="219" w:lineRule="auto"/>
              <w:ind w:left="570"/>
            </w:pPr>
            <w:r>
              <w:t>临时表土：</w:t>
            </w:r>
          </w:p>
          <w:p w14:paraId="68C8C383">
            <w:pPr>
              <w:pStyle w:val="6"/>
              <w:spacing w:before="184" w:line="284" w:lineRule="auto"/>
              <w:ind w:left="100" w:right="166" w:firstLine="479"/>
            </w:pPr>
            <w:r>
              <w:t>A、升压站表土集中堆存于升压站一角，用于后期升压站区景观绿化</w:t>
            </w:r>
            <w:r>
              <w:rPr>
                <w:spacing w:val="-1"/>
              </w:rPr>
              <w:t>，临时</w:t>
            </w:r>
            <w:r>
              <w:t xml:space="preserve"> </w:t>
            </w:r>
            <w:r>
              <w:rPr>
                <w:spacing w:val="10"/>
              </w:rPr>
              <w:t>表土堆场占地面积0.01</w:t>
            </w:r>
            <w:r>
              <w:t>hm</w:t>
            </w:r>
            <w:r>
              <w:rPr>
                <w:spacing w:val="10"/>
              </w:rPr>
              <w:t>²,容量0.02万m</w:t>
            </w:r>
            <w:r>
              <w:rPr>
                <w:spacing w:val="9"/>
              </w:rPr>
              <w:t>³。</w:t>
            </w:r>
          </w:p>
          <w:p w14:paraId="0FB5A7F9">
            <w:pPr>
              <w:pStyle w:val="6"/>
              <w:spacing w:before="192" w:line="219" w:lineRule="auto"/>
              <w:ind w:left="570"/>
            </w:pPr>
            <w:r>
              <w:t>B、交通道路不进行新建，无废弃表土。</w:t>
            </w:r>
          </w:p>
          <w:p w14:paraId="14FA8E99">
            <w:pPr>
              <w:pStyle w:val="6"/>
              <w:spacing w:before="186" w:line="311" w:lineRule="auto"/>
              <w:ind w:left="100" w:right="13" w:firstLine="469"/>
            </w:pPr>
            <w:r>
              <w:t>C、光伏阵列区内仅光伏板支架基础部分产生少量废弃</w:t>
            </w:r>
            <w:r>
              <w:rPr>
                <w:spacing w:val="-1"/>
              </w:rPr>
              <w:t>表土，产生的废弃表</w:t>
            </w:r>
            <w:r>
              <w:t xml:space="preserve">  </w:t>
            </w:r>
            <w:r>
              <w:rPr>
                <w:spacing w:val="1"/>
              </w:rPr>
              <w:t>土用于场地内光伏板下方的经济作物种植。不设置表土堆场。集电线</w:t>
            </w:r>
            <w:r>
              <w:t>路塔基共设 置22个，产生的废弃表土用于光伏阵列区的经济作物种</w:t>
            </w:r>
            <w:r>
              <w:rPr>
                <w:spacing w:val="-1"/>
              </w:rPr>
              <w:t>植。</w:t>
            </w:r>
          </w:p>
          <w:p w14:paraId="4D4A7CB4">
            <w:pPr>
              <w:pStyle w:val="6"/>
              <w:spacing w:before="188" w:line="221" w:lineRule="auto"/>
              <w:ind w:left="570"/>
            </w:pPr>
            <w:r>
              <w:t>施工用混凝土：</w:t>
            </w:r>
          </w:p>
          <w:p w14:paraId="468C527F">
            <w:pPr>
              <w:pStyle w:val="6"/>
              <w:spacing w:before="169" w:line="362" w:lineRule="auto"/>
              <w:ind w:left="100" w:right="24" w:firstLine="489"/>
              <w:jc w:val="both"/>
            </w:pPr>
            <w:r>
              <w:t>混凝土主要用于光伏板基础、箱变基础、升压站土建等，升压站及塔基土建</w:t>
            </w:r>
            <w:r>
              <w:rPr>
                <w:spacing w:val="9"/>
              </w:rPr>
              <w:t xml:space="preserve"> </w:t>
            </w:r>
            <w:r>
              <w:t>用混凝土为外购商品混凝土。光伏板支架桩及箱变基础用混凝土在场地内自行拌</w:t>
            </w:r>
            <w:r>
              <w:rPr>
                <w:spacing w:val="18"/>
              </w:rPr>
              <w:t xml:space="preserve"> </w:t>
            </w:r>
            <w:r>
              <w:rPr>
                <w:spacing w:val="-1"/>
              </w:rPr>
              <w:t>合。不设置混凝土拌合站。</w:t>
            </w:r>
          </w:p>
          <w:p w14:paraId="5B57FE86">
            <w:pPr>
              <w:pStyle w:val="6"/>
              <w:spacing w:before="3" w:line="360" w:lineRule="auto"/>
              <w:ind w:left="90" w:right="16" w:firstLine="479"/>
              <w:jc w:val="both"/>
            </w:pPr>
            <w:r>
              <w:t>综上，项目永久及临时占地会对局部土地利用性质、功能造成一定程度的影</w:t>
            </w:r>
            <w:r>
              <w:rPr>
                <w:spacing w:val="9"/>
              </w:rPr>
              <w:t xml:space="preserve"> </w:t>
            </w:r>
            <w:r>
              <w:rPr>
                <w:spacing w:val="1"/>
              </w:rPr>
              <w:t>响，这也是项目建设不可避免的。项目施工结束后进行植被恢复后对区域植被的</w:t>
            </w:r>
            <w:r>
              <w:rPr>
                <w:spacing w:val="2"/>
              </w:rPr>
              <w:t xml:space="preserve"> </w:t>
            </w:r>
            <w:r>
              <w:t>影响较小，在可接受范围内。</w:t>
            </w:r>
          </w:p>
          <w:p w14:paraId="25884A8D">
            <w:pPr>
              <w:pStyle w:val="6"/>
              <w:spacing w:line="219" w:lineRule="auto"/>
              <w:ind w:left="694"/>
            </w:pPr>
            <w:r>
              <w:rPr>
                <w:b/>
                <w:bCs/>
                <w:spacing w:val="-3"/>
              </w:rPr>
              <w:t>(2)对植被的影响分析</w:t>
            </w:r>
          </w:p>
          <w:p w14:paraId="59F3493A">
            <w:pPr>
              <w:pStyle w:val="6"/>
              <w:spacing w:before="178" w:line="359" w:lineRule="auto"/>
              <w:ind w:left="100" w:right="22" w:firstLine="489"/>
              <w:jc w:val="both"/>
            </w:pPr>
            <w:r>
              <w:t>拟建项目施工期对植被的影响主要表现在：建筑物建设占地、临时用地等使</w:t>
            </w:r>
            <w:r>
              <w:rPr>
                <w:spacing w:val="11"/>
              </w:rPr>
              <w:t xml:space="preserve"> </w:t>
            </w:r>
            <w:r>
              <w:rPr>
                <w:spacing w:val="1"/>
              </w:rPr>
              <w:t>项目占地范围内的植被遭受砍伐、铲除等一</w:t>
            </w:r>
            <w:r>
              <w:t>系列人为干扰破坏，导致评价区各类 植被面积有一定的减少。</w:t>
            </w:r>
          </w:p>
          <w:p w14:paraId="785955E1">
            <w:pPr>
              <w:pStyle w:val="6"/>
              <w:spacing w:before="1" w:line="336" w:lineRule="auto"/>
              <w:ind w:left="110" w:right="14" w:firstLine="479"/>
            </w:pPr>
            <w:r>
              <w:rPr>
                <w:spacing w:val="1"/>
              </w:rPr>
              <w:t>拟建项目占用的植被类型主要为暖温性灌木</w:t>
            </w:r>
            <w:r>
              <w:t>草丛和草地。根据调查，项目区 涉及占用的植被类型均为项目所处区域常见的植被类型，且这些植被均具有一定</w:t>
            </w:r>
          </w:p>
        </w:tc>
      </w:tr>
    </w:tbl>
    <w:p w14:paraId="47912F41">
      <w:pPr>
        <w:pStyle w:val="2"/>
      </w:pPr>
    </w:p>
    <w:p w14:paraId="54AF5248">
      <w:pPr>
        <w:sectPr>
          <w:footerReference r:id="rId81" w:type="default"/>
          <w:pgSz w:w="11910" w:h="16840"/>
          <w:pgMar w:top="1431" w:right="1484" w:bottom="1241" w:left="1445" w:header="0" w:footer="1097" w:gutter="0"/>
          <w:cols w:space="720" w:num="1"/>
        </w:sectPr>
      </w:pPr>
    </w:p>
    <w:p w14:paraId="56C21702">
      <w:pPr>
        <w:spacing w:line="93" w:lineRule="exact"/>
      </w:pPr>
    </w:p>
    <w:tbl>
      <w:tblPr>
        <w:tblStyle w:val="5"/>
        <w:tblW w:w="89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7"/>
      </w:tblGrid>
      <w:tr w14:paraId="17BD5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64F428C1">
            <w:pPr>
              <w:rPr>
                <w:rFonts w:ascii="Arial"/>
                <w:sz w:val="21"/>
              </w:rPr>
            </w:pPr>
          </w:p>
        </w:tc>
        <w:tc>
          <w:tcPr>
            <w:tcW w:w="8557" w:type="dxa"/>
            <w:vAlign w:val="top"/>
          </w:tcPr>
          <w:p w14:paraId="4CA49238">
            <w:pPr>
              <w:pStyle w:val="6"/>
              <w:spacing w:before="22" w:line="356" w:lineRule="auto"/>
              <w:ind w:left="110" w:right="25"/>
            </w:pPr>
            <w:r>
              <w:t>的次生性。因此，工程建设不会导致任何一种植被类型在该区域消失，也不会对</w:t>
            </w:r>
            <w:r>
              <w:rPr>
                <w:spacing w:val="9"/>
              </w:rPr>
              <w:t xml:space="preserve"> </w:t>
            </w:r>
            <w:r>
              <w:t>当地的植被生态系统的稳定状况产生明显的不利影响。</w:t>
            </w:r>
          </w:p>
          <w:p w14:paraId="096CA98F">
            <w:pPr>
              <w:pStyle w:val="6"/>
              <w:spacing w:line="217" w:lineRule="auto"/>
              <w:ind w:left="584"/>
            </w:pPr>
            <w:r>
              <w:rPr>
                <w:b/>
                <w:bCs/>
                <w:spacing w:val="-2"/>
              </w:rPr>
              <w:t>①对野生保护植物及古树名木的影响</w:t>
            </w:r>
          </w:p>
          <w:p w14:paraId="042A54E4">
            <w:pPr>
              <w:pStyle w:val="6"/>
              <w:spacing w:before="191" w:line="358" w:lineRule="auto"/>
              <w:ind w:left="110" w:right="23" w:firstLine="479"/>
              <w:jc w:val="both"/>
            </w:pPr>
            <w:r>
              <w:t>根据调查结果，本项目评价区范围内未发现有国家</w:t>
            </w:r>
            <w:r>
              <w:rPr>
                <w:spacing w:val="-1"/>
              </w:rPr>
              <w:t>级、云南省级保护野生植</w:t>
            </w:r>
            <w:r>
              <w:t xml:space="preserve"> 物和古树名木分布，工程建设对野生保护植物和古树名木无影响。同时，调查未</w:t>
            </w:r>
            <w:r>
              <w:rPr>
                <w:spacing w:val="11"/>
              </w:rPr>
              <w:t xml:space="preserve"> </w:t>
            </w:r>
            <w:r>
              <w:t>发现曲靖及马龙区特有植物物种分布，项目建设对区域特有物种无影</w:t>
            </w:r>
            <w:r>
              <w:rPr>
                <w:spacing w:val="-1"/>
              </w:rPr>
              <w:t>响。</w:t>
            </w:r>
          </w:p>
          <w:p w14:paraId="2F535EDD">
            <w:pPr>
              <w:pStyle w:val="6"/>
              <w:spacing w:line="217" w:lineRule="auto"/>
              <w:ind w:left="574"/>
            </w:pPr>
            <w:r>
              <w:rPr>
                <w:b/>
                <w:bCs/>
                <w:spacing w:val="-2"/>
              </w:rPr>
              <w:t>②对植物资源的影响</w:t>
            </w:r>
          </w:p>
          <w:p w14:paraId="49E28A69">
            <w:pPr>
              <w:pStyle w:val="6"/>
              <w:spacing w:before="201" w:line="360" w:lineRule="auto"/>
              <w:ind w:left="90" w:right="12" w:firstLine="499"/>
              <w:jc w:val="both"/>
            </w:pPr>
            <w:r>
              <w:t>根据工程特征和区域生态环境的特点，本项目对植被的影响主要是工程施工</w:t>
            </w:r>
            <w:r>
              <w:rPr>
                <w:spacing w:val="12"/>
              </w:rPr>
              <w:t xml:space="preserve"> </w:t>
            </w:r>
            <w:r>
              <w:rPr>
                <w:spacing w:val="1"/>
              </w:rPr>
              <w:t>期带来的直接影响，包括工程施永久占地和临时占地。对于永久占</w:t>
            </w:r>
            <w:r>
              <w:t xml:space="preserve">地影响到的植 </w:t>
            </w:r>
            <w:r>
              <w:rPr>
                <w:spacing w:val="1"/>
              </w:rPr>
              <w:t>被将无法恢复，其所受的影响是不可逆的。对于临时占地涉及的植被，工程施工</w:t>
            </w:r>
            <w:r>
              <w:rPr>
                <w:spacing w:val="7"/>
              </w:rPr>
              <w:t xml:space="preserve"> </w:t>
            </w:r>
            <w:r>
              <w:t>时将被清除，但工程结束后将会逐渐得以恢复。</w:t>
            </w:r>
          </w:p>
          <w:p w14:paraId="296485B9">
            <w:pPr>
              <w:pStyle w:val="6"/>
              <w:spacing w:before="8" w:line="357" w:lineRule="auto"/>
              <w:ind w:left="110" w:right="17" w:firstLine="479"/>
              <w:jc w:val="both"/>
            </w:pPr>
            <w:r>
              <w:t>项目所在区植物覆盖率较小，无国家和地方重点保护野生植物分布。项目的</w:t>
            </w:r>
            <w:r>
              <w:rPr>
                <w:spacing w:val="17"/>
              </w:rPr>
              <w:t xml:space="preserve"> </w:t>
            </w:r>
            <w:r>
              <w:t>建设会减小植物生境范围，项目区将会架起大量的太阳能光伏组件，这些组件遮</w:t>
            </w:r>
            <w:r>
              <w:rPr>
                <w:spacing w:val="9"/>
              </w:rPr>
              <w:t xml:space="preserve"> </w:t>
            </w:r>
            <w:r>
              <w:t>光影响大面积的区域。光伏项目实施后，项目区原有的植被会受到较大影响，但</w:t>
            </w:r>
            <w:r>
              <w:rPr>
                <w:spacing w:val="9"/>
              </w:rPr>
              <w:t xml:space="preserve"> </w:t>
            </w:r>
            <w:r>
              <w:t>由于项目区占地范围内自然条件较差，植物资源较少，现状植被主要是草地和灌</w:t>
            </w:r>
            <w:r>
              <w:rPr>
                <w:spacing w:val="12"/>
              </w:rPr>
              <w:t xml:space="preserve"> </w:t>
            </w:r>
            <w:r>
              <w:t>丛，生产力较低，对当地植物资源的数量及利用方式产生影响较小。</w:t>
            </w:r>
          </w:p>
          <w:p w14:paraId="7A996807">
            <w:pPr>
              <w:pStyle w:val="6"/>
              <w:spacing w:before="12" w:line="356" w:lineRule="auto"/>
              <w:ind w:left="100" w:right="12" w:firstLine="489"/>
              <w:jc w:val="both"/>
            </w:pPr>
            <w:r>
              <w:rPr>
                <w:spacing w:val="1"/>
              </w:rPr>
              <w:t>项目区植物均为周围环境常见种类，不会造成植物</w:t>
            </w:r>
            <w:r>
              <w:t xml:space="preserve">种类灭绝。项目建设期间 </w:t>
            </w:r>
            <w:r>
              <w:rPr>
                <w:spacing w:val="1"/>
              </w:rPr>
              <w:t>将对光伏阵列下方及露天空隙进行土地翻整，原有植被</w:t>
            </w:r>
            <w:r>
              <w:t>将会被部分铲除，建设期 间区域植被覆盖率会下降。但随着农业工程实施后，植被覆盖率会得到恢</w:t>
            </w:r>
            <w:r>
              <w:rPr>
                <w:spacing w:val="-1"/>
              </w:rPr>
              <w:t>复。</w:t>
            </w:r>
          </w:p>
          <w:p w14:paraId="115C1485">
            <w:pPr>
              <w:pStyle w:val="6"/>
              <w:spacing w:before="3" w:line="361" w:lineRule="auto"/>
              <w:ind w:left="100" w:firstLine="482"/>
            </w:pPr>
            <w:r>
              <w:rPr>
                <w:spacing w:val="-3"/>
              </w:rPr>
              <w:t>总的来看，受本工程建设影响的植被类型在项目</w:t>
            </w:r>
            <w:r>
              <w:rPr>
                <w:spacing w:val="-4"/>
              </w:rPr>
              <w:t>区及周边区域广泛分布，全</w:t>
            </w:r>
            <w:r>
              <w:t xml:space="preserve">  </w:t>
            </w:r>
            <w:r>
              <w:rPr>
                <w:spacing w:val="-3"/>
              </w:rPr>
              <w:t>部为次生性植被，生态多样性不丰富、生态功能低下。工程建设占地不会对</w:t>
            </w:r>
            <w:r>
              <w:rPr>
                <w:spacing w:val="-4"/>
              </w:rPr>
              <w:t>这些</w:t>
            </w:r>
            <w:r>
              <w:t xml:space="preserve">  </w:t>
            </w:r>
            <w:r>
              <w:rPr>
                <w:spacing w:val="-5"/>
              </w:rPr>
              <w:t>植被造成毁灭性的破坏，其不利影响仅限于局部</w:t>
            </w:r>
            <w:r>
              <w:rPr>
                <w:spacing w:val="-6"/>
              </w:rPr>
              <w:t>，不会随时间推移而扩大。因此，</w:t>
            </w:r>
            <w:r>
              <w:t xml:space="preserve"> </w:t>
            </w:r>
            <w:r>
              <w:rPr>
                <w:spacing w:val="-3"/>
              </w:rPr>
              <w:t>本工程占地将对评价区植被造成一定程度的不利影响，但由于占用植被面积有</w:t>
            </w:r>
          </w:p>
          <w:p w14:paraId="7F9EC44B">
            <w:pPr>
              <w:pStyle w:val="6"/>
              <w:spacing w:before="2" w:line="355" w:lineRule="auto"/>
              <w:ind w:left="90" w:right="14" w:firstLine="30"/>
            </w:pPr>
            <w:r>
              <w:t>限，且以次生性植被为主，本工程建设对植被的影响较小。项目施工结束后进行</w:t>
            </w:r>
            <w:r>
              <w:rPr>
                <w:spacing w:val="10"/>
              </w:rPr>
              <w:t xml:space="preserve"> </w:t>
            </w:r>
            <w:r>
              <w:t>植被恢复后对区域植被的影响较小，在可接受范围</w:t>
            </w:r>
            <w:r>
              <w:rPr>
                <w:spacing w:val="-1"/>
              </w:rPr>
              <w:t>内。</w:t>
            </w:r>
          </w:p>
          <w:p w14:paraId="0025D325">
            <w:pPr>
              <w:pStyle w:val="6"/>
              <w:spacing w:line="217" w:lineRule="auto"/>
              <w:ind w:left="574"/>
            </w:pPr>
            <w:r>
              <w:rPr>
                <w:b/>
                <w:bCs/>
                <w:spacing w:val="-2"/>
              </w:rPr>
              <w:t>③对植物种类的影响</w:t>
            </w:r>
          </w:p>
          <w:p w14:paraId="00F87E66">
            <w:pPr>
              <w:pStyle w:val="6"/>
              <w:spacing w:before="195" w:line="342" w:lineRule="auto"/>
              <w:ind w:left="110" w:right="6" w:firstLine="479"/>
              <w:jc w:val="both"/>
            </w:pPr>
            <w:r>
              <w:t>项目占地将使部分植物个体遭到破坏，导致这些植物种群数量减少和分布生</w:t>
            </w:r>
            <w:r>
              <w:rPr>
                <w:spacing w:val="10"/>
              </w:rPr>
              <w:t xml:space="preserve"> </w:t>
            </w:r>
            <w:r>
              <w:t>境减小，但这些物种在工程区周边区域，甚至云南省的许多地区都广为分布，本</w:t>
            </w:r>
            <w:r>
              <w:rPr>
                <w:spacing w:val="10"/>
              </w:rPr>
              <w:t xml:space="preserve"> </w:t>
            </w:r>
            <w:r>
              <w:rPr>
                <w:spacing w:val="1"/>
              </w:rPr>
              <w:t>工程建设不会造成物种数量的急剧减少，更不会造成任何物种的</w:t>
            </w:r>
            <w:r>
              <w:t>灭绝，所产生的</w:t>
            </w:r>
          </w:p>
        </w:tc>
      </w:tr>
    </w:tbl>
    <w:p w14:paraId="20875118">
      <w:pPr>
        <w:pStyle w:val="2"/>
      </w:pPr>
    </w:p>
    <w:p w14:paraId="02B63CC9">
      <w:pPr>
        <w:sectPr>
          <w:footerReference r:id="rId82" w:type="default"/>
          <w:pgSz w:w="11910" w:h="16840"/>
          <w:pgMar w:top="1431" w:right="1483" w:bottom="1266" w:left="1445" w:header="0" w:footer="1089" w:gutter="0"/>
          <w:cols w:space="720" w:num="1"/>
        </w:sectPr>
      </w:pPr>
    </w:p>
    <w:p w14:paraId="0BF2FA0C">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05898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05F9671B">
            <w:pPr>
              <w:rPr>
                <w:rFonts w:ascii="Arial"/>
                <w:sz w:val="21"/>
              </w:rPr>
            </w:pPr>
          </w:p>
        </w:tc>
        <w:tc>
          <w:tcPr>
            <w:tcW w:w="8556" w:type="dxa"/>
            <w:vAlign w:val="top"/>
          </w:tcPr>
          <w:p w14:paraId="5494021F">
            <w:pPr>
              <w:pStyle w:val="6"/>
              <w:spacing w:before="27" w:line="221" w:lineRule="auto"/>
              <w:ind w:left="90"/>
            </w:pPr>
            <w:r>
              <w:rPr>
                <w:spacing w:val="-1"/>
              </w:rPr>
              <w:t>影响较小。</w:t>
            </w:r>
          </w:p>
          <w:p w14:paraId="13098AA3">
            <w:pPr>
              <w:pStyle w:val="6"/>
              <w:spacing w:before="166" w:line="220" w:lineRule="auto"/>
              <w:ind w:left="694"/>
            </w:pPr>
            <w:r>
              <w:rPr>
                <w:b/>
                <w:bCs/>
                <w:spacing w:val="-3"/>
              </w:rPr>
              <w:t>(3)对动物的影响分析</w:t>
            </w:r>
          </w:p>
          <w:p w14:paraId="4AA44D4D">
            <w:pPr>
              <w:pStyle w:val="6"/>
              <w:spacing w:before="183" w:line="362" w:lineRule="auto"/>
              <w:ind w:left="100" w:right="24" w:firstLine="489"/>
              <w:jc w:val="both"/>
            </w:pPr>
            <w:r>
              <w:t>根据调查结果，评价范围内未见有国家、云南省省</w:t>
            </w:r>
            <w:r>
              <w:rPr>
                <w:spacing w:val="-1"/>
              </w:rPr>
              <w:t>级重点保护野生动物及地</w:t>
            </w:r>
            <w:r>
              <w:t xml:space="preserve"> </w:t>
            </w:r>
            <w:r>
              <w:rPr>
                <w:spacing w:val="1"/>
              </w:rPr>
              <w:t>方特有种，也不涉及鸟类迁徙通道及珍稀濒</w:t>
            </w:r>
            <w:r>
              <w:t>危动物，工程建设对野生保护动物基 本无影响。</w:t>
            </w:r>
          </w:p>
          <w:p w14:paraId="3718A027">
            <w:pPr>
              <w:pStyle w:val="6"/>
              <w:spacing w:before="2" w:line="359" w:lineRule="auto"/>
              <w:ind w:left="100" w:right="10" w:firstLine="489"/>
              <w:jc w:val="both"/>
            </w:pPr>
            <w:r>
              <w:t>本工程建设对野生动物的影响主要是工程施工期</w:t>
            </w:r>
            <w:r>
              <w:rPr>
                <w:spacing w:val="-1"/>
              </w:rPr>
              <w:t>带来的影响，包括项目占地</w:t>
            </w:r>
            <w:r>
              <w:t xml:space="preserve"> </w:t>
            </w:r>
            <w:r>
              <w:rPr>
                <w:spacing w:val="1"/>
              </w:rPr>
              <w:t>带来的影响和施工活动带来的影响。在施工期，工程占地、临时道路和施工</w:t>
            </w:r>
            <w:r>
              <w:t xml:space="preserve">生产 </w:t>
            </w:r>
            <w:r>
              <w:rPr>
                <w:spacing w:val="1"/>
              </w:rPr>
              <w:t>生活区等占用原有陆栖脊椎野生动物的栖息生境，使其栖息</w:t>
            </w:r>
            <w:r>
              <w:t xml:space="preserve">和活动场所缩小，如 </w:t>
            </w:r>
            <w:r>
              <w:rPr>
                <w:spacing w:val="1"/>
              </w:rPr>
              <w:t>小型穴居哺乳类和爬行类的洞穴、鸟类巢区的生境将遭到破坏，</w:t>
            </w:r>
            <w:r>
              <w:t xml:space="preserve">少数动物的生活 </w:t>
            </w:r>
            <w:r>
              <w:rPr>
                <w:spacing w:val="1"/>
              </w:rPr>
              <w:t>和繁殖活动将受到一定影响。结果迫使原栖息在该区域的动物迁往其</w:t>
            </w:r>
            <w:r>
              <w:t xml:space="preserve">他适宜的生 </w:t>
            </w:r>
            <w:r>
              <w:rPr>
                <w:spacing w:val="1"/>
              </w:rPr>
              <w:t>境，动物种群数量在一段时间内将会有大的波动，但这一类型的影响不</w:t>
            </w:r>
            <w:r>
              <w:t xml:space="preserve">会导致当 </w:t>
            </w:r>
            <w:r>
              <w:rPr>
                <w:spacing w:val="-1"/>
              </w:rPr>
              <w:t>地物种的灭绝和消失。</w:t>
            </w:r>
          </w:p>
          <w:p w14:paraId="7658FFF0">
            <w:pPr>
              <w:pStyle w:val="6"/>
              <w:spacing w:before="4" w:line="358" w:lineRule="auto"/>
              <w:ind w:left="90" w:right="12" w:firstLine="499"/>
            </w:pPr>
            <w:r>
              <w:t>评价区由于多年来的人为破坏，原生植被基本被破坏</w:t>
            </w:r>
            <w:r>
              <w:rPr>
                <w:spacing w:val="-1"/>
              </w:rPr>
              <w:t>，现存的天然植被(含</w:t>
            </w:r>
            <w:r>
              <w:t xml:space="preserve">  </w:t>
            </w:r>
            <w:r>
              <w:rPr>
                <w:spacing w:val="1"/>
              </w:rPr>
              <w:t>萌生、次生植被)主要是暖温性灌木草丛等，人工植被主要为云南松、华山松和</w:t>
            </w:r>
            <w:r>
              <w:rPr>
                <w:spacing w:val="6"/>
              </w:rPr>
              <w:t xml:space="preserve">  </w:t>
            </w:r>
            <w:r>
              <w:rPr>
                <w:spacing w:val="1"/>
              </w:rPr>
              <w:t>桉树。项目占用和破坏的植被类型较为简单，在这些生境中生活的野生动物的种 类和数量都比较贫乏，区域内分布的这些动物的活动性较强，均为区域广泛分布</w:t>
            </w:r>
            <w:r>
              <w:rPr>
                <w:spacing w:val="6"/>
              </w:rPr>
              <w:t xml:space="preserve"> </w:t>
            </w:r>
            <w:r>
              <w:t>物种，因此，本项目建设对区域野生动物的影响较</w:t>
            </w:r>
            <w:r>
              <w:rPr>
                <w:spacing w:val="-1"/>
              </w:rPr>
              <w:t>小。</w:t>
            </w:r>
          </w:p>
          <w:p w14:paraId="7B737809">
            <w:pPr>
              <w:pStyle w:val="6"/>
              <w:spacing w:before="1" w:line="218" w:lineRule="auto"/>
              <w:ind w:left="590"/>
            </w:pPr>
            <w:r>
              <w:t>施工人员活动的干扰以及施工机械噪声干扰的影响</w:t>
            </w:r>
            <w:r>
              <w:rPr>
                <w:spacing w:val="-1"/>
              </w:rPr>
              <w:t>将迫使陆栖脊椎动物迁</w:t>
            </w:r>
          </w:p>
          <w:p w14:paraId="12AC731E">
            <w:pPr>
              <w:pStyle w:val="6"/>
              <w:spacing w:before="198" w:line="360" w:lineRule="auto"/>
              <w:ind w:left="100" w:firstLine="19"/>
            </w:pPr>
            <w:r>
              <w:rPr>
                <w:spacing w:val="-1"/>
              </w:rPr>
              <w:t>出受干扰区域，以避让相应的干扰，随着施工期的结束影响消除，部分陆栖脊椎</w:t>
            </w:r>
            <w:r>
              <w:rPr>
                <w:spacing w:val="12"/>
              </w:rPr>
              <w:t xml:space="preserve"> </w:t>
            </w:r>
            <w:r>
              <w:t>动物会逐渐回迁。根据该区域陆栖脊椎野生动物的调</w:t>
            </w:r>
            <w:r>
              <w:rPr>
                <w:spacing w:val="-1"/>
              </w:rPr>
              <w:t>查结果可知，评价区的陆栖</w:t>
            </w:r>
            <w:r>
              <w:t xml:space="preserve"> 脊椎野生动物以鸟类和小型哺乳类占优势，迁移能力较强</w:t>
            </w:r>
            <w:r>
              <w:rPr>
                <w:spacing w:val="-1"/>
              </w:rPr>
              <w:t>，两栖类、爬行类的物</w:t>
            </w:r>
            <w:r>
              <w:t xml:space="preserve"> </w:t>
            </w:r>
            <w:r>
              <w:rPr>
                <w:spacing w:val="-1"/>
              </w:rPr>
              <w:t>种均具有一定的迁移能力，且评价区的陆栖脊椎野生动物的分布区较为广泛。所</w:t>
            </w:r>
            <w:r>
              <w:rPr>
                <w:spacing w:val="4"/>
              </w:rPr>
              <w:t xml:space="preserve"> </w:t>
            </w:r>
            <w:r>
              <w:rPr>
                <w:spacing w:val="1"/>
              </w:rPr>
              <w:t>以，在本项目施工期间，陆栖脊椎动物对于这一类型的干扰能够主动避让，项目</w:t>
            </w:r>
            <w:r>
              <w:rPr>
                <w:spacing w:val="9"/>
              </w:rPr>
              <w:t xml:space="preserve"> </w:t>
            </w:r>
            <w:r>
              <w:rPr>
                <w:spacing w:val="-1"/>
              </w:rPr>
              <w:t>施工不会对该区域的陆栖脊椎野生动物多样性产生较大的影响。</w:t>
            </w:r>
          </w:p>
          <w:p w14:paraId="1DE0B9C3">
            <w:pPr>
              <w:pStyle w:val="6"/>
              <w:spacing w:before="3" w:line="357" w:lineRule="auto"/>
              <w:ind w:left="110" w:right="6" w:firstLine="479"/>
            </w:pPr>
            <w:r>
              <w:rPr>
                <w:spacing w:val="1"/>
              </w:rPr>
              <w:t>除此之外，施工区的粉尘和施工机械尾气可能使一些陆栖脊椎</w:t>
            </w:r>
            <w:r>
              <w:t>动物暂时迁出 施工区，但由于施工区地势相对开阔，气体和噪声的扩散</w:t>
            </w:r>
            <w:r>
              <w:rPr>
                <w:spacing w:val="-1"/>
              </w:rPr>
              <w:t>条件较好，对区域环境</w:t>
            </w:r>
            <w:r>
              <w:t xml:space="preserve"> 空气质量影响不会严重。施工人员生活垃圾，可能会引来小型啮齿类和部分鸟类</w:t>
            </w:r>
            <w:r>
              <w:rPr>
                <w:spacing w:val="9"/>
              </w:rPr>
              <w:t xml:space="preserve"> </w:t>
            </w:r>
            <w:r>
              <w:t>的取食，导致该区域有害哺乳类(啮齿类)种群数量在施工期间出现增长趋</w:t>
            </w:r>
            <w:r>
              <w:rPr>
                <w:spacing w:val="-1"/>
              </w:rPr>
              <w:t>势，</w:t>
            </w:r>
          </w:p>
          <w:p w14:paraId="67336776">
            <w:pPr>
              <w:pStyle w:val="6"/>
              <w:spacing w:before="10" w:line="219" w:lineRule="auto"/>
              <w:ind w:left="110"/>
            </w:pPr>
            <w:r>
              <w:t>使区域生态系统平衡受到一定程度的干扰。但总体而言，施工期对动物的影响不</w:t>
            </w:r>
          </w:p>
        </w:tc>
      </w:tr>
    </w:tbl>
    <w:p w14:paraId="3DA804DA">
      <w:pPr>
        <w:pStyle w:val="2"/>
      </w:pPr>
    </w:p>
    <w:p w14:paraId="231D46B6">
      <w:pPr>
        <w:sectPr>
          <w:footerReference r:id="rId83" w:type="default"/>
          <w:pgSz w:w="11910" w:h="16840"/>
          <w:pgMar w:top="1431" w:right="1484" w:bottom="1255" w:left="1445" w:header="0" w:footer="1093" w:gutter="0"/>
          <w:cols w:space="720" w:num="1"/>
        </w:sectPr>
      </w:pPr>
    </w:p>
    <w:p w14:paraId="52730D5E">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7286F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7318DAE1">
            <w:pPr>
              <w:rPr>
                <w:rFonts w:ascii="Arial"/>
                <w:sz w:val="21"/>
              </w:rPr>
            </w:pPr>
          </w:p>
        </w:tc>
        <w:tc>
          <w:tcPr>
            <w:tcW w:w="8556" w:type="dxa"/>
            <w:vAlign w:val="top"/>
          </w:tcPr>
          <w:p w14:paraId="2E66E840">
            <w:pPr>
              <w:pStyle w:val="6"/>
              <w:spacing w:before="25" w:line="220" w:lineRule="auto"/>
              <w:ind w:left="70"/>
            </w:pPr>
            <w:r>
              <w:t>大。</w:t>
            </w:r>
          </w:p>
          <w:p w14:paraId="121E6E67">
            <w:pPr>
              <w:pStyle w:val="6"/>
              <w:spacing w:before="170" w:line="219" w:lineRule="auto"/>
              <w:ind w:left="684"/>
            </w:pPr>
            <w:r>
              <w:rPr>
                <w:b/>
                <w:bCs/>
                <w:spacing w:val="-3"/>
              </w:rPr>
              <w:t>(4)水土流失的影响分析</w:t>
            </w:r>
          </w:p>
          <w:p w14:paraId="75A1502F">
            <w:pPr>
              <w:pStyle w:val="6"/>
              <w:spacing w:before="191" w:line="360" w:lineRule="auto"/>
              <w:ind w:left="100" w:right="13" w:firstLine="479"/>
            </w:pPr>
            <w:r>
              <w:t xml:space="preserve">太阳电池方阵占地面积大，场地平整和支架基础施工时的土地扰动面积大。 </w:t>
            </w:r>
            <w:r>
              <w:rPr>
                <w:spacing w:val="1"/>
              </w:rPr>
              <w:t>由于整个施工面很大，在开挖和回填等活动的过程中不可避免地对原</w:t>
            </w:r>
            <w:r>
              <w:t xml:space="preserve">地貌与地表 </w:t>
            </w:r>
            <w:r>
              <w:rPr>
                <w:spacing w:val="1"/>
              </w:rPr>
              <w:t>组成物造成破环。场地边坡施工和支架基础施</w:t>
            </w:r>
            <w:r>
              <w:t xml:space="preserve">工时，若不加以防护、容易产生水 </w:t>
            </w:r>
            <w:r>
              <w:rPr>
                <w:spacing w:val="1"/>
              </w:rPr>
              <w:t>土流失。回填土方时，因堆积相对松散，可能</w:t>
            </w:r>
            <w:r>
              <w:t xml:space="preserve">发生局部沉陷、滑坡，容易导致重 </w:t>
            </w:r>
            <w:r>
              <w:rPr>
                <w:spacing w:val="-1"/>
              </w:rPr>
              <w:t>力侵蚀。</w:t>
            </w:r>
          </w:p>
          <w:p w14:paraId="57D3BD25">
            <w:pPr>
              <w:pStyle w:val="6"/>
              <w:spacing w:before="5" w:line="357" w:lineRule="auto"/>
              <w:ind w:left="110" w:firstLine="473"/>
            </w:pPr>
            <w:r>
              <w:rPr>
                <w:spacing w:val="-3"/>
              </w:rPr>
              <w:t>在项目施工中应高度重视水土保持工作，场地周围建设临时截排水沟，下游</w:t>
            </w:r>
            <w:r>
              <w:rPr>
                <w:spacing w:val="1"/>
              </w:rPr>
              <w:t xml:space="preserve">  </w:t>
            </w:r>
            <w:r>
              <w:rPr>
                <w:spacing w:val="-6"/>
              </w:rPr>
              <w:t>设置沉沙池；在项目裸露区域实施临时覆盖等措施；在永久占地范围内加强绿化，</w:t>
            </w:r>
            <w:r>
              <w:rPr>
                <w:spacing w:val="10"/>
              </w:rPr>
              <w:t xml:space="preserve"> </w:t>
            </w:r>
            <w:r>
              <w:rPr>
                <w:spacing w:val="-3"/>
              </w:rPr>
              <w:t>施工结束后，应及时对临时施工区域进行土地整治(恢复)</w:t>
            </w:r>
            <w:r>
              <w:rPr>
                <w:spacing w:val="-4"/>
              </w:rPr>
              <w:t>,并通过撒草、栽植</w:t>
            </w:r>
          </w:p>
          <w:p w14:paraId="2E90E7BB">
            <w:pPr>
              <w:pStyle w:val="6"/>
              <w:spacing w:before="8" w:line="356" w:lineRule="auto"/>
              <w:ind w:left="100" w:right="23" w:firstLine="10"/>
            </w:pPr>
            <w:r>
              <w:t>苗木等措施进行植被恢复；最大限度地减少水土流失。经采取水土流失防治措施</w:t>
            </w:r>
            <w:r>
              <w:rPr>
                <w:spacing w:val="10"/>
              </w:rPr>
              <w:t xml:space="preserve"> </w:t>
            </w:r>
            <w:r>
              <w:t>后，项目建设产生的水土流失在可控范围内，对区域影响不</w:t>
            </w:r>
            <w:r>
              <w:rPr>
                <w:spacing w:val="-1"/>
              </w:rPr>
              <w:t>大。</w:t>
            </w:r>
          </w:p>
          <w:p w14:paraId="0DDEBB2E">
            <w:pPr>
              <w:pStyle w:val="6"/>
              <w:spacing w:before="1" w:line="217" w:lineRule="auto"/>
              <w:ind w:left="694"/>
            </w:pPr>
            <w:r>
              <w:rPr>
                <w:b/>
                <w:bCs/>
                <w:spacing w:val="-3"/>
              </w:rPr>
              <w:t>(5)对评价区内生态保护红线的影响分析</w:t>
            </w:r>
          </w:p>
          <w:p w14:paraId="44A92FFB">
            <w:pPr>
              <w:pStyle w:val="6"/>
              <w:spacing w:before="193" w:line="358" w:lineRule="auto"/>
              <w:ind w:left="100" w:right="14" w:firstLine="489"/>
            </w:pPr>
            <w:r>
              <w:t>根据曲靖市马龙区自然资源局选址意见，本项目占地不涉及生态保护红</w:t>
            </w:r>
            <w:r>
              <w:rPr>
                <w:spacing w:val="-1"/>
              </w:rPr>
              <w:t>线，</w:t>
            </w:r>
            <w:r>
              <w:t xml:space="preserve"> 工程建设对其无直接影响。但本项目地块一、地块三、地块五周边生态评价范围</w:t>
            </w:r>
            <w:r>
              <w:rPr>
                <w:spacing w:val="8"/>
              </w:rPr>
              <w:t xml:space="preserve"> </w:t>
            </w:r>
            <w:r>
              <w:rPr>
                <w:spacing w:val="1"/>
              </w:rPr>
              <w:t>内涉及生态红线，生态红线内分布的主要植被类型为暖温性针叶林</w:t>
            </w:r>
            <w:r>
              <w:t>。项目施工受 影响区域内的植物种类以次生生境常见种和广布种为主，主要有云南松Pinus</w:t>
            </w:r>
          </w:p>
          <w:p w14:paraId="7D4E488C">
            <w:pPr>
              <w:pStyle w:val="6"/>
              <w:spacing w:before="6" w:line="360" w:lineRule="auto"/>
              <w:ind w:left="60"/>
            </w:pPr>
            <w:r>
              <w:rPr>
                <w:spacing w:val="-10"/>
              </w:rPr>
              <w:t>yunnanensis、栓皮栎Quercus varia bilis、头状四照花Dendrobenthamia capitata、</w:t>
            </w:r>
            <w:r>
              <w:rPr>
                <w:spacing w:val="14"/>
              </w:rPr>
              <w:t xml:space="preserve"> </w:t>
            </w:r>
            <w:r>
              <w:rPr>
                <w:spacing w:val="-17"/>
              </w:rPr>
              <w:t>高山栲Castanopsis delavayi、珍珠花Lyonia ovalifolia、旱冬瓜Alnus nepalensis、铁</w:t>
            </w:r>
            <w:r>
              <w:rPr>
                <w:spacing w:val="7"/>
              </w:rPr>
              <w:t xml:space="preserve">  </w:t>
            </w:r>
            <w:r>
              <w:rPr>
                <w:spacing w:val="-11"/>
              </w:rPr>
              <w:t>仔Myrsine africana、野拔子Els</w:t>
            </w:r>
            <w:r>
              <w:rPr>
                <w:spacing w:val="-12"/>
              </w:rPr>
              <w:t>holtzia rugulosa、刺芒野古草Arundinella setosa、</w:t>
            </w:r>
            <w:r>
              <w:t xml:space="preserve"> </w:t>
            </w:r>
            <w:r>
              <w:rPr>
                <w:spacing w:val="-8"/>
              </w:rPr>
              <w:t>旱茅Schizachyrium delavayi、细柄草Capillipedium parviflorum、白健秆Eulalia</w:t>
            </w:r>
            <w:r>
              <w:rPr>
                <w:spacing w:val="1"/>
              </w:rPr>
              <w:t xml:space="preserve">  </w:t>
            </w:r>
            <w:r>
              <w:rPr>
                <w:spacing w:val="-7"/>
              </w:rPr>
              <w:t>pallens。受影响区域内无国家级和云南省级保护野生植物，无区域狭域分布物种。</w:t>
            </w:r>
          </w:p>
          <w:p w14:paraId="5892C189">
            <w:pPr>
              <w:pStyle w:val="6"/>
              <w:spacing w:before="4" w:line="358" w:lineRule="auto"/>
              <w:ind w:left="90" w:firstLine="496"/>
            </w:pPr>
            <w:r>
              <w:rPr>
                <w:spacing w:val="-2"/>
              </w:rPr>
              <w:t>本工程不涉及占用该部分生态保护红线，对该部分生态保护红线无直接影</w:t>
            </w:r>
            <w:r>
              <w:rPr>
                <w:spacing w:val="4"/>
              </w:rPr>
              <w:t xml:space="preserve">   </w:t>
            </w:r>
            <w:r>
              <w:rPr>
                <w:spacing w:val="2"/>
              </w:rPr>
              <w:t>响，本工程建设对该部分生态保护红线的影</w:t>
            </w:r>
            <w:r>
              <w:rPr>
                <w:spacing w:val="1"/>
              </w:rPr>
              <w:t>响主要来源于施工过程中机械噪声、</w:t>
            </w:r>
            <w:r>
              <w:t xml:space="preserve"> </w:t>
            </w:r>
            <w:r>
              <w:rPr>
                <w:spacing w:val="-2"/>
              </w:rPr>
              <w:t>施工粉尘及施工人员可能进入生态保护红线区活动等的影响。</w:t>
            </w:r>
          </w:p>
          <w:p w14:paraId="410D93DA">
            <w:pPr>
              <w:pStyle w:val="6"/>
              <w:spacing w:before="1" w:line="347" w:lineRule="auto"/>
              <w:ind w:left="110" w:right="18" w:firstLine="479"/>
              <w:jc w:val="both"/>
            </w:pPr>
            <w:r>
              <w:t>施工期废气特别是粉尘的排放，将会覆盖周边生态红</w:t>
            </w:r>
            <w:r>
              <w:rPr>
                <w:spacing w:val="-1"/>
              </w:rPr>
              <w:t>线内的植物的叶片，影</w:t>
            </w:r>
            <w:r>
              <w:t xml:space="preserve"> 响植物的蒸腾作用、光合作用等生理过程，对植物的生长产生不利影响。根据工</w:t>
            </w:r>
            <w:r>
              <w:rPr>
                <w:spacing w:val="12"/>
              </w:rPr>
              <w:t xml:space="preserve"> </w:t>
            </w:r>
            <w:r>
              <w:t>程施工期废气影响分析章节，施工期工程量很小，施工场地进行洒水降尘，废气</w:t>
            </w:r>
            <w:r>
              <w:rPr>
                <w:spacing w:val="15"/>
              </w:rPr>
              <w:t xml:space="preserve"> </w:t>
            </w:r>
            <w:r>
              <w:t>排放量很小，由于临近生态保护红线工程主要为光伏区</w:t>
            </w:r>
            <w:r>
              <w:rPr>
                <w:spacing w:val="-1"/>
              </w:rPr>
              <w:t>，施工工程量小，项目建</w:t>
            </w:r>
          </w:p>
        </w:tc>
      </w:tr>
    </w:tbl>
    <w:p w14:paraId="08AA65CA">
      <w:pPr>
        <w:pStyle w:val="2"/>
      </w:pPr>
    </w:p>
    <w:p w14:paraId="56D92494">
      <w:pPr>
        <w:sectPr>
          <w:footerReference r:id="rId84" w:type="default"/>
          <w:pgSz w:w="11910" w:h="16840"/>
          <w:pgMar w:top="1431" w:right="1484" w:bottom="1241" w:left="1445" w:header="0" w:footer="1097" w:gutter="0"/>
          <w:cols w:space="720" w:num="1"/>
        </w:sectPr>
      </w:pPr>
    </w:p>
    <w:p w14:paraId="4E5445A0">
      <w:pPr>
        <w:spacing w:line="93" w:lineRule="exact"/>
      </w:pPr>
    </w:p>
    <w:tbl>
      <w:tblPr>
        <w:tblStyle w:val="5"/>
        <w:tblW w:w="89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7"/>
      </w:tblGrid>
      <w:tr w14:paraId="7EB98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52CE722C">
            <w:pPr>
              <w:rPr>
                <w:rFonts w:ascii="Arial"/>
                <w:sz w:val="21"/>
              </w:rPr>
            </w:pPr>
          </w:p>
        </w:tc>
        <w:tc>
          <w:tcPr>
            <w:tcW w:w="8557" w:type="dxa"/>
            <w:vAlign w:val="top"/>
          </w:tcPr>
          <w:p w14:paraId="442D6AB0">
            <w:pPr>
              <w:pStyle w:val="6"/>
              <w:spacing w:before="22" w:line="358" w:lineRule="auto"/>
              <w:ind w:left="100" w:right="7" w:firstLine="20"/>
              <w:jc w:val="both"/>
            </w:pPr>
            <w:r>
              <w:t>设产生的扬尘较少，且项目区地势开阔，空气扩散条件较好，本项目施工产生的</w:t>
            </w:r>
            <w:r>
              <w:rPr>
                <w:spacing w:val="17"/>
              </w:rPr>
              <w:t xml:space="preserve"> </w:t>
            </w:r>
            <w:r>
              <w:rPr>
                <w:spacing w:val="1"/>
              </w:rPr>
              <w:t>扬尘进入生态保护红线区范围内的量较少，对生</w:t>
            </w:r>
            <w:r>
              <w:t xml:space="preserve">态保护红线区植被景观的影响很 </w:t>
            </w:r>
            <w:r>
              <w:rPr>
                <w:spacing w:val="1"/>
              </w:rPr>
              <w:t>小。施工扬尘沉降到植物叶片和树干上的量有</w:t>
            </w:r>
            <w:r>
              <w:t>限，不会对区域内的植物生长造成 明显不利影响。</w:t>
            </w:r>
          </w:p>
          <w:p w14:paraId="6636C9DE">
            <w:pPr>
              <w:pStyle w:val="6"/>
              <w:spacing w:before="4" w:line="361" w:lineRule="auto"/>
              <w:ind w:left="70" w:right="7" w:firstLine="539"/>
              <w:jc w:val="both"/>
            </w:pPr>
            <w:r>
              <w:t>由于本项目部分区域靠近生态保护红线区，施工期施工人员可能进入生态保</w:t>
            </w:r>
            <w:r>
              <w:rPr>
                <w:spacing w:val="7"/>
              </w:rPr>
              <w:t xml:space="preserve"> </w:t>
            </w:r>
            <w:r>
              <w:rPr>
                <w:spacing w:val="1"/>
              </w:rPr>
              <w:t>护红线区内活动，对区内的植被和植物造成干扰和破坏。因此，</w:t>
            </w:r>
            <w:r>
              <w:t xml:space="preserve">施工期施工单位 </w:t>
            </w:r>
            <w:r>
              <w:rPr>
                <w:spacing w:val="2"/>
              </w:rPr>
              <w:t>须对施工人员加强管理，在施工区周边设置生</w:t>
            </w:r>
            <w:r>
              <w:rPr>
                <w:spacing w:val="1"/>
              </w:rPr>
              <w:t>态保护警示牌，并在生态保护红线</w:t>
            </w:r>
            <w:r>
              <w:t xml:space="preserve"> </w:t>
            </w:r>
            <w:r>
              <w:rPr>
                <w:spacing w:val="2"/>
              </w:rPr>
              <w:t>区边界上设置生态保护警戒线，尽量减少施工人员进</w:t>
            </w:r>
            <w:r>
              <w:rPr>
                <w:spacing w:val="1"/>
              </w:rPr>
              <w:t>入生态保护红线区范围内活</w:t>
            </w:r>
            <w:r>
              <w:t xml:space="preserve"> 动。</w:t>
            </w:r>
          </w:p>
          <w:p w14:paraId="4B77B128">
            <w:pPr>
              <w:pStyle w:val="6"/>
              <w:spacing w:before="1" w:line="356" w:lineRule="auto"/>
              <w:ind w:left="100" w:right="44" w:firstLine="469"/>
            </w:pPr>
            <w:r>
              <w:t>综上所述，项目施工期只要对施工人员加强管理，尽量减少进入生态保护红</w:t>
            </w:r>
            <w:r>
              <w:rPr>
                <w:spacing w:val="10"/>
              </w:rPr>
              <w:t xml:space="preserve"> </w:t>
            </w:r>
            <w:r>
              <w:t>线区内活动，则项目施工期对保护区内的植被和植物影响较</w:t>
            </w:r>
            <w:r>
              <w:rPr>
                <w:spacing w:val="-1"/>
              </w:rPr>
              <w:t>小。</w:t>
            </w:r>
          </w:p>
          <w:p w14:paraId="72F02A33">
            <w:pPr>
              <w:pStyle w:val="6"/>
              <w:spacing w:line="219" w:lineRule="auto"/>
              <w:ind w:left="694"/>
            </w:pPr>
            <w:r>
              <w:rPr>
                <w:b/>
                <w:bCs/>
                <w:spacing w:val="-3"/>
              </w:rPr>
              <w:t>(6)对景观的影响分析</w:t>
            </w:r>
          </w:p>
          <w:p w14:paraId="00E32930">
            <w:pPr>
              <w:pStyle w:val="6"/>
              <w:spacing w:before="187" w:line="360" w:lineRule="auto"/>
              <w:ind w:left="100" w:firstLine="489"/>
              <w:jc w:val="both"/>
            </w:pPr>
            <w:r>
              <w:t>评价区内森林景观连通性好，是评价区的绝对景观背景。评价区自然植被的</w:t>
            </w:r>
            <w:r>
              <w:rPr>
                <w:spacing w:val="15"/>
              </w:rPr>
              <w:t xml:space="preserve"> </w:t>
            </w:r>
            <w:r>
              <w:rPr>
                <w:spacing w:val="1"/>
              </w:rPr>
              <w:t>分布均较为破碎。评价区景观多样性相对不高，分布也较不均匀，说明评价区由</w:t>
            </w:r>
            <w:r>
              <w:rPr>
                <w:spacing w:val="10"/>
              </w:rPr>
              <w:t xml:space="preserve"> </w:t>
            </w:r>
            <w:r>
              <w:rPr>
                <w:spacing w:val="1"/>
              </w:rPr>
              <w:t>于植被类型不丰富，景观生态体系不高，景观异质性不高，景观生态</w:t>
            </w:r>
            <w:r>
              <w:t xml:space="preserve">系统具有一 </w:t>
            </w:r>
            <w:r>
              <w:rPr>
                <w:spacing w:val="-1"/>
              </w:rPr>
              <w:t>定的稳定性和抗干扰的能力。</w:t>
            </w:r>
          </w:p>
          <w:p w14:paraId="2C5F5CD7">
            <w:pPr>
              <w:pStyle w:val="6"/>
              <w:spacing w:before="5" w:line="358" w:lineRule="auto"/>
              <w:ind w:left="100" w:right="5" w:firstLine="489"/>
              <w:jc w:val="both"/>
            </w:pPr>
            <w:r>
              <w:t>评价区内森林景观为主要景观。项目建设占地未一般</w:t>
            </w:r>
            <w:r>
              <w:rPr>
                <w:spacing w:val="-1"/>
              </w:rPr>
              <w:t>灌木林和其他用地，对</w:t>
            </w:r>
            <w:r>
              <w:t xml:space="preserve"> </w:t>
            </w:r>
            <w:r>
              <w:rPr>
                <w:spacing w:val="1"/>
              </w:rPr>
              <w:t>评价区内森林景观影响较小。项目建设期间，永久用地和临时用地景观</w:t>
            </w:r>
            <w:r>
              <w:t xml:space="preserve">将转变为 </w:t>
            </w:r>
            <w:r>
              <w:rPr>
                <w:spacing w:val="1"/>
              </w:rPr>
              <w:t>裸地景观，评价区的景观变化较大，但随着施工期结束，光伏板区进行绿化，区</w:t>
            </w:r>
            <w:r>
              <w:rPr>
                <w:spacing w:val="4"/>
              </w:rPr>
              <w:t xml:space="preserve"> </w:t>
            </w:r>
            <w:r>
              <w:rPr>
                <w:spacing w:val="-1"/>
              </w:rPr>
              <w:t>域内的景观得到恢复。</w:t>
            </w:r>
          </w:p>
          <w:p w14:paraId="174F0589">
            <w:pPr>
              <w:pStyle w:val="6"/>
              <w:spacing w:before="1" w:line="217" w:lineRule="auto"/>
              <w:ind w:left="570"/>
            </w:pPr>
            <w:r>
              <w:t>综上，施工期对评价区内的景观影响可接受。</w:t>
            </w:r>
          </w:p>
          <w:p w14:paraId="101D2BA2">
            <w:pPr>
              <w:pStyle w:val="6"/>
              <w:spacing w:before="186" w:line="221" w:lineRule="auto"/>
              <w:ind w:left="694"/>
            </w:pPr>
            <w:r>
              <w:rPr>
                <w:b/>
                <w:bCs/>
                <w:spacing w:val="-2"/>
              </w:rPr>
              <w:t>(7)对生态影响的小结</w:t>
            </w:r>
          </w:p>
          <w:p w14:paraId="10BAD6F6">
            <w:pPr>
              <w:pStyle w:val="6"/>
              <w:spacing w:before="186" w:line="352" w:lineRule="auto"/>
              <w:ind w:left="100" w:firstLine="482"/>
              <w:jc w:val="both"/>
            </w:pPr>
            <w:r>
              <w:rPr>
                <w:spacing w:val="-3"/>
              </w:rPr>
              <w:t>综上分析，项目永久及临时占地会对局部土地利用</w:t>
            </w:r>
            <w:r>
              <w:rPr>
                <w:spacing w:val="-4"/>
              </w:rPr>
              <w:t>性质、功能以及土壤理化</w:t>
            </w:r>
            <w:r>
              <w:t xml:space="preserve">  </w:t>
            </w:r>
            <w:r>
              <w:rPr>
                <w:spacing w:val="-5"/>
              </w:rPr>
              <w:t>性质造成一定程度的影响，这也是项目建设不可</w:t>
            </w:r>
            <w:r>
              <w:rPr>
                <w:spacing w:val="-6"/>
              </w:rPr>
              <w:t>避免的，由于项目用地面积不大，</w:t>
            </w:r>
            <w:r>
              <w:t xml:space="preserve"> </w:t>
            </w:r>
            <w:r>
              <w:rPr>
                <w:spacing w:val="-3"/>
              </w:rPr>
              <w:t>项目占地而造成损失的面积占评价区总面积的比例较小，局部区域土地利用类型</w:t>
            </w:r>
            <w:r>
              <w:rPr>
                <w:spacing w:val="2"/>
              </w:rPr>
              <w:t xml:space="preserve">  </w:t>
            </w:r>
            <w:r>
              <w:rPr>
                <w:spacing w:val="-2"/>
              </w:rPr>
              <w:t>的改变对整个评价区土地利用格局的影响较</w:t>
            </w:r>
            <w:r>
              <w:rPr>
                <w:spacing w:val="-3"/>
              </w:rPr>
              <w:t>小；工程占地不会造成区域植被格局</w:t>
            </w:r>
            <w:r>
              <w:t xml:space="preserve">  </w:t>
            </w:r>
            <w:r>
              <w:rPr>
                <w:spacing w:val="-3"/>
              </w:rPr>
              <w:t>及演替方向发生明显变化，不会对区域的植物资源和物种多样性产生明显的不良</w:t>
            </w:r>
            <w:r>
              <w:rPr>
                <w:spacing w:val="3"/>
              </w:rPr>
              <w:t xml:space="preserve">  </w:t>
            </w:r>
            <w:r>
              <w:rPr>
                <w:spacing w:val="-4"/>
              </w:rPr>
              <w:t>影响，也不会导致当地植物区系的组成、性质以及特点发生根本的改变，也不会</w:t>
            </w:r>
            <w:r>
              <w:rPr>
                <w:spacing w:val="7"/>
              </w:rPr>
              <w:t xml:space="preserve">  </w:t>
            </w:r>
            <w:r>
              <w:rPr>
                <w:spacing w:val="-2"/>
              </w:rPr>
              <w:t>导致评价区任何植物物种的消失；项目所在区域内分布的动物均为常见种，项目</w:t>
            </w:r>
          </w:p>
        </w:tc>
      </w:tr>
    </w:tbl>
    <w:p w14:paraId="59A0994C">
      <w:pPr>
        <w:pStyle w:val="2"/>
      </w:pPr>
    </w:p>
    <w:p w14:paraId="31F61818">
      <w:pPr>
        <w:sectPr>
          <w:footerReference r:id="rId85" w:type="default"/>
          <w:pgSz w:w="11910" w:h="16840"/>
          <w:pgMar w:top="1431" w:right="1483" w:bottom="1255" w:left="1445" w:header="0" w:footer="1093" w:gutter="0"/>
          <w:cols w:space="720" w:num="1"/>
        </w:sectPr>
      </w:pPr>
    </w:p>
    <w:p w14:paraId="3CA9C88E">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55A34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31ECE4F1">
            <w:pPr>
              <w:rPr>
                <w:rFonts w:ascii="Arial"/>
                <w:sz w:val="21"/>
              </w:rPr>
            </w:pPr>
          </w:p>
        </w:tc>
        <w:tc>
          <w:tcPr>
            <w:tcW w:w="8556" w:type="dxa"/>
            <w:vAlign w:val="top"/>
          </w:tcPr>
          <w:p w14:paraId="44BFB41A">
            <w:pPr>
              <w:pStyle w:val="6"/>
              <w:spacing w:before="35" w:line="355" w:lineRule="auto"/>
              <w:ind w:left="100" w:right="18" w:firstLine="10"/>
              <w:jc w:val="both"/>
            </w:pPr>
            <w:r>
              <w:t>施工不会导致动物种类的减少；随着施工结束以及植被恢复，项目景观冲突得到</w:t>
            </w:r>
            <w:r>
              <w:rPr>
                <w:spacing w:val="15"/>
              </w:rPr>
              <w:t xml:space="preserve"> </w:t>
            </w:r>
            <w:r>
              <w:rPr>
                <w:spacing w:val="1"/>
              </w:rPr>
              <w:t>缓解，生物量以及生产力均得到一定程度的恢</w:t>
            </w:r>
            <w:r>
              <w:t>复。因此，项目施工建设对区域生 态环境的影响不大，在可接受范围内。</w:t>
            </w:r>
          </w:p>
          <w:p w14:paraId="45981F87">
            <w:pPr>
              <w:pStyle w:val="6"/>
              <w:spacing w:before="1" w:line="220" w:lineRule="auto"/>
              <w:ind w:left="104"/>
            </w:pPr>
            <w:r>
              <w:rPr>
                <w:b/>
                <w:bCs/>
                <w:spacing w:val="-4"/>
              </w:rPr>
              <w:t>三、施工期污染影响分析</w:t>
            </w:r>
          </w:p>
          <w:p w14:paraId="646BD93B">
            <w:pPr>
              <w:pStyle w:val="6"/>
              <w:spacing w:before="184" w:line="220" w:lineRule="auto"/>
              <w:ind w:left="574"/>
            </w:pPr>
            <w:r>
              <w:rPr>
                <w:b/>
                <w:bCs/>
                <w:spacing w:val="-3"/>
              </w:rPr>
              <w:t>1、施工期大气环境影响分析</w:t>
            </w:r>
          </w:p>
          <w:p w14:paraId="36709808">
            <w:pPr>
              <w:pStyle w:val="6"/>
              <w:spacing w:before="185" w:line="359" w:lineRule="auto"/>
              <w:ind w:left="90" w:right="14" w:firstLine="499"/>
              <w:jc w:val="both"/>
            </w:pPr>
            <w:r>
              <w:t>本项目施工人员均不在场内食宿，施工过程中产生的废气为施工过程中产生</w:t>
            </w:r>
            <w:r>
              <w:rPr>
                <w:spacing w:val="10"/>
              </w:rPr>
              <w:t xml:space="preserve"> </w:t>
            </w:r>
            <w:r>
              <w:rPr>
                <w:spacing w:val="1"/>
              </w:rPr>
              <w:t>的扬尘，包括车辆运输扬尘、物料堆场产生的扬尘、物料装卸等起尘，以及汽车</w:t>
            </w:r>
            <w:r>
              <w:rPr>
                <w:spacing w:val="4"/>
              </w:rPr>
              <w:t xml:space="preserve"> </w:t>
            </w:r>
            <w:r>
              <w:rPr>
                <w:spacing w:val="-1"/>
              </w:rPr>
              <w:t>尾气、施工过程中的焊接废气及装修废气。</w:t>
            </w:r>
          </w:p>
          <w:p w14:paraId="7046B110">
            <w:pPr>
              <w:pStyle w:val="6"/>
              <w:spacing w:line="221" w:lineRule="auto"/>
              <w:ind w:left="684"/>
            </w:pPr>
            <w:r>
              <w:rPr>
                <w:b/>
                <w:bCs/>
                <w:spacing w:val="-3"/>
              </w:rPr>
              <w:t>(1)扬尘</w:t>
            </w:r>
          </w:p>
          <w:p w14:paraId="7EE77B21">
            <w:pPr>
              <w:pStyle w:val="6"/>
              <w:spacing w:before="186" w:line="359" w:lineRule="auto"/>
              <w:ind w:left="110" w:right="11" w:firstLine="479"/>
            </w:pPr>
            <w:r>
              <w:t>扬尘是施工期大气污染物产生的主要来源，对整个施工期而言，主要集中在</w:t>
            </w:r>
            <w:r>
              <w:rPr>
                <w:spacing w:val="12"/>
              </w:rPr>
              <w:t xml:space="preserve"> </w:t>
            </w:r>
            <w:r>
              <w:t>场地平整、道路施工和土建施工阶段。露天堆放的建材及</w:t>
            </w:r>
            <w:r>
              <w:rPr>
                <w:spacing w:val="-1"/>
              </w:rPr>
              <w:t>裸露的施工区表层浮尘</w:t>
            </w:r>
            <w:r>
              <w:t xml:space="preserve"> </w:t>
            </w:r>
            <w:r>
              <w:rPr>
                <w:spacing w:val="1"/>
              </w:rPr>
              <w:t>由于天气干燥及起风，产生风力扬尘；建材的装卸</w:t>
            </w:r>
            <w:r>
              <w:t xml:space="preserve">、堆放和搅拌等过程中，由于 </w:t>
            </w:r>
            <w:r>
              <w:rPr>
                <w:spacing w:val="1"/>
              </w:rPr>
              <w:t>外力造成尘粒悬浮而产生动力扬尘，其中以</w:t>
            </w:r>
            <w:r>
              <w:t>施工及装卸车辆造成的扬尘最为严</w:t>
            </w:r>
          </w:p>
          <w:p w14:paraId="37B55DEB">
            <w:pPr>
              <w:pStyle w:val="6"/>
              <w:spacing w:line="359" w:lineRule="auto"/>
              <w:ind w:left="90" w:right="4" w:firstLine="20"/>
            </w:pPr>
            <w:r>
              <w:t>重。扬尘量的大小与施工现场条件、管理水平、机械化程度以及天气诸多因素有</w:t>
            </w:r>
            <w:r>
              <w:rPr>
                <w:spacing w:val="11"/>
              </w:rPr>
              <w:t xml:space="preserve"> </w:t>
            </w:r>
            <w:r>
              <w:rPr>
                <w:spacing w:val="1"/>
              </w:rPr>
              <w:t>关，是一个复杂、难以定量的过程。项目施工过程中将会使周围环境中</w:t>
            </w:r>
            <w:r>
              <w:t>TSP</w:t>
            </w:r>
            <w:r>
              <w:rPr>
                <w:spacing w:val="1"/>
              </w:rPr>
              <w:t>浓度</w:t>
            </w:r>
            <w:r>
              <w:t xml:space="preserve">  </w:t>
            </w:r>
            <w:r>
              <w:rPr>
                <w:spacing w:val="1"/>
              </w:rPr>
              <w:t>有所增加。本工程在施工期应注意施工扬尘的防治问题，在施工阶段要对料堆覆</w:t>
            </w:r>
            <w:r>
              <w:rPr>
                <w:spacing w:val="7"/>
              </w:rPr>
              <w:t xml:space="preserve"> </w:t>
            </w:r>
            <w:r>
              <w:rPr>
                <w:spacing w:val="1"/>
              </w:rPr>
              <w:t>盖，禁止有裸露物料堆存，并定期洒水，建设单位需对施工单位严格要求，控制</w:t>
            </w:r>
            <w:r>
              <w:rPr>
                <w:spacing w:val="14"/>
              </w:rPr>
              <w:t xml:space="preserve"> </w:t>
            </w:r>
            <w:r>
              <w:rPr>
                <w:spacing w:val="1"/>
              </w:rPr>
              <w:t>物料堆存的风力扬尘，须制定必要的防治措施，并避免大风等不利天气作业，以</w:t>
            </w:r>
            <w:r>
              <w:rPr>
                <w:spacing w:val="5"/>
              </w:rPr>
              <w:t xml:space="preserve"> </w:t>
            </w:r>
            <w:r>
              <w:t>减少施工扬尘对周围环境的影响。随着施工的结束，施工扬尘也随之消失。</w:t>
            </w:r>
          </w:p>
          <w:p w14:paraId="0195FC12">
            <w:pPr>
              <w:pStyle w:val="6"/>
              <w:spacing w:before="1" w:line="219" w:lineRule="auto"/>
              <w:ind w:left="600"/>
            </w:pPr>
            <w:r>
              <w:t>1)露天堆场和裸露场地的风力扬尘</w:t>
            </w:r>
          </w:p>
          <w:p w14:paraId="0ACFF138">
            <w:pPr>
              <w:pStyle w:val="6"/>
              <w:spacing w:before="182" w:line="363" w:lineRule="auto"/>
              <w:ind w:left="90" w:firstLine="514"/>
            </w:pPr>
            <w:r>
              <w:rPr>
                <w:spacing w:val="-2"/>
              </w:rPr>
              <w:t>由于施工的需要，部分建材需露天堆放，表土需临时堆放，部分施工点表层</w:t>
            </w:r>
            <w:r>
              <w:t xml:space="preserve"> </w:t>
            </w:r>
            <w:r>
              <w:rPr>
                <w:spacing w:val="2"/>
              </w:rPr>
              <w:t>土壤需人工开挖、堆放，在气候干燥又有风</w:t>
            </w:r>
            <w:r>
              <w:rPr>
                <w:spacing w:val="1"/>
              </w:rPr>
              <w:t>的情况下，会产生扬尘，砂石料场、</w:t>
            </w:r>
            <w:r>
              <w:t xml:space="preserve"> </w:t>
            </w:r>
            <w:r>
              <w:rPr>
                <w:spacing w:val="-1"/>
              </w:rPr>
              <w:t>土石方临时堆存加盖篷布，减少露天堆放，保证一定的含水</w:t>
            </w:r>
            <w:r>
              <w:rPr>
                <w:spacing w:val="-2"/>
              </w:rPr>
              <w:t>率及减少裸露地面是</w:t>
            </w:r>
            <w:r>
              <w:t xml:space="preserve"> </w:t>
            </w:r>
            <w:r>
              <w:rPr>
                <w:spacing w:val="-3"/>
              </w:rPr>
              <w:t>减少风力起尘的有效手段。</w:t>
            </w:r>
          </w:p>
          <w:p w14:paraId="7E750684">
            <w:pPr>
              <w:pStyle w:val="6"/>
              <w:spacing w:before="15" w:line="219" w:lineRule="auto"/>
              <w:ind w:left="570"/>
            </w:pPr>
            <w:r>
              <w:t>2)土石方开挖产生的扬尘</w:t>
            </w:r>
          </w:p>
          <w:p w14:paraId="3CF8D7B4">
            <w:pPr>
              <w:pStyle w:val="6"/>
              <w:spacing w:before="156" w:line="364" w:lineRule="auto"/>
              <w:ind w:left="90" w:right="13" w:firstLine="499"/>
            </w:pPr>
            <w:r>
              <w:t>本项目在土石方开挖和回填过程中，会产生大面积的地表裸露，在土方开挖</w:t>
            </w:r>
            <w:r>
              <w:rPr>
                <w:spacing w:val="12"/>
              </w:rPr>
              <w:t xml:space="preserve"> </w:t>
            </w:r>
            <w:r>
              <w:rPr>
                <w:spacing w:val="1"/>
              </w:rPr>
              <w:t>的过程当中将产生一定量的扬尘，地表裸露面采取洒水降尘可有效减轻扬尘产生</w:t>
            </w:r>
            <w:r>
              <w:rPr>
                <w:spacing w:val="5"/>
              </w:rPr>
              <w:t xml:space="preserve"> </w:t>
            </w:r>
            <w:r>
              <w:rPr>
                <w:spacing w:val="-1"/>
              </w:rPr>
              <w:t>量。</w:t>
            </w:r>
          </w:p>
          <w:p w14:paraId="5E297E38">
            <w:pPr>
              <w:pStyle w:val="6"/>
              <w:spacing w:line="219" w:lineRule="auto"/>
              <w:ind w:left="580"/>
            </w:pPr>
            <w:r>
              <w:t>3)交通运输扬尘影响分析</w:t>
            </w:r>
          </w:p>
        </w:tc>
      </w:tr>
    </w:tbl>
    <w:p w14:paraId="67FD5DBE">
      <w:pPr>
        <w:pStyle w:val="2"/>
      </w:pPr>
    </w:p>
    <w:p w14:paraId="6F529CE2">
      <w:pPr>
        <w:sectPr>
          <w:footerReference r:id="rId86" w:type="default"/>
          <w:pgSz w:w="11910" w:h="16840"/>
          <w:pgMar w:top="1431" w:right="1484" w:bottom="1255" w:left="1445" w:header="0" w:footer="1093" w:gutter="0"/>
          <w:cols w:space="720" w:num="1"/>
        </w:sectPr>
      </w:pPr>
    </w:p>
    <w:p w14:paraId="32D31067">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49592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6AEB5B2E">
            <w:pPr>
              <w:rPr>
                <w:rFonts w:ascii="Arial"/>
                <w:sz w:val="21"/>
              </w:rPr>
            </w:pPr>
          </w:p>
        </w:tc>
        <w:tc>
          <w:tcPr>
            <w:tcW w:w="8556" w:type="dxa"/>
            <w:vAlign w:val="top"/>
          </w:tcPr>
          <w:p w14:paraId="70DD7E97">
            <w:pPr>
              <w:pStyle w:val="6"/>
              <w:spacing w:before="25" w:line="360" w:lineRule="auto"/>
              <w:ind w:left="100" w:right="13" w:firstLine="479"/>
              <w:jc w:val="both"/>
            </w:pPr>
            <w:r>
              <w:t>施工期间交通运输将产生扬尘，汽车产生的道路扬尘</w:t>
            </w:r>
            <w:r>
              <w:rPr>
                <w:spacing w:val="-1"/>
              </w:rPr>
              <w:t>量与车速、车型、车流</w:t>
            </w:r>
            <w:r>
              <w:t xml:space="preserve"> 量、风速、道路表面积尘量、尘土湿度等因素有关。此外，物料拉运或堆放过程 </w:t>
            </w:r>
            <w:r>
              <w:rPr>
                <w:spacing w:val="1"/>
              </w:rPr>
              <w:t>中，遮盖不严密也会产生粉尘污染，项目部分运输道路穿过村庄，运</w:t>
            </w:r>
            <w:r>
              <w:t xml:space="preserve">输途中产生 </w:t>
            </w:r>
            <w:r>
              <w:rPr>
                <w:spacing w:val="1"/>
              </w:rPr>
              <w:t>的扬尘会对居民产生一定影响。因此，施工期粉</w:t>
            </w:r>
            <w:r>
              <w:t xml:space="preserve">质材料必须封闭运输，并做好洒 </w:t>
            </w:r>
            <w:r>
              <w:rPr>
                <w:spacing w:val="-1"/>
              </w:rPr>
              <w:t>水降尘工作。</w:t>
            </w:r>
          </w:p>
          <w:p w14:paraId="4A3EDA1C">
            <w:pPr>
              <w:pStyle w:val="6"/>
              <w:spacing w:line="220" w:lineRule="auto"/>
              <w:ind w:left="560"/>
            </w:pPr>
            <w:r>
              <w:rPr>
                <w:spacing w:val="-1"/>
              </w:rPr>
              <w:t>4)混凝土拌合扬尘</w:t>
            </w:r>
          </w:p>
          <w:p w14:paraId="69CFEB68">
            <w:pPr>
              <w:pStyle w:val="6"/>
              <w:spacing w:before="181" w:line="359" w:lineRule="auto"/>
              <w:ind w:left="90" w:right="24" w:firstLine="499"/>
            </w:pPr>
            <w:r>
              <w:t>混凝土主要用于光伏板基础、箱变基础、升压站土建等，升压站及塔基土建</w:t>
            </w:r>
            <w:r>
              <w:rPr>
                <w:spacing w:val="9"/>
              </w:rPr>
              <w:t xml:space="preserve"> </w:t>
            </w:r>
            <w:r>
              <w:rPr>
                <w:spacing w:val="1"/>
              </w:rPr>
              <w:t>用混凝土为外购商品混凝土。光伏板支架桩及箱变基础用混凝土</w:t>
            </w:r>
            <w:r>
              <w:t>在场地内自行拌 合。不设置混凝土拌合站。项目安装光伏板支架桩基础施工过程中现场进行少量</w:t>
            </w:r>
            <w:r>
              <w:rPr>
                <w:spacing w:val="18"/>
              </w:rPr>
              <w:t xml:space="preserve"> </w:t>
            </w:r>
            <w:r>
              <w:rPr>
                <w:spacing w:val="1"/>
              </w:rPr>
              <w:t>混凝土拌合，拌合过程中同时采取洒水降尘措施从而减少对地块周</w:t>
            </w:r>
            <w:r>
              <w:t>边敏感点的粉 尘污染。</w:t>
            </w:r>
          </w:p>
          <w:p w14:paraId="49AD03C7">
            <w:pPr>
              <w:pStyle w:val="6"/>
              <w:spacing w:before="1" w:line="220" w:lineRule="auto"/>
              <w:ind w:left="570"/>
            </w:pPr>
            <w:r>
              <w:rPr>
                <w:spacing w:val="1"/>
              </w:rPr>
              <w:t>5)施工扬尘小结</w:t>
            </w:r>
          </w:p>
          <w:p w14:paraId="28622EDC">
            <w:pPr>
              <w:pStyle w:val="6"/>
              <w:spacing w:before="182" w:line="359" w:lineRule="auto"/>
              <w:ind w:left="90" w:right="12" w:firstLine="499"/>
            </w:pPr>
            <w:r>
              <w:rPr>
                <w:spacing w:val="1"/>
              </w:rPr>
              <w:t>项目环境空气评价范围内的敏感点较多，其中</w:t>
            </w:r>
            <w:r>
              <w:t xml:space="preserve">距项目最近的环境空气敏感点 </w:t>
            </w:r>
            <w:r>
              <w:rPr>
                <w:spacing w:val="1"/>
              </w:rPr>
              <w:t>为地块一南侧的照和铺，地块二东侧的小村、上南屯、下南屯、地块三东侧的永</w:t>
            </w:r>
            <w:r>
              <w:rPr>
                <w:spacing w:val="6"/>
              </w:rPr>
              <w:t xml:space="preserve"> </w:t>
            </w:r>
            <w:r>
              <w:t>胜村和地块四西侧的杨梅沟散户。项目周边的环境空气敏感点距离项目区较近，</w:t>
            </w:r>
            <w:r>
              <w:rPr>
                <w:spacing w:val="8"/>
              </w:rPr>
              <w:t xml:space="preserve"> </w:t>
            </w:r>
            <w:r>
              <w:t>施工期间必须做到施工现场弃渣及时清理，施工材料临时堆场及时覆盖，混凝土</w:t>
            </w:r>
            <w:r>
              <w:rPr>
                <w:spacing w:val="10"/>
              </w:rPr>
              <w:t xml:space="preserve"> </w:t>
            </w:r>
            <w:r>
              <w:rPr>
                <w:spacing w:val="1"/>
              </w:rPr>
              <w:t>拌合点远离居民点，定期对施工场地和运输道路洒水等降尘措施</w:t>
            </w:r>
            <w:r>
              <w:t>，通过采取上述 降尘措施后，施工扬尘对临近敏感点的影响可接受。</w:t>
            </w:r>
          </w:p>
          <w:p w14:paraId="46870A6D">
            <w:pPr>
              <w:pStyle w:val="6"/>
              <w:spacing w:before="3" w:line="219" w:lineRule="auto"/>
              <w:ind w:left="694"/>
            </w:pPr>
            <w:r>
              <w:rPr>
                <w:b/>
                <w:bCs/>
                <w:spacing w:val="-2"/>
              </w:rPr>
              <w:t>(2)汽车尾气及机械废气</w:t>
            </w:r>
          </w:p>
          <w:p w14:paraId="6BB50CB8">
            <w:pPr>
              <w:pStyle w:val="6"/>
              <w:spacing w:before="179" w:line="361" w:lineRule="auto"/>
              <w:ind w:left="90" w:right="17" w:firstLine="499"/>
            </w:pPr>
            <w:r>
              <w:t>运输汽车、挖掘机等施工机械动力源主要为柴油，燃烧尾气的主要污染物为</w:t>
            </w:r>
            <w:r>
              <w:rPr>
                <w:spacing w:val="11"/>
              </w:rPr>
              <w:t xml:space="preserve"> </w:t>
            </w:r>
            <w:r>
              <w:t>NOx、CO、烃类等，会对周围环境空气质量造成一定程度的影响。其特点</w:t>
            </w:r>
            <w:r>
              <w:rPr>
                <w:spacing w:val="-1"/>
              </w:rPr>
              <w:t>是排放</w:t>
            </w:r>
            <w:r>
              <w:t xml:space="preserve">  </w:t>
            </w:r>
            <w:r>
              <w:rPr>
                <w:spacing w:val="1"/>
              </w:rPr>
              <w:t xml:space="preserve">量小，且属间断性无组织排放。项目涉及汽车均为环保检测合格车辆，合理规划 </w:t>
            </w:r>
            <w:r>
              <w:t>运输路线，汽车尾气经大气稀释后对周围环境产生的影响较小。</w:t>
            </w:r>
          </w:p>
          <w:p w14:paraId="2F6226C7">
            <w:pPr>
              <w:pStyle w:val="6"/>
              <w:spacing w:line="219" w:lineRule="auto"/>
              <w:ind w:left="694"/>
            </w:pPr>
            <w:r>
              <w:rPr>
                <w:b/>
                <w:bCs/>
                <w:spacing w:val="-2"/>
              </w:rPr>
              <w:t>(3)焊接废气和装修废气</w:t>
            </w:r>
          </w:p>
          <w:p w14:paraId="2BD7BC5C">
            <w:pPr>
              <w:pStyle w:val="6"/>
              <w:spacing w:before="179" w:line="358" w:lineRule="auto"/>
              <w:ind w:left="90" w:right="8" w:firstLine="499"/>
              <w:jc w:val="both"/>
            </w:pPr>
            <w:r>
              <w:rPr>
                <w:spacing w:val="1"/>
              </w:rPr>
              <w:t>焊接废气和装修废气是在升压站设备安装、装修施工以及</w:t>
            </w:r>
            <w:r>
              <w:t xml:space="preserve">光伏板安装过程中 </w:t>
            </w:r>
            <w:r>
              <w:rPr>
                <w:spacing w:val="1"/>
              </w:rPr>
              <w:t>产生，产生量较小，呈无组织间歇排放，废气对环境的影响是暂时的，随施工期</w:t>
            </w:r>
            <w:r>
              <w:t xml:space="preserve"> 的结束而消失，对外环境影响较小。</w:t>
            </w:r>
          </w:p>
          <w:p w14:paraId="61052EEF">
            <w:pPr>
              <w:pStyle w:val="6"/>
              <w:spacing w:before="1" w:line="219" w:lineRule="auto"/>
              <w:ind w:left="564"/>
            </w:pPr>
            <w:r>
              <w:rPr>
                <w:b/>
                <w:bCs/>
                <w:spacing w:val="-4"/>
              </w:rPr>
              <w:t>2、施工期水环境影响分析</w:t>
            </w:r>
          </w:p>
          <w:p w14:paraId="10340CA6">
            <w:pPr>
              <w:pStyle w:val="6"/>
              <w:spacing w:before="187" w:line="219" w:lineRule="auto"/>
              <w:ind w:right="23"/>
              <w:jc w:val="right"/>
            </w:pPr>
            <w:r>
              <w:t>本项目施工过程中产生的废水为施工人员生活污水、施工废水以及雨季地表</w:t>
            </w:r>
          </w:p>
        </w:tc>
      </w:tr>
    </w:tbl>
    <w:p w14:paraId="6C7A91E0">
      <w:pPr>
        <w:pStyle w:val="2"/>
      </w:pPr>
    </w:p>
    <w:p w14:paraId="30E2F765">
      <w:pPr>
        <w:sectPr>
          <w:footerReference r:id="rId87" w:type="default"/>
          <w:pgSz w:w="11910" w:h="16840"/>
          <w:pgMar w:top="1431" w:right="1484" w:bottom="1255" w:left="1445" w:header="0" w:footer="1093" w:gutter="0"/>
          <w:cols w:space="720" w:num="1"/>
        </w:sectPr>
      </w:pPr>
    </w:p>
    <w:p w14:paraId="2202E171">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314FC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2C105004">
            <w:pPr>
              <w:rPr>
                <w:rFonts w:ascii="Arial"/>
                <w:sz w:val="21"/>
              </w:rPr>
            </w:pPr>
          </w:p>
        </w:tc>
        <w:tc>
          <w:tcPr>
            <w:tcW w:w="8556" w:type="dxa"/>
            <w:vAlign w:val="top"/>
          </w:tcPr>
          <w:p w14:paraId="09A54FDC">
            <w:pPr>
              <w:pStyle w:val="6"/>
              <w:spacing w:before="34" w:line="219" w:lineRule="auto"/>
              <w:ind w:left="90"/>
            </w:pPr>
            <w:r>
              <w:t>径流。</w:t>
            </w:r>
          </w:p>
          <w:p w14:paraId="0963BF6A">
            <w:pPr>
              <w:pStyle w:val="6"/>
              <w:spacing w:before="165" w:line="219" w:lineRule="auto"/>
              <w:ind w:left="681"/>
            </w:pPr>
            <w:r>
              <w:rPr>
                <w:spacing w:val="1"/>
              </w:rPr>
              <w:t>(1)施工期生活污水</w:t>
            </w:r>
          </w:p>
          <w:p w14:paraId="12E94D8F">
            <w:pPr>
              <w:pStyle w:val="6"/>
              <w:spacing w:before="181" w:line="216" w:lineRule="auto"/>
              <w:ind w:left="610"/>
            </w:pPr>
            <w:r>
              <w:t>本项目施工工期12个月，预计施工人数平均约100人</w:t>
            </w:r>
            <w:r>
              <w:rPr>
                <w:spacing w:val="-1"/>
              </w:rPr>
              <w:t>/d,施工人员均为周边</w:t>
            </w:r>
          </w:p>
          <w:p w14:paraId="5205F770">
            <w:pPr>
              <w:pStyle w:val="6"/>
              <w:spacing w:before="192" w:line="360" w:lineRule="auto"/>
              <w:ind w:left="100" w:right="15" w:firstLine="20"/>
            </w:pPr>
            <w:r>
              <w:t>的村民；项目不设置食堂及宿舍，施工人员均不在场内食宿，施工期产生的生活</w:t>
            </w:r>
            <w:r>
              <w:rPr>
                <w:spacing w:val="8"/>
              </w:rPr>
              <w:t xml:space="preserve"> </w:t>
            </w:r>
            <w:r>
              <w:t>污水主要为洗手等清洁废水。根据《云南省地方标准用水定</w:t>
            </w:r>
            <w:r>
              <w:rPr>
                <w:spacing w:val="-1"/>
              </w:rPr>
              <w:t>额》</w:t>
            </w:r>
          </w:p>
          <w:p w14:paraId="6F52BF3B">
            <w:pPr>
              <w:pStyle w:val="6"/>
              <w:spacing w:before="1" w:line="216" w:lineRule="auto"/>
              <w:ind w:left="220"/>
            </w:pPr>
            <w:r>
              <w:t>(DB53/T168-2019),项目位于农村地区，农村居民生活用水定额(亚热带</w:t>
            </w:r>
            <w:r>
              <w:rPr>
                <w:spacing w:val="-1"/>
              </w:rPr>
              <w:t>区，</w:t>
            </w:r>
          </w:p>
          <w:p w14:paraId="217AAFF0">
            <w:pPr>
              <w:pStyle w:val="6"/>
              <w:spacing w:before="186" w:line="361" w:lineRule="auto"/>
              <w:ind w:left="90" w:firstLine="29"/>
            </w:pPr>
            <w:r>
              <w:rPr>
                <w:spacing w:val="-11"/>
              </w:rPr>
              <w:t>分散供水)为40~55(L/d</w:t>
            </w:r>
            <w:r>
              <w:rPr>
                <w:spacing w:val="-31"/>
              </w:rPr>
              <w:t xml:space="preserve"> </w:t>
            </w:r>
            <w:r>
              <w:rPr>
                <w:spacing w:val="-11"/>
              </w:rPr>
              <w:t>·人),项目施工期施工人员日常清洁用水按40(</w:t>
            </w:r>
            <w:r>
              <w:rPr>
                <w:spacing w:val="-12"/>
              </w:rPr>
              <w:t>L/d</w:t>
            </w:r>
            <w:r>
              <w:rPr>
                <w:spacing w:val="-31"/>
              </w:rPr>
              <w:t xml:space="preserve"> </w:t>
            </w:r>
            <w:r>
              <w:rPr>
                <w:spacing w:val="-12"/>
              </w:rPr>
              <w:t>·人)计，</w:t>
            </w:r>
            <w:r>
              <w:t xml:space="preserve"> </w:t>
            </w:r>
            <w:r>
              <w:rPr>
                <w:spacing w:val="4"/>
              </w:rPr>
              <w:t>则用水量为4m³/d,产污系数按80%计，则产生生活污水约3.2m³/d。产</w:t>
            </w:r>
            <w:r>
              <w:rPr>
                <w:spacing w:val="3"/>
              </w:rPr>
              <w:t>生的清洁</w:t>
            </w:r>
            <w:r>
              <w:t xml:space="preserve">  </w:t>
            </w:r>
            <w:r>
              <w:rPr>
                <w:spacing w:val="-3"/>
              </w:rPr>
              <w:t>废水经沉淀池沉淀处理后回用于场区洒水降尘。施工区域内设置有化粪池，化粪</w:t>
            </w:r>
            <w:r>
              <w:rPr>
                <w:spacing w:val="6"/>
              </w:rPr>
              <w:t xml:space="preserve">  </w:t>
            </w:r>
            <w:r>
              <w:rPr>
                <w:spacing w:val="-3"/>
              </w:rPr>
              <w:t>池定期委托周边村民清掏作为农家肥使用。</w:t>
            </w:r>
          </w:p>
          <w:p w14:paraId="36DB5F06">
            <w:pPr>
              <w:pStyle w:val="6"/>
              <w:spacing w:before="19" w:line="219" w:lineRule="auto"/>
              <w:ind w:left="710"/>
            </w:pPr>
            <w:r>
              <w:rPr>
                <w:spacing w:val="1"/>
              </w:rPr>
              <w:t>(2)施工废水</w:t>
            </w:r>
          </w:p>
          <w:p w14:paraId="4986E852">
            <w:pPr>
              <w:pStyle w:val="6"/>
              <w:spacing w:before="174" w:line="348" w:lineRule="auto"/>
              <w:ind w:left="90" w:right="21" w:firstLine="499"/>
            </w:pPr>
            <w:r>
              <w:t>施工废水主要来自车辆、混凝土拌和设备清洗和料罐等机械设备的冲洗，主</w:t>
            </w:r>
            <w:r>
              <w:rPr>
                <w:spacing w:val="12"/>
              </w:rPr>
              <w:t xml:space="preserve"> </w:t>
            </w:r>
            <w:r>
              <w:t>要污染物浓度SS:3000mg/L,pH值：10~12,排放具有间断性和分散性特点，</w:t>
            </w:r>
          </w:p>
          <w:p w14:paraId="46B05927">
            <w:pPr>
              <w:pStyle w:val="6"/>
              <w:spacing w:before="13" w:line="360" w:lineRule="auto"/>
              <w:ind w:left="90" w:right="272" w:firstLine="10"/>
              <w:jc w:val="both"/>
            </w:pPr>
            <w:r>
              <w:rPr>
                <w:spacing w:val="4"/>
              </w:rPr>
              <w:t>废水量约15m³/d,施工生产废水通过在各施工</w:t>
            </w:r>
            <w:r>
              <w:rPr>
                <w:spacing w:val="3"/>
              </w:rPr>
              <w:t>作业区内设置临时沉淀池(容积</w:t>
            </w:r>
            <w:r>
              <w:t xml:space="preserve">  </w:t>
            </w:r>
            <w:r>
              <w:rPr>
                <w:spacing w:val="4"/>
              </w:rPr>
              <w:t>5m³),收集、澄清处理后，回用于拌和工序、场地洒水降尘以及车辆、</w:t>
            </w:r>
            <w:r>
              <w:rPr>
                <w:spacing w:val="3"/>
              </w:rPr>
              <w:t>设备清</w:t>
            </w:r>
            <w:r>
              <w:t xml:space="preserve"> </w:t>
            </w:r>
            <w:r>
              <w:rPr>
                <w:spacing w:val="-1"/>
              </w:rPr>
              <w:t>洗，不外排，不会对周边水体造成影响。</w:t>
            </w:r>
          </w:p>
          <w:p w14:paraId="65BE2FE4">
            <w:pPr>
              <w:pStyle w:val="6"/>
              <w:spacing w:before="20" w:line="219" w:lineRule="auto"/>
              <w:ind w:left="710"/>
            </w:pPr>
            <w:r>
              <w:rPr>
                <w:spacing w:val="1"/>
              </w:rPr>
              <w:t>(3)雨季地表径流</w:t>
            </w:r>
          </w:p>
          <w:p w14:paraId="58AE07EF">
            <w:pPr>
              <w:pStyle w:val="6"/>
              <w:spacing w:before="153" w:line="362" w:lineRule="auto"/>
              <w:ind w:left="100" w:right="23" w:firstLine="489"/>
            </w:pPr>
            <w:r>
              <w:t>雨季径流主要为雨季降水冲涮施工场地产生，其产生量根据降雨情况不同而</w:t>
            </w:r>
            <w:r>
              <w:rPr>
                <w:spacing w:val="11"/>
              </w:rPr>
              <w:t xml:space="preserve"> </w:t>
            </w:r>
            <w:r>
              <w:t>不同，所含污染物主要为SS,浓度为200～500mg/L左</w:t>
            </w:r>
            <w:r>
              <w:rPr>
                <w:spacing w:val="-1"/>
              </w:rPr>
              <w:t>右。</w:t>
            </w:r>
          </w:p>
          <w:p w14:paraId="6D3D677F">
            <w:pPr>
              <w:pStyle w:val="6"/>
              <w:spacing w:before="8" w:line="360" w:lineRule="auto"/>
              <w:ind w:left="100" w:right="13" w:firstLine="489"/>
              <w:jc w:val="both"/>
            </w:pPr>
            <w:r>
              <w:t>项目在升压站场地边界外建设截洪沟，场地内雨季径流经沉淀处理后，尽量</w:t>
            </w:r>
            <w:r>
              <w:rPr>
                <w:spacing w:val="8"/>
              </w:rPr>
              <w:t xml:space="preserve"> </w:t>
            </w:r>
            <w:r>
              <w:rPr>
                <w:spacing w:val="1"/>
              </w:rPr>
              <w:t>回用于场地，剩余部分再外排。光伏区和道路一侧的地势低处、施工</w:t>
            </w:r>
            <w:r>
              <w:t xml:space="preserve">临时生产生 </w:t>
            </w:r>
            <w:r>
              <w:rPr>
                <w:spacing w:val="1"/>
              </w:rPr>
              <w:t>活区四周设置截排水沟，各沟渠末端设置临时沉淀</w:t>
            </w:r>
            <w:r>
              <w:t>池，雨季地表径流经沉淀后一 部分回用于施工过程及场地洒水降尘，回用不完的部分再顺流至附近自然沟渠，</w:t>
            </w:r>
            <w:r>
              <w:rPr>
                <w:spacing w:val="9"/>
              </w:rPr>
              <w:t xml:space="preserve"> </w:t>
            </w:r>
            <w:r>
              <w:t xml:space="preserve">对周边地表水产生的影响较小。此外，工程施工还应加强管理，粉状物料尽量袋 装后搭设防雨工棚存放，做好施工机械的日常维修保养，杜绝跑、冒、滴、漏现 </w:t>
            </w:r>
            <w:r>
              <w:rPr>
                <w:spacing w:val="-1"/>
              </w:rPr>
              <w:t>象，尽量减小施工期降雨冲刷产生的影响。</w:t>
            </w:r>
          </w:p>
          <w:p w14:paraId="5C176F88">
            <w:pPr>
              <w:pStyle w:val="6"/>
              <w:spacing w:before="5" w:line="340" w:lineRule="auto"/>
              <w:ind w:left="90" w:right="263" w:firstLine="499"/>
              <w:jc w:val="both"/>
            </w:pPr>
            <w:r>
              <w:t>项目地块五西北侧900m为周家箐水库，为饮用水源。根据现场调查，地块</w:t>
            </w:r>
            <w:r>
              <w:rPr>
                <w:spacing w:val="8"/>
              </w:rPr>
              <w:t xml:space="preserve"> </w:t>
            </w:r>
            <w:r>
              <w:rPr>
                <w:spacing w:val="1"/>
              </w:rPr>
              <w:t>五与周家箐水库中间有山脊相隔。施工废水和雨季地表径流不会进入</w:t>
            </w:r>
            <w:r>
              <w:t xml:space="preserve">周家箐水 </w:t>
            </w:r>
            <w:r>
              <w:rPr>
                <w:spacing w:val="-1"/>
              </w:rPr>
              <w:t>库。</w:t>
            </w:r>
          </w:p>
        </w:tc>
      </w:tr>
    </w:tbl>
    <w:p w14:paraId="38A924E9">
      <w:pPr>
        <w:pStyle w:val="2"/>
      </w:pPr>
    </w:p>
    <w:p w14:paraId="2EEABD96">
      <w:pPr>
        <w:sectPr>
          <w:footerReference r:id="rId88" w:type="default"/>
          <w:pgSz w:w="11910" w:h="16840"/>
          <w:pgMar w:top="1431" w:right="1484" w:bottom="1255" w:left="1445" w:header="0" w:footer="1093" w:gutter="0"/>
          <w:cols w:space="720" w:num="1"/>
        </w:sectPr>
      </w:pPr>
    </w:p>
    <w:p w14:paraId="5E084C04">
      <w:pPr>
        <w:spacing w:line="93" w:lineRule="exact"/>
      </w:pPr>
    </w:p>
    <w:tbl>
      <w:tblPr>
        <w:tblStyle w:val="5"/>
        <w:tblW w:w="88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2827"/>
        <w:gridCol w:w="2796"/>
        <w:gridCol w:w="2832"/>
      </w:tblGrid>
      <w:tr w14:paraId="419CA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1" w:hRule="atLeast"/>
        </w:trPr>
        <w:tc>
          <w:tcPr>
            <w:tcW w:w="414" w:type="dxa"/>
            <w:vMerge w:val="restart"/>
            <w:tcBorders>
              <w:bottom w:val="nil"/>
            </w:tcBorders>
            <w:vAlign w:val="top"/>
          </w:tcPr>
          <w:p w14:paraId="5BDE2F1A">
            <w:pPr>
              <w:rPr>
                <w:rFonts w:ascii="Arial"/>
                <w:sz w:val="21"/>
              </w:rPr>
            </w:pPr>
          </w:p>
        </w:tc>
        <w:tc>
          <w:tcPr>
            <w:tcW w:w="8455" w:type="dxa"/>
            <w:gridSpan w:val="3"/>
            <w:vAlign w:val="top"/>
          </w:tcPr>
          <w:p w14:paraId="3921217E">
            <w:pPr>
              <w:pStyle w:val="6"/>
              <w:spacing w:before="42" w:line="220" w:lineRule="auto"/>
              <w:ind w:left="554"/>
            </w:pPr>
            <w:r>
              <w:rPr>
                <w:b/>
                <w:bCs/>
                <w:spacing w:val="-4"/>
              </w:rPr>
              <w:t>3、施工期声环境影响分析</w:t>
            </w:r>
          </w:p>
          <w:p w14:paraId="2645B18B">
            <w:pPr>
              <w:pStyle w:val="6"/>
              <w:spacing w:before="197" w:line="220" w:lineRule="auto"/>
              <w:ind w:left="701"/>
            </w:pPr>
            <w:r>
              <w:rPr>
                <w:spacing w:val="1"/>
              </w:rPr>
              <w:t>(1)噪声源强</w:t>
            </w:r>
          </w:p>
          <w:p w14:paraId="0494164C">
            <w:pPr>
              <w:pStyle w:val="6"/>
              <w:spacing w:before="164" w:line="359" w:lineRule="auto"/>
              <w:ind w:left="40" w:firstLine="473"/>
              <w:jc w:val="both"/>
            </w:pPr>
            <w:r>
              <w:t>施工噪声主要来源于升压站土建施工、场外道路拓宽修整、场内道路修建、</w:t>
            </w:r>
            <w:r>
              <w:rPr>
                <w:spacing w:val="9"/>
              </w:rPr>
              <w:t xml:space="preserve"> </w:t>
            </w:r>
            <w:r>
              <w:rPr>
                <w:spacing w:val="-3"/>
              </w:rPr>
              <w:t>场地平整、基础开挖等施工机械噪声及项目运输车辆交通噪声。施工机械主要有</w:t>
            </w:r>
            <w:r>
              <w:rPr>
                <w:spacing w:val="11"/>
              </w:rPr>
              <w:t xml:space="preserve"> </w:t>
            </w:r>
            <w:r>
              <w:rPr>
                <w:spacing w:val="-3"/>
              </w:rPr>
              <w:t>钻机、挖掘机、推土机、装载机、压路机和混凝土搅拌机等。噪声源主要集中在</w:t>
            </w:r>
            <w:r>
              <w:rPr>
                <w:spacing w:val="1"/>
              </w:rPr>
              <w:t xml:space="preserve">  </w:t>
            </w:r>
            <w:r>
              <w:rPr>
                <w:spacing w:val="-3"/>
              </w:rPr>
              <w:t>升压站构筑物施工、设备安装及道路修建时产生的噪声。</w:t>
            </w:r>
          </w:p>
          <w:p w14:paraId="2AEE9073">
            <w:pPr>
              <w:pStyle w:val="6"/>
              <w:spacing w:before="1" w:line="217" w:lineRule="auto"/>
              <w:ind w:left="520"/>
            </w:pPr>
            <w:r>
              <w:t>根据《环境噪声与振动控制工程技术导则》(HJ2034-2013)附录A中常见</w:t>
            </w:r>
          </w:p>
          <w:p w14:paraId="01467DC7">
            <w:pPr>
              <w:pStyle w:val="6"/>
              <w:spacing w:before="178" w:line="353" w:lineRule="auto"/>
              <w:ind w:left="40" w:right="12"/>
            </w:pPr>
            <w:r>
              <w:t>施工设备噪声源强参考值，结合本工程施工机械的型号和</w:t>
            </w:r>
            <w:r>
              <w:rPr>
                <w:spacing w:val="-1"/>
              </w:rPr>
              <w:t>规格，选取施工机械运</w:t>
            </w:r>
            <w:r>
              <w:t xml:space="preserve"> 作时在距离声源5m的噪声值。本工程使用的设备噪声源强见下表。</w:t>
            </w:r>
          </w:p>
          <w:p w14:paraId="07610CE1">
            <w:pPr>
              <w:pStyle w:val="6"/>
              <w:spacing w:line="220" w:lineRule="auto"/>
              <w:ind w:left="1964"/>
            </w:pPr>
            <w:r>
              <w:rPr>
                <w:b/>
                <w:bCs/>
                <w:spacing w:val="-1"/>
              </w:rPr>
              <w:t>表4-2施工期主要噪声源</w:t>
            </w:r>
            <w:r>
              <w:rPr>
                <w:spacing w:val="-1"/>
              </w:rPr>
              <w:t xml:space="preserve">  </w:t>
            </w:r>
            <w:r>
              <w:rPr>
                <w:b/>
                <w:bCs/>
                <w:spacing w:val="-1"/>
              </w:rPr>
              <w:t>单位：dB(A)</w:t>
            </w:r>
          </w:p>
        </w:tc>
      </w:tr>
      <w:tr w14:paraId="0BF80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1CD5E9F4">
            <w:pPr>
              <w:rPr>
                <w:rFonts w:ascii="Arial"/>
                <w:sz w:val="21"/>
              </w:rPr>
            </w:pPr>
          </w:p>
        </w:tc>
        <w:tc>
          <w:tcPr>
            <w:tcW w:w="2827" w:type="dxa"/>
            <w:vAlign w:val="top"/>
          </w:tcPr>
          <w:p w14:paraId="034D035D">
            <w:pPr>
              <w:pStyle w:val="6"/>
              <w:spacing w:before="41" w:line="199" w:lineRule="auto"/>
              <w:ind w:left="1044"/>
            </w:pPr>
            <w:r>
              <w:rPr>
                <w:b/>
                <w:bCs/>
                <w:spacing w:val="2"/>
              </w:rPr>
              <w:t>工程区</w:t>
            </w:r>
          </w:p>
        </w:tc>
        <w:tc>
          <w:tcPr>
            <w:tcW w:w="2796" w:type="dxa"/>
            <w:vAlign w:val="top"/>
          </w:tcPr>
          <w:p w14:paraId="5E3DCCDB">
            <w:pPr>
              <w:pStyle w:val="6"/>
              <w:spacing w:before="41" w:line="199" w:lineRule="auto"/>
              <w:ind w:left="677"/>
            </w:pPr>
            <w:r>
              <w:rPr>
                <w:b/>
                <w:bCs/>
                <w:spacing w:val="-5"/>
              </w:rPr>
              <w:t>主要噪声设备</w:t>
            </w:r>
          </w:p>
        </w:tc>
        <w:tc>
          <w:tcPr>
            <w:tcW w:w="2832" w:type="dxa"/>
            <w:vAlign w:val="top"/>
          </w:tcPr>
          <w:p w14:paraId="613B0C01">
            <w:pPr>
              <w:pStyle w:val="6"/>
              <w:spacing w:before="41" w:line="199" w:lineRule="auto"/>
              <w:ind w:left="451"/>
            </w:pPr>
            <w:r>
              <w:rPr>
                <w:b/>
                <w:bCs/>
                <w:spacing w:val="2"/>
              </w:rPr>
              <w:t>源强(距离声源5m)</w:t>
            </w:r>
          </w:p>
        </w:tc>
      </w:tr>
      <w:tr w14:paraId="378D8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14" w:type="dxa"/>
            <w:vMerge w:val="continue"/>
            <w:tcBorders>
              <w:top w:val="nil"/>
              <w:bottom w:val="nil"/>
            </w:tcBorders>
            <w:vAlign w:val="top"/>
          </w:tcPr>
          <w:p w14:paraId="2683FB32">
            <w:pPr>
              <w:rPr>
                <w:rFonts w:ascii="Arial"/>
                <w:sz w:val="21"/>
              </w:rPr>
            </w:pPr>
          </w:p>
        </w:tc>
        <w:tc>
          <w:tcPr>
            <w:tcW w:w="2827" w:type="dxa"/>
            <w:vMerge w:val="restart"/>
            <w:tcBorders>
              <w:bottom w:val="nil"/>
            </w:tcBorders>
            <w:vAlign w:val="top"/>
          </w:tcPr>
          <w:p w14:paraId="11071FD5">
            <w:pPr>
              <w:spacing w:line="413" w:lineRule="auto"/>
              <w:rPr>
                <w:rFonts w:ascii="Arial"/>
                <w:sz w:val="21"/>
              </w:rPr>
            </w:pPr>
          </w:p>
          <w:p w14:paraId="0092E733">
            <w:pPr>
              <w:pStyle w:val="6"/>
              <w:spacing w:before="78" w:line="219" w:lineRule="auto"/>
              <w:ind w:left="920"/>
            </w:pPr>
            <w:r>
              <w:rPr>
                <w:spacing w:val="3"/>
              </w:rPr>
              <w:t>道路施工</w:t>
            </w:r>
          </w:p>
        </w:tc>
        <w:tc>
          <w:tcPr>
            <w:tcW w:w="2796" w:type="dxa"/>
            <w:vAlign w:val="top"/>
          </w:tcPr>
          <w:p w14:paraId="3BA3ECAC">
            <w:pPr>
              <w:pStyle w:val="6"/>
              <w:spacing w:before="32" w:line="167" w:lineRule="auto"/>
              <w:ind w:left="1033"/>
            </w:pPr>
            <w:r>
              <w:rPr>
                <w:spacing w:val="-2"/>
              </w:rPr>
              <w:t>挖掘机</w:t>
            </w:r>
          </w:p>
        </w:tc>
        <w:tc>
          <w:tcPr>
            <w:tcW w:w="2832" w:type="dxa"/>
            <w:vAlign w:val="top"/>
          </w:tcPr>
          <w:p w14:paraId="062F1A9E">
            <w:pPr>
              <w:pStyle w:val="6"/>
              <w:spacing w:before="57" w:line="192" w:lineRule="exact"/>
              <w:ind w:left="1107"/>
            </w:pPr>
            <w:r>
              <w:rPr>
                <w:spacing w:val="-3"/>
                <w:position w:val="-3"/>
              </w:rPr>
              <w:t>82-90</w:t>
            </w:r>
          </w:p>
        </w:tc>
      </w:tr>
      <w:tr w14:paraId="27E95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19C0694D">
            <w:pPr>
              <w:rPr>
                <w:rFonts w:ascii="Arial"/>
                <w:sz w:val="21"/>
              </w:rPr>
            </w:pPr>
          </w:p>
        </w:tc>
        <w:tc>
          <w:tcPr>
            <w:tcW w:w="2827" w:type="dxa"/>
            <w:vMerge w:val="continue"/>
            <w:tcBorders>
              <w:top w:val="nil"/>
              <w:bottom w:val="nil"/>
            </w:tcBorders>
            <w:vAlign w:val="top"/>
          </w:tcPr>
          <w:p w14:paraId="05EEF5DC">
            <w:pPr>
              <w:rPr>
                <w:rFonts w:ascii="Arial"/>
                <w:sz w:val="21"/>
              </w:rPr>
            </w:pPr>
          </w:p>
        </w:tc>
        <w:tc>
          <w:tcPr>
            <w:tcW w:w="2796" w:type="dxa"/>
            <w:vAlign w:val="top"/>
          </w:tcPr>
          <w:p w14:paraId="2FE2D98A">
            <w:pPr>
              <w:pStyle w:val="6"/>
              <w:spacing w:before="42" w:line="198" w:lineRule="auto"/>
              <w:ind w:left="1033"/>
            </w:pPr>
            <w:r>
              <w:rPr>
                <w:spacing w:val="-3"/>
              </w:rPr>
              <w:t>压路机</w:t>
            </w:r>
          </w:p>
        </w:tc>
        <w:tc>
          <w:tcPr>
            <w:tcW w:w="2832" w:type="dxa"/>
            <w:vAlign w:val="top"/>
          </w:tcPr>
          <w:p w14:paraId="11E813A4">
            <w:pPr>
              <w:pStyle w:val="6"/>
              <w:spacing w:before="67" w:line="179" w:lineRule="auto"/>
              <w:ind w:left="1107"/>
            </w:pPr>
            <w:r>
              <w:rPr>
                <w:spacing w:val="-3"/>
              </w:rPr>
              <w:t>80-90</w:t>
            </w:r>
          </w:p>
        </w:tc>
      </w:tr>
      <w:tr w14:paraId="2FDDE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17C88715">
            <w:pPr>
              <w:rPr>
                <w:rFonts w:ascii="Arial"/>
                <w:sz w:val="21"/>
              </w:rPr>
            </w:pPr>
          </w:p>
        </w:tc>
        <w:tc>
          <w:tcPr>
            <w:tcW w:w="2827" w:type="dxa"/>
            <w:vMerge w:val="continue"/>
            <w:tcBorders>
              <w:top w:val="nil"/>
              <w:bottom w:val="nil"/>
            </w:tcBorders>
            <w:vAlign w:val="top"/>
          </w:tcPr>
          <w:p w14:paraId="53097173">
            <w:pPr>
              <w:rPr>
                <w:rFonts w:ascii="Arial"/>
                <w:sz w:val="21"/>
              </w:rPr>
            </w:pPr>
          </w:p>
        </w:tc>
        <w:tc>
          <w:tcPr>
            <w:tcW w:w="2796" w:type="dxa"/>
            <w:vAlign w:val="top"/>
          </w:tcPr>
          <w:p w14:paraId="64215D44">
            <w:pPr>
              <w:pStyle w:val="6"/>
              <w:spacing w:before="42" w:line="198" w:lineRule="auto"/>
              <w:ind w:left="1033"/>
            </w:pPr>
            <w:r>
              <w:rPr>
                <w:spacing w:val="-3"/>
              </w:rPr>
              <w:t>推土机</w:t>
            </w:r>
          </w:p>
        </w:tc>
        <w:tc>
          <w:tcPr>
            <w:tcW w:w="2832" w:type="dxa"/>
            <w:vAlign w:val="top"/>
          </w:tcPr>
          <w:p w14:paraId="16A9ADA7">
            <w:pPr>
              <w:pStyle w:val="6"/>
              <w:spacing w:before="67" w:line="179" w:lineRule="auto"/>
              <w:ind w:left="1107"/>
            </w:pPr>
            <w:r>
              <w:rPr>
                <w:spacing w:val="-3"/>
              </w:rPr>
              <w:t>83-88</w:t>
            </w:r>
          </w:p>
        </w:tc>
      </w:tr>
      <w:tr w14:paraId="5146B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414" w:type="dxa"/>
            <w:vMerge w:val="continue"/>
            <w:tcBorders>
              <w:top w:val="nil"/>
              <w:bottom w:val="nil"/>
            </w:tcBorders>
            <w:vAlign w:val="top"/>
          </w:tcPr>
          <w:p w14:paraId="10BADAA2">
            <w:pPr>
              <w:rPr>
                <w:rFonts w:ascii="Arial"/>
                <w:sz w:val="21"/>
              </w:rPr>
            </w:pPr>
          </w:p>
        </w:tc>
        <w:tc>
          <w:tcPr>
            <w:tcW w:w="2827" w:type="dxa"/>
            <w:vMerge w:val="continue"/>
            <w:tcBorders>
              <w:top w:val="nil"/>
            </w:tcBorders>
            <w:vAlign w:val="top"/>
          </w:tcPr>
          <w:p w14:paraId="1E426DC0">
            <w:pPr>
              <w:rPr>
                <w:rFonts w:ascii="Arial"/>
                <w:sz w:val="21"/>
              </w:rPr>
            </w:pPr>
          </w:p>
        </w:tc>
        <w:tc>
          <w:tcPr>
            <w:tcW w:w="2796" w:type="dxa"/>
            <w:vAlign w:val="top"/>
          </w:tcPr>
          <w:p w14:paraId="5E24245F">
            <w:pPr>
              <w:pStyle w:val="6"/>
              <w:spacing w:before="42" w:line="197" w:lineRule="auto"/>
              <w:ind w:left="1033"/>
            </w:pPr>
            <w:r>
              <w:rPr>
                <w:spacing w:val="-3"/>
              </w:rPr>
              <w:t>装载机</w:t>
            </w:r>
          </w:p>
        </w:tc>
        <w:tc>
          <w:tcPr>
            <w:tcW w:w="2832" w:type="dxa"/>
            <w:vAlign w:val="top"/>
          </w:tcPr>
          <w:p w14:paraId="4125DB89">
            <w:pPr>
              <w:pStyle w:val="6"/>
              <w:spacing w:before="67" w:line="178" w:lineRule="auto"/>
              <w:ind w:left="1107"/>
            </w:pPr>
            <w:r>
              <w:rPr>
                <w:spacing w:val="-3"/>
              </w:rPr>
              <w:t>90-95</w:t>
            </w:r>
          </w:p>
        </w:tc>
      </w:tr>
      <w:tr w14:paraId="2FD84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70BB759C">
            <w:pPr>
              <w:rPr>
                <w:rFonts w:ascii="Arial"/>
                <w:sz w:val="21"/>
              </w:rPr>
            </w:pPr>
          </w:p>
        </w:tc>
        <w:tc>
          <w:tcPr>
            <w:tcW w:w="2827" w:type="dxa"/>
            <w:vMerge w:val="restart"/>
            <w:tcBorders>
              <w:bottom w:val="nil"/>
            </w:tcBorders>
            <w:vAlign w:val="top"/>
          </w:tcPr>
          <w:p w14:paraId="2C8666C1">
            <w:pPr>
              <w:spacing w:line="263" w:lineRule="auto"/>
              <w:rPr>
                <w:rFonts w:ascii="Arial"/>
                <w:sz w:val="21"/>
              </w:rPr>
            </w:pPr>
          </w:p>
          <w:p w14:paraId="09D0B664">
            <w:pPr>
              <w:pStyle w:val="6"/>
              <w:spacing w:before="78" w:line="219" w:lineRule="auto"/>
              <w:ind w:left="920"/>
            </w:pPr>
            <w:r>
              <w:rPr>
                <w:spacing w:val="4"/>
              </w:rPr>
              <w:t>光伏阵列</w:t>
            </w:r>
          </w:p>
        </w:tc>
        <w:tc>
          <w:tcPr>
            <w:tcW w:w="2796" w:type="dxa"/>
            <w:vAlign w:val="top"/>
          </w:tcPr>
          <w:p w14:paraId="5E199FC9">
            <w:pPr>
              <w:pStyle w:val="6"/>
              <w:spacing w:before="43" w:line="197" w:lineRule="auto"/>
              <w:ind w:left="1033"/>
            </w:pPr>
            <w:r>
              <w:rPr>
                <w:spacing w:val="-3"/>
              </w:rPr>
              <w:t>钻孔机</w:t>
            </w:r>
          </w:p>
        </w:tc>
        <w:tc>
          <w:tcPr>
            <w:tcW w:w="2832" w:type="dxa"/>
            <w:vAlign w:val="top"/>
          </w:tcPr>
          <w:p w14:paraId="45244DEF">
            <w:pPr>
              <w:pStyle w:val="6"/>
              <w:spacing w:before="68" w:line="178" w:lineRule="auto"/>
              <w:ind w:left="1107"/>
            </w:pPr>
            <w:r>
              <w:rPr>
                <w:spacing w:val="-3"/>
              </w:rPr>
              <w:t>80-90</w:t>
            </w:r>
          </w:p>
        </w:tc>
      </w:tr>
      <w:tr w14:paraId="0C1ED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34F0E46E">
            <w:pPr>
              <w:rPr>
                <w:rFonts w:ascii="Arial"/>
                <w:sz w:val="21"/>
              </w:rPr>
            </w:pPr>
          </w:p>
        </w:tc>
        <w:tc>
          <w:tcPr>
            <w:tcW w:w="2827" w:type="dxa"/>
            <w:vMerge w:val="continue"/>
            <w:tcBorders>
              <w:top w:val="nil"/>
              <w:bottom w:val="nil"/>
            </w:tcBorders>
            <w:vAlign w:val="top"/>
          </w:tcPr>
          <w:p w14:paraId="6F9FA582">
            <w:pPr>
              <w:rPr>
                <w:rFonts w:ascii="Arial"/>
                <w:sz w:val="21"/>
              </w:rPr>
            </w:pPr>
          </w:p>
        </w:tc>
        <w:tc>
          <w:tcPr>
            <w:tcW w:w="2796" w:type="dxa"/>
            <w:vAlign w:val="top"/>
          </w:tcPr>
          <w:p w14:paraId="2F03B8AA">
            <w:pPr>
              <w:pStyle w:val="6"/>
              <w:spacing w:before="43" w:line="197" w:lineRule="auto"/>
              <w:ind w:left="793"/>
            </w:pPr>
            <w:r>
              <w:rPr>
                <w:spacing w:val="-2"/>
              </w:rPr>
              <w:t>钢筋切割机</w:t>
            </w:r>
          </w:p>
        </w:tc>
        <w:tc>
          <w:tcPr>
            <w:tcW w:w="2832" w:type="dxa"/>
            <w:vAlign w:val="top"/>
          </w:tcPr>
          <w:p w14:paraId="1AD1B5C2">
            <w:pPr>
              <w:pStyle w:val="6"/>
              <w:spacing w:before="68" w:line="178" w:lineRule="auto"/>
              <w:ind w:left="1107"/>
            </w:pPr>
            <w:r>
              <w:rPr>
                <w:spacing w:val="-3"/>
              </w:rPr>
              <w:t>80-90</w:t>
            </w:r>
          </w:p>
        </w:tc>
      </w:tr>
      <w:tr w14:paraId="58F1E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14" w:type="dxa"/>
            <w:vMerge w:val="continue"/>
            <w:tcBorders>
              <w:top w:val="nil"/>
              <w:bottom w:val="nil"/>
            </w:tcBorders>
            <w:vAlign w:val="top"/>
          </w:tcPr>
          <w:p w14:paraId="6C2D6CB7">
            <w:pPr>
              <w:rPr>
                <w:rFonts w:ascii="Arial"/>
                <w:sz w:val="21"/>
              </w:rPr>
            </w:pPr>
          </w:p>
        </w:tc>
        <w:tc>
          <w:tcPr>
            <w:tcW w:w="2827" w:type="dxa"/>
            <w:vMerge w:val="continue"/>
            <w:tcBorders>
              <w:top w:val="nil"/>
            </w:tcBorders>
            <w:vAlign w:val="top"/>
          </w:tcPr>
          <w:p w14:paraId="08065B20">
            <w:pPr>
              <w:rPr>
                <w:rFonts w:ascii="Arial"/>
                <w:sz w:val="21"/>
              </w:rPr>
            </w:pPr>
          </w:p>
        </w:tc>
        <w:tc>
          <w:tcPr>
            <w:tcW w:w="2796" w:type="dxa"/>
            <w:vAlign w:val="top"/>
          </w:tcPr>
          <w:p w14:paraId="12AF84F5">
            <w:pPr>
              <w:pStyle w:val="6"/>
              <w:spacing w:before="24" w:line="189" w:lineRule="auto"/>
              <w:ind w:left="1033"/>
            </w:pPr>
            <w:r>
              <w:rPr>
                <w:spacing w:val="3"/>
              </w:rPr>
              <w:t>电焊机</w:t>
            </w:r>
          </w:p>
        </w:tc>
        <w:tc>
          <w:tcPr>
            <w:tcW w:w="2832" w:type="dxa"/>
            <w:vAlign w:val="top"/>
          </w:tcPr>
          <w:p w14:paraId="17BFCAAC">
            <w:pPr>
              <w:pStyle w:val="6"/>
              <w:spacing w:before="49" w:line="170" w:lineRule="auto"/>
              <w:ind w:left="1107"/>
            </w:pPr>
            <w:r>
              <w:rPr>
                <w:spacing w:val="-3"/>
              </w:rPr>
              <w:t>80-90</w:t>
            </w:r>
          </w:p>
        </w:tc>
      </w:tr>
      <w:tr w14:paraId="304B7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00023312">
            <w:pPr>
              <w:rPr>
                <w:rFonts w:ascii="Arial"/>
                <w:sz w:val="21"/>
              </w:rPr>
            </w:pPr>
          </w:p>
        </w:tc>
        <w:tc>
          <w:tcPr>
            <w:tcW w:w="2827" w:type="dxa"/>
            <w:vMerge w:val="restart"/>
            <w:tcBorders>
              <w:bottom w:val="nil"/>
            </w:tcBorders>
            <w:vAlign w:val="top"/>
          </w:tcPr>
          <w:p w14:paraId="42CBF846">
            <w:pPr>
              <w:spacing w:line="435" w:lineRule="auto"/>
              <w:rPr>
                <w:rFonts w:ascii="Arial"/>
                <w:sz w:val="21"/>
              </w:rPr>
            </w:pPr>
          </w:p>
          <w:p w14:paraId="68A81158">
            <w:pPr>
              <w:pStyle w:val="6"/>
              <w:spacing w:before="78" w:line="221" w:lineRule="auto"/>
              <w:ind w:left="1040"/>
            </w:pPr>
            <w:r>
              <w:rPr>
                <w:spacing w:val="4"/>
              </w:rPr>
              <w:t>升压站</w:t>
            </w:r>
          </w:p>
        </w:tc>
        <w:tc>
          <w:tcPr>
            <w:tcW w:w="2796" w:type="dxa"/>
            <w:vAlign w:val="top"/>
          </w:tcPr>
          <w:p w14:paraId="0E322753">
            <w:pPr>
              <w:pStyle w:val="6"/>
              <w:spacing w:before="43" w:line="197" w:lineRule="auto"/>
              <w:ind w:left="1033"/>
            </w:pPr>
            <w:r>
              <w:rPr>
                <w:spacing w:val="-2"/>
              </w:rPr>
              <w:t>挖掘机</w:t>
            </w:r>
          </w:p>
        </w:tc>
        <w:tc>
          <w:tcPr>
            <w:tcW w:w="2832" w:type="dxa"/>
            <w:vAlign w:val="top"/>
          </w:tcPr>
          <w:p w14:paraId="0224F7F5">
            <w:pPr>
              <w:pStyle w:val="6"/>
              <w:spacing w:before="68" w:line="178" w:lineRule="auto"/>
              <w:ind w:left="1107"/>
            </w:pPr>
            <w:r>
              <w:rPr>
                <w:spacing w:val="-3"/>
              </w:rPr>
              <w:t>82-90</w:t>
            </w:r>
          </w:p>
        </w:tc>
      </w:tr>
      <w:tr w14:paraId="3AE85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4B9A9810">
            <w:pPr>
              <w:rPr>
                <w:rFonts w:ascii="Arial"/>
                <w:sz w:val="21"/>
              </w:rPr>
            </w:pPr>
          </w:p>
        </w:tc>
        <w:tc>
          <w:tcPr>
            <w:tcW w:w="2827" w:type="dxa"/>
            <w:vMerge w:val="continue"/>
            <w:tcBorders>
              <w:top w:val="nil"/>
              <w:bottom w:val="nil"/>
            </w:tcBorders>
            <w:vAlign w:val="top"/>
          </w:tcPr>
          <w:p w14:paraId="500A3F79">
            <w:pPr>
              <w:rPr>
                <w:rFonts w:ascii="Arial"/>
                <w:sz w:val="21"/>
              </w:rPr>
            </w:pPr>
          </w:p>
        </w:tc>
        <w:tc>
          <w:tcPr>
            <w:tcW w:w="2796" w:type="dxa"/>
            <w:vAlign w:val="top"/>
          </w:tcPr>
          <w:p w14:paraId="5341AD60">
            <w:pPr>
              <w:pStyle w:val="6"/>
              <w:spacing w:before="43" w:line="197" w:lineRule="auto"/>
              <w:ind w:left="1033"/>
            </w:pPr>
            <w:r>
              <w:rPr>
                <w:spacing w:val="-3"/>
              </w:rPr>
              <w:t>推土机</w:t>
            </w:r>
          </w:p>
        </w:tc>
        <w:tc>
          <w:tcPr>
            <w:tcW w:w="2832" w:type="dxa"/>
            <w:vAlign w:val="top"/>
          </w:tcPr>
          <w:p w14:paraId="0E66F3FC">
            <w:pPr>
              <w:pStyle w:val="6"/>
              <w:spacing w:before="68" w:line="178" w:lineRule="auto"/>
              <w:ind w:left="1107"/>
            </w:pPr>
            <w:r>
              <w:rPr>
                <w:spacing w:val="-3"/>
              </w:rPr>
              <w:t>83-88</w:t>
            </w:r>
          </w:p>
        </w:tc>
      </w:tr>
      <w:tr w14:paraId="50955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4" w:type="dxa"/>
            <w:vMerge w:val="continue"/>
            <w:tcBorders>
              <w:top w:val="nil"/>
              <w:bottom w:val="nil"/>
            </w:tcBorders>
            <w:vAlign w:val="top"/>
          </w:tcPr>
          <w:p w14:paraId="2FCCC3B4">
            <w:pPr>
              <w:rPr>
                <w:rFonts w:ascii="Arial"/>
                <w:sz w:val="21"/>
              </w:rPr>
            </w:pPr>
          </w:p>
        </w:tc>
        <w:tc>
          <w:tcPr>
            <w:tcW w:w="2827" w:type="dxa"/>
            <w:vMerge w:val="continue"/>
            <w:tcBorders>
              <w:top w:val="nil"/>
              <w:bottom w:val="nil"/>
            </w:tcBorders>
            <w:vAlign w:val="top"/>
          </w:tcPr>
          <w:p w14:paraId="5886A603">
            <w:pPr>
              <w:rPr>
                <w:rFonts w:ascii="Arial"/>
                <w:sz w:val="21"/>
              </w:rPr>
            </w:pPr>
          </w:p>
        </w:tc>
        <w:tc>
          <w:tcPr>
            <w:tcW w:w="2796" w:type="dxa"/>
            <w:vAlign w:val="top"/>
          </w:tcPr>
          <w:p w14:paraId="551BAC00">
            <w:pPr>
              <w:pStyle w:val="6"/>
              <w:spacing w:before="43" w:line="197" w:lineRule="auto"/>
              <w:ind w:left="1033"/>
            </w:pPr>
            <w:r>
              <w:rPr>
                <w:spacing w:val="3"/>
              </w:rPr>
              <w:t>电焊机</w:t>
            </w:r>
          </w:p>
        </w:tc>
        <w:tc>
          <w:tcPr>
            <w:tcW w:w="2832" w:type="dxa"/>
            <w:vAlign w:val="top"/>
          </w:tcPr>
          <w:p w14:paraId="0B982EA9">
            <w:pPr>
              <w:pStyle w:val="6"/>
              <w:spacing w:before="68" w:line="178" w:lineRule="auto"/>
              <w:ind w:left="1107"/>
            </w:pPr>
            <w:r>
              <w:rPr>
                <w:spacing w:val="-3"/>
              </w:rPr>
              <w:t>80-90</w:t>
            </w:r>
          </w:p>
        </w:tc>
      </w:tr>
      <w:tr w14:paraId="41A08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414" w:type="dxa"/>
            <w:vMerge w:val="continue"/>
            <w:tcBorders>
              <w:top w:val="nil"/>
              <w:bottom w:val="nil"/>
            </w:tcBorders>
            <w:vAlign w:val="top"/>
          </w:tcPr>
          <w:p w14:paraId="3B3D4722">
            <w:pPr>
              <w:rPr>
                <w:rFonts w:ascii="Arial"/>
                <w:sz w:val="21"/>
              </w:rPr>
            </w:pPr>
          </w:p>
        </w:tc>
        <w:tc>
          <w:tcPr>
            <w:tcW w:w="2827" w:type="dxa"/>
            <w:vMerge w:val="continue"/>
            <w:tcBorders>
              <w:top w:val="nil"/>
            </w:tcBorders>
            <w:vAlign w:val="top"/>
          </w:tcPr>
          <w:p w14:paraId="09A7F622">
            <w:pPr>
              <w:rPr>
                <w:rFonts w:ascii="Arial"/>
                <w:sz w:val="21"/>
              </w:rPr>
            </w:pPr>
          </w:p>
        </w:tc>
        <w:tc>
          <w:tcPr>
            <w:tcW w:w="2796" w:type="dxa"/>
            <w:vAlign w:val="top"/>
          </w:tcPr>
          <w:p w14:paraId="2FFE4E57">
            <w:pPr>
              <w:pStyle w:val="6"/>
              <w:spacing w:before="34" w:line="188" w:lineRule="auto"/>
              <w:ind w:left="913"/>
            </w:pPr>
            <w:r>
              <w:rPr>
                <w:spacing w:val="2"/>
              </w:rPr>
              <w:t>载重汽车</w:t>
            </w:r>
          </w:p>
        </w:tc>
        <w:tc>
          <w:tcPr>
            <w:tcW w:w="2832" w:type="dxa"/>
            <w:vAlign w:val="top"/>
          </w:tcPr>
          <w:p w14:paraId="5BC821ED">
            <w:pPr>
              <w:pStyle w:val="6"/>
              <w:spacing w:before="59" w:line="169" w:lineRule="auto"/>
              <w:ind w:left="1107"/>
            </w:pPr>
            <w:r>
              <w:rPr>
                <w:spacing w:val="-3"/>
              </w:rPr>
              <w:t>82-90</w:t>
            </w:r>
          </w:p>
        </w:tc>
      </w:tr>
      <w:tr w14:paraId="5B08F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14" w:type="dxa"/>
            <w:vMerge w:val="continue"/>
            <w:tcBorders>
              <w:top w:val="nil"/>
              <w:bottom w:val="nil"/>
            </w:tcBorders>
            <w:vAlign w:val="top"/>
          </w:tcPr>
          <w:p w14:paraId="20ED346C">
            <w:pPr>
              <w:rPr>
                <w:rFonts w:ascii="Arial"/>
                <w:sz w:val="21"/>
              </w:rPr>
            </w:pPr>
          </w:p>
        </w:tc>
        <w:tc>
          <w:tcPr>
            <w:tcW w:w="2827" w:type="dxa"/>
            <w:vMerge w:val="restart"/>
            <w:tcBorders>
              <w:bottom w:val="nil"/>
            </w:tcBorders>
            <w:vAlign w:val="top"/>
          </w:tcPr>
          <w:p w14:paraId="052685DA">
            <w:pPr>
              <w:pStyle w:val="6"/>
              <w:spacing w:before="185" w:line="219" w:lineRule="auto"/>
              <w:ind w:left="920"/>
            </w:pPr>
            <w:r>
              <w:rPr>
                <w:spacing w:val="-2"/>
              </w:rPr>
              <w:t>集电线路</w:t>
            </w:r>
          </w:p>
        </w:tc>
        <w:tc>
          <w:tcPr>
            <w:tcW w:w="2796" w:type="dxa"/>
            <w:vAlign w:val="top"/>
          </w:tcPr>
          <w:p w14:paraId="0027B147">
            <w:pPr>
              <w:pStyle w:val="6"/>
              <w:spacing w:before="35" w:line="196" w:lineRule="auto"/>
              <w:ind w:left="1033"/>
            </w:pPr>
            <w:r>
              <w:rPr>
                <w:spacing w:val="-2"/>
              </w:rPr>
              <w:t>挖掘机</w:t>
            </w:r>
          </w:p>
        </w:tc>
        <w:tc>
          <w:tcPr>
            <w:tcW w:w="2832" w:type="dxa"/>
            <w:vAlign w:val="top"/>
          </w:tcPr>
          <w:p w14:paraId="2322DB43">
            <w:pPr>
              <w:pStyle w:val="6"/>
              <w:spacing w:before="59" w:line="177" w:lineRule="auto"/>
              <w:ind w:left="1107"/>
            </w:pPr>
            <w:r>
              <w:rPr>
                <w:spacing w:val="-3"/>
              </w:rPr>
              <w:t>82-90</w:t>
            </w:r>
          </w:p>
        </w:tc>
      </w:tr>
      <w:tr w14:paraId="5792F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414" w:type="dxa"/>
            <w:vMerge w:val="continue"/>
            <w:tcBorders>
              <w:top w:val="nil"/>
              <w:bottom w:val="nil"/>
            </w:tcBorders>
            <w:vAlign w:val="top"/>
          </w:tcPr>
          <w:p w14:paraId="73484C2C">
            <w:pPr>
              <w:rPr>
                <w:rFonts w:ascii="Arial"/>
                <w:sz w:val="21"/>
              </w:rPr>
            </w:pPr>
          </w:p>
        </w:tc>
        <w:tc>
          <w:tcPr>
            <w:tcW w:w="2827" w:type="dxa"/>
            <w:vMerge w:val="continue"/>
            <w:tcBorders>
              <w:top w:val="nil"/>
            </w:tcBorders>
            <w:vAlign w:val="top"/>
          </w:tcPr>
          <w:p w14:paraId="67D8D36C">
            <w:pPr>
              <w:rPr>
                <w:rFonts w:ascii="Arial"/>
                <w:sz w:val="21"/>
              </w:rPr>
            </w:pPr>
          </w:p>
        </w:tc>
        <w:tc>
          <w:tcPr>
            <w:tcW w:w="2796" w:type="dxa"/>
            <w:vAlign w:val="top"/>
          </w:tcPr>
          <w:p w14:paraId="1C4490AA">
            <w:pPr>
              <w:pStyle w:val="6"/>
              <w:spacing w:before="34" w:line="188" w:lineRule="auto"/>
              <w:ind w:left="1033"/>
            </w:pPr>
            <w:r>
              <w:rPr>
                <w:spacing w:val="-3"/>
              </w:rPr>
              <w:t>推土机</w:t>
            </w:r>
          </w:p>
        </w:tc>
        <w:tc>
          <w:tcPr>
            <w:tcW w:w="2832" w:type="dxa"/>
            <w:vAlign w:val="top"/>
          </w:tcPr>
          <w:p w14:paraId="62F2A50D">
            <w:pPr>
              <w:pStyle w:val="6"/>
              <w:spacing w:before="59" w:line="169" w:lineRule="auto"/>
              <w:ind w:left="1107"/>
            </w:pPr>
            <w:r>
              <w:rPr>
                <w:spacing w:val="-3"/>
              </w:rPr>
              <w:t>83-88</w:t>
            </w:r>
          </w:p>
        </w:tc>
      </w:tr>
      <w:tr w14:paraId="13FB3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14" w:type="dxa"/>
            <w:vMerge w:val="continue"/>
            <w:tcBorders>
              <w:top w:val="nil"/>
              <w:bottom w:val="nil"/>
            </w:tcBorders>
            <w:vAlign w:val="top"/>
          </w:tcPr>
          <w:p w14:paraId="1962FD88">
            <w:pPr>
              <w:rPr>
                <w:rFonts w:ascii="Arial"/>
                <w:sz w:val="21"/>
              </w:rPr>
            </w:pPr>
          </w:p>
        </w:tc>
        <w:tc>
          <w:tcPr>
            <w:tcW w:w="2827" w:type="dxa"/>
            <w:vAlign w:val="top"/>
          </w:tcPr>
          <w:p w14:paraId="4B213031">
            <w:pPr>
              <w:pStyle w:val="6"/>
              <w:spacing w:before="47" w:line="189" w:lineRule="auto"/>
              <w:ind w:left="1157" w:hanging="1147"/>
            </w:pPr>
            <w:r>
              <w:rPr>
                <w:spacing w:val="-7"/>
              </w:rPr>
              <w:t>桩基础、箱变基础、升压站</w:t>
            </w:r>
            <w:r>
              <w:rPr>
                <w:spacing w:val="9"/>
              </w:rPr>
              <w:t xml:space="preserve"> </w:t>
            </w:r>
            <w:r>
              <w:rPr>
                <w:spacing w:val="4"/>
              </w:rPr>
              <w:t>土建</w:t>
            </w:r>
          </w:p>
        </w:tc>
        <w:tc>
          <w:tcPr>
            <w:tcW w:w="2796" w:type="dxa"/>
            <w:vAlign w:val="top"/>
          </w:tcPr>
          <w:p w14:paraId="7D54C0E6">
            <w:pPr>
              <w:pStyle w:val="6"/>
              <w:spacing w:before="165" w:line="219" w:lineRule="auto"/>
              <w:ind w:left="1033"/>
            </w:pPr>
            <w:r>
              <w:rPr>
                <w:spacing w:val="-2"/>
              </w:rPr>
              <w:t>搅拌机</w:t>
            </w:r>
          </w:p>
        </w:tc>
        <w:tc>
          <w:tcPr>
            <w:tcW w:w="2832" w:type="dxa"/>
            <w:vAlign w:val="top"/>
          </w:tcPr>
          <w:p w14:paraId="26DE11DA">
            <w:pPr>
              <w:pStyle w:val="6"/>
              <w:spacing w:before="190"/>
              <w:ind w:left="1107"/>
            </w:pPr>
            <w:r>
              <w:rPr>
                <w:spacing w:val="-3"/>
              </w:rPr>
              <w:t>80-88</w:t>
            </w:r>
          </w:p>
        </w:tc>
      </w:tr>
      <w:tr w14:paraId="742A3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2" w:hRule="atLeast"/>
        </w:trPr>
        <w:tc>
          <w:tcPr>
            <w:tcW w:w="414" w:type="dxa"/>
            <w:vMerge w:val="continue"/>
            <w:tcBorders>
              <w:top w:val="nil"/>
            </w:tcBorders>
            <w:vAlign w:val="top"/>
          </w:tcPr>
          <w:p w14:paraId="3E131F56">
            <w:pPr>
              <w:rPr>
                <w:rFonts w:ascii="Arial"/>
                <w:sz w:val="21"/>
              </w:rPr>
            </w:pPr>
          </w:p>
        </w:tc>
        <w:tc>
          <w:tcPr>
            <w:tcW w:w="8455" w:type="dxa"/>
            <w:gridSpan w:val="3"/>
            <w:vAlign w:val="top"/>
          </w:tcPr>
          <w:p w14:paraId="2364F171">
            <w:pPr>
              <w:pStyle w:val="6"/>
              <w:spacing w:before="58" w:line="220" w:lineRule="auto"/>
              <w:ind w:left="660"/>
            </w:pPr>
            <w:r>
              <w:rPr>
                <w:spacing w:val="1"/>
              </w:rPr>
              <w:t>(2)影响分析</w:t>
            </w:r>
          </w:p>
          <w:p w14:paraId="7CF5EF1A">
            <w:pPr>
              <w:pStyle w:val="6"/>
              <w:spacing w:before="181" w:line="348" w:lineRule="auto"/>
              <w:ind w:left="60" w:right="2" w:firstLine="469"/>
            </w:pPr>
            <w:r>
              <w:t>施工机械中除各种运输车辆外，一般可视为固定点声</w:t>
            </w:r>
            <w:r>
              <w:rPr>
                <w:spacing w:val="-1"/>
              </w:rPr>
              <w:t>源。在不考虑其它因素</w:t>
            </w:r>
            <w:r>
              <w:t xml:space="preserve"> 情况下，不同距离处各类施工机械的噪声贡献值预测模式如</w:t>
            </w:r>
            <w:r>
              <w:rPr>
                <w:spacing w:val="-1"/>
              </w:rPr>
              <w:t>下：</w:t>
            </w:r>
          </w:p>
          <w:p w14:paraId="70882C33">
            <w:pPr>
              <w:pStyle w:val="6"/>
              <w:spacing w:before="28" w:line="214" w:lineRule="auto"/>
              <w:ind w:left="2880"/>
            </w:pPr>
            <w:r>
              <w:rPr>
                <w:spacing w:val="-1"/>
              </w:rPr>
              <w:t>Lp(r)=Lp(ro)-201g(r/ro)</w:t>
            </w:r>
          </w:p>
          <w:p w14:paraId="3DFEEEB8">
            <w:pPr>
              <w:pStyle w:val="6"/>
              <w:spacing w:before="173" w:line="214" w:lineRule="auto"/>
              <w:ind w:left="550"/>
            </w:pPr>
            <w:r>
              <w:rPr>
                <w:spacing w:val="-3"/>
              </w:rPr>
              <w:t>式中：Lp(r)—距离声源r处的声压级，dB;</w:t>
            </w:r>
          </w:p>
          <w:p w14:paraId="5E605145">
            <w:pPr>
              <w:pStyle w:val="6"/>
              <w:spacing w:before="202" w:line="214" w:lineRule="auto"/>
              <w:ind w:left="1260"/>
            </w:pPr>
            <w:r>
              <w:rPr>
                <w:spacing w:val="-3"/>
              </w:rPr>
              <w:t>Lp(ro)—参考位置ro处的声压级，dB;</w:t>
            </w:r>
          </w:p>
          <w:p w14:paraId="0CBEE0A9">
            <w:pPr>
              <w:pStyle w:val="6"/>
              <w:spacing w:before="169" w:line="220" w:lineRule="auto"/>
              <w:ind w:left="1241"/>
            </w:pPr>
            <w:r>
              <w:rPr>
                <w:spacing w:val="-5"/>
              </w:rPr>
              <w:t>r—预测点距离声源的距离，m;</w:t>
            </w:r>
          </w:p>
          <w:p w14:paraId="01AA2D10">
            <w:pPr>
              <w:pStyle w:val="6"/>
              <w:spacing w:before="183" w:line="219" w:lineRule="auto"/>
              <w:ind w:left="1260"/>
            </w:pPr>
            <w:r>
              <w:rPr>
                <w:spacing w:val="-4"/>
              </w:rPr>
              <w:t>r0—参考位置距离声源的距离，m;</w:t>
            </w:r>
          </w:p>
        </w:tc>
      </w:tr>
    </w:tbl>
    <w:p w14:paraId="474AD3B5">
      <w:pPr>
        <w:pStyle w:val="2"/>
      </w:pPr>
    </w:p>
    <w:p w14:paraId="4BF90016">
      <w:pPr>
        <w:sectPr>
          <w:footerReference r:id="rId89" w:type="default"/>
          <w:pgSz w:w="11910" w:h="16840"/>
          <w:pgMar w:top="1431" w:right="1584" w:bottom="1234" w:left="1445" w:header="0" w:footer="1099" w:gutter="0"/>
          <w:cols w:space="720" w:num="1"/>
        </w:sectPr>
      </w:pPr>
    </w:p>
    <w:p w14:paraId="6EC32D8F">
      <w:pPr>
        <w:spacing w:line="68" w:lineRule="exact"/>
      </w:pPr>
    </w:p>
    <w:tbl>
      <w:tblPr>
        <w:tblStyle w:val="5"/>
        <w:tblW w:w="9017" w:type="dxa"/>
        <w:tblInd w:w="5" w:type="dxa"/>
        <w:tblBorders>
          <w:top w:val="single" w:color="000000" w:sz="4" w:space="0"/>
          <w:left w:val="single" w:color="000000" w:sz="4" w:space="0"/>
          <w:bottom w:val="single" w:color="000000" w:sz="2"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017"/>
      </w:tblGrid>
      <w:tr w14:paraId="6A5902CD">
        <w:tblPrEx>
          <w:tblBorders>
            <w:top w:val="single" w:color="000000" w:sz="4" w:space="0"/>
            <w:left w:val="single" w:color="000000" w:sz="4" w:space="0"/>
            <w:bottom w:val="single" w:color="000000" w:sz="2"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3745" w:hRule="atLeast"/>
        </w:trPr>
        <w:tc>
          <w:tcPr>
            <w:tcW w:w="9017" w:type="dxa"/>
            <w:vAlign w:val="top"/>
          </w:tcPr>
          <w:p w14:paraId="6ECBF921">
            <w:pPr>
              <w:pStyle w:val="6"/>
              <w:spacing w:before="68" w:line="219" w:lineRule="auto"/>
              <w:ind w:left="1019"/>
            </w:pPr>
            <w:r>
              <w:rPr>
                <w:spacing w:val="-2"/>
              </w:rPr>
              <w:t>项目施工机械噪声随距离衰减后的影响值见表4-3。</w:t>
            </w:r>
          </w:p>
          <w:p w14:paraId="00CE80FB">
            <w:pPr>
              <w:pStyle w:val="6"/>
              <w:spacing w:before="173" w:line="206" w:lineRule="auto"/>
              <w:ind w:left="2063"/>
              <w:rPr>
                <w:sz w:val="25"/>
                <w:szCs w:val="25"/>
              </w:rPr>
            </w:pPr>
            <w:r>
              <w:rPr>
                <w:b/>
                <w:bCs/>
                <w:spacing w:val="-3"/>
                <w:sz w:val="25"/>
                <w:szCs w:val="25"/>
              </w:rPr>
              <w:t>表4-3</w:t>
            </w:r>
            <w:r>
              <w:rPr>
                <w:spacing w:val="-3"/>
                <w:sz w:val="25"/>
                <w:szCs w:val="25"/>
              </w:rPr>
              <w:t xml:space="preserve">  </w:t>
            </w:r>
            <w:r>
              <w:rPr>
                <w:b/>
                <w:bCs/>
                <w:spacing w:val="-3"/>
                <w:sz w:val="25"/>
                <w:szCs w:val="25"/>
              </w:rPr>
              <w:t>几种施工机械在不同距离处的噪声预测值</w:t>
            </w:r>
          </w:p>
          <w:tbl>
            <w:tblPr>
              <w:tblStyle w:val="5"/>
              <w:tblW w:w="8319" w:type="dxa"/>
              <w:tblInd w:w="5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3"/>
              <w:gridCol w:w="629"/>
              <w:gridCol w:w="579"/>
              <w:gridCol w:w="579"/>
              <w:gridCol w:w="570"/>
              <w:gridCol w:w="579"/>
              <w:gridCol w:w="589"/>
              <w:gridCol w:w="729"/>
              <w:gridCol w:w="729"/>
              <w:gridCol w:w="749"/>
              <w:gridCol w:w="714"/>
            </w:tblGrid>
            <w:tr w14:paraId="06D71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873" w:type="dxa"/>
                  <w:vMerge w:val="restart"/>
                  <w:tcBorders>
                    <w:bottom w:val="nil"/>
                  </w:tcBorders>
                  <w:vAlign w:val="top"/>
                </w:tcPr>
                <w:p w14:paraId="40F54821">
                  <w:pPr>
                    <w:pStyle w:val="6"/>
                    <w:spacing w:before="239" w:line="219" w:lineRule="auto"/>
                    <w:ind w:left="507"/>
                    <w:rPr>
                      <w:sz w:val="21"/>
                      <w:szCs w:val="21"/>
                    </w:rPr>
                  </w:pPr>
                  <w:r>
                    <w:rPr>
                      <w:b/>
                      <w:bCs/>
                      <w:spacing w:val="-4"/>
                      <w:sz w:val="21"/>
                      <w:szCs w:val="21"/>
                    </w:rPr>
                    <w:t>机械名称</w:t>
                  </w:r>
                </w:p>
              </w:tc>
              <w:tc>
                <w:tcPr>
                  <w:tcW w:w="6446" w:type="dxa"/>
                  <w:gridSpan w:val="10"/>
                  <w:vAlign w:val="top"/>
                </w:tcPr>
                <w:p w14:paraId="0DF78366">
                  <w:pPr>
                    <w:pStyle w:val="6"/>
                    <w:spacing w:before="61" w:line="220" w:lineRule="auto"/>
                    <w:ind w:left="1814"/>
                    <w:rPr>
                      <w:sz w:val="21"/>
                      <w:szCs w:val="21"/>
                    </w:rPr>
                  </w:pPr>
                  <w:r>
                    <w:rPr>
                      <w:b/>
                      <w:bCs/>
                      <w:spacing w:val="-1"/>
                      <w:sz w:val="21"/>
                      <w:szCs w:val="21"/>
                    </w:rPr>
                    <w:t>不同距离处的噪声预测(dB(A))</w:t>
                  </w:r>
                </w:p>
              </w:tc>
            </w:tr>
            <w:tr w14:paraId="43F17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873" w:type="dxa"/>
                  <w:vMerge w:val="continue"/>
                  <w:tcBorders>
                    <w:top w:val="nil"/>
                  </w:tcBorders>
                  <w:vAlign w:val="top"/>
                </w:tcPr>
                <w:p w14:paraId="09D571E0">
                  <w:pPr>
                    <w:rPr>
                      <w:rFonts w:ascii="Arial"/>
                      <w:sz w:val="21"/>
                    </w:rPr>
                  </w:pPr>
                </w:p>
              </w:tc>
              <w:tc>
                <w:tcPr>
                  <w:tcW w:w="629" w:type="dxa"/>
                  <w:vAlign w:val="top"/>
                </w:tcPr>
                <w:p w14:paraId="04F7AEEA">
                  <w:pPr>
                    <w:pStyle w:val="6"/>
                    <w:spacing w:before="88" w:line="211" w:lineRule="auto"/>
                    <w:ind w:left="204"/>
                    <w:rPr>
                      <w:sz w:val="21"/>
                      <w:szCs w:val="21"/>
                    </w:rPr>
                  </w:pPr>
                  <w:r>
                    <w:rPr>
                      <w:b/>
                      <w:bCs/>
                      <w:spacing w:val="-6"/>
                      <w:sz w:val="21"/>
                      <w:szCs w:val="21"/>
                    </w:rPr>
                    <w:t>5m</w:t>
                  </w:r>
                </w:p>
              </w:tc>
              <w:tc>
                <w:tcPr>
                  <w:tcW w:w="579" w:type="dxa"/>
                  <w:vAlign w:val="top"/>
                </w:tcPr>
                <w:p w14:paraId="08D3A8EB">
                  <w:pPr>
                    <w:pStyle w:val="6"/>
                    <w:spacing w:before="88" w:line="211" w:lineRule="auto"/>
                    <w:ind w:left="125"/>
                    <w:rPr>
                      <w:sz w:val="21"/>
                      <w:szCs w:val="21"/>
                    </w:rPr>
                  </w:pPr>
                  <w:r>
                    <w:rPr>
                      <w:b/>
                      <w:bCs/>
                      <w:spacing w:val="-8"/>
                      <w:sz w:val="21"/>
                      <w:szCs w:val="21"/>
                    </w:rPr>
                    <w:t>10m</w:t>
                  </w:r>
                </w:p>
              </w:tc>
              <w:tc>
                <w:tcPr>
                  <w:tcW w:w="579" w:type="dxa"/>
                  <w:vAlign w:val="top"/>
                </w:tcPr>
                <w:p w14:paraId="7E5BCE57">
                  <w:pPr>
                    <w:pStyle w:val="6"/>
                    <w:spacing w:before="88" w:line="211" w:lineRule="auto"/>
                    <w:ind w:left="126"/>
                    <w:rPr>
                      <w:sz w:val="21"/>
                      <w:szCs w:val="21"/>
                    </w:rPr>
                  </w:pPr>
                  <w:r>
                    <w:rPr>
                      <w:b/>
                      <w:bCs/>
                      <w:spacing w:val="-5"/>
                      <w:sz w:val="21"/>
                      <w:szCs w:val="21"/>
                    </w:rPr>
                    <w:t>30m</w:t>
                  </w:r>
                </w:p>
              </w:tc>
              <w:tc>
                <w:tcPr>
                  <w:tcW w:w="570" w:type="dxa"/>
                  <w:vAlign w:val="top"/>
                </w:tcPr>
                <w:p w14:paraId="33CA4287">
                  <w:pPr>
                    <w:pStyle w:val="6"/>
                    <w:spacing w:before="88" w:line="211" w:lineRule="auto"/>
                    <w:ind w:left="117"/>
                    <w:rPr>
                      <w:sz w:val="21"/>
                      <w:szCs w:val="21"/>
                    </w:rPr>
                  </w:pPr>
                  <w:r>
                    <w:rPr>
                      <w:b/>
                      <w:bCs/>
                      <w:spacing w:val="-4"/>
                      <w:sz w:val="21"/>
                      <w:szCs w:val="21"/>
                    </w:rPr>
                    <w:t>40m</w:t>
                  </w:r>
                </w:p>
              </w:tc>
              <w:tc>
                <w:tcPr>
                  <w:tcW w:w="579" w:type="dxa"/>
                  <w:vAlign w:val="top"/>
                </w:tcPr>
                <w:p w14:paraId="736396FD">
                  <w:pPr>
                    <w:pStyle w:val="6"/>
                    <w:spacing w:before="88" w:line="211" w:lineRule="auto"/>
                    <w:ind w:left="128"/>
                    <w:rPr>
                      <w:sz w:val="21"/>
                      <w:szCs w:val="21"/>
                    </w:rPr>
                  </w:pPr>
                  <w:r>
                    <w:rPr>
                      <w:b/>
                      <w:bCs/>
                      <w:spacing w:val="-5"/>
                      <w:sz w:val="21"/>
                      <w:szCs w:val="21"/>
                    </w:rPr>
                    <w:t>50m</w:t>
                  </w:r>
                </w:p>
              </w:tc>
              <w:tc>
                <w:tcPr>
                  <w:tcW w:w="589" w:type="dxa"/>
                  <w:vAlign w:val="top"/>
                </w:tcPr>
                <w:p w14:paraId="2ADBC697">
                  <w:pPr>
                    <w:pStyle w:val="6"/>
                    <w:spacing w:before="88" w:line="211" w:lineRule="auto"/>
                    <w:ind w:left="79"/>
                    <w:rPr>
                      <w:sz w:val="21"/>
                      <w:szCs w:val="21"/>
                    </w:rPr>
                  </w:pPr>
                  <w:r>
                    <w:rPr>
                      <w:b/>
                      <w:bCs/>
                      <w:spacing w:val="-7"/>
                      <w:sz w:val="21"/>
                      <w:szCs w:val="21"/>
                    </w:rPr>
                    <w:t>100m</w:t>
                  </w:r>
                </w:p>
              </w:tc>
              <w:tc>
                <w:tcPr>
                  <w:tcW w:w="729" w:type="dxa"/>
                  <w:vAlign w:val="top"/>
                </w:tcPr>
                <w:p w14:paraId="198FA92D">
                  <w:pPr>
                    <w:pStyle w:val="6"/>
                    <w:spacing w:before="88" w:line="211" w:lineRule="auto"/>
                    <w:ind w:left="149"/>
                    <w:rPr>
                      <w:sz w:val="21"/>
                      <w:szCs w:val="21"/>
                    </w:rPr>
                  </w:pPr>
                  <w:r>
                    <w:rPr>
                      <w:b/>
                      <w:bCs/>
                      <w:spacing w:val="-7"/>
                      <w:sz w:val="21"/>
                      <w:szCs w:val="21"/>
                    </w:rPr>
                    <w:t>150m</w:t>
                  </w:r>
                </w:p>
              </w:tc>
              <w:tc>
                <w:tcPr>
                  <w:tcW w:w="729" w:type="dxa"/>
                  <w:vAlign w:val="top"/>
                </w:tcPr>
                <w:p w14:paraId="69156F37">
                  <w:pPr>
                    <w:pStyle w:val="6"/>
                    <w:spacing w:before="88" w:line="211" w:lineRule="auto"/>
                    <w:ind w:left="151"/>
                    <w:rPr>
                      <w:sz w:val="21"/>
                      <w:szCs w:val="21"/>
                    </w:rPr>
                  </w:pPr>
                  <w:r>
                    <w:rPr>
                      <w:b/>
                      <w:bCs/>
                      <w:spacing w:val="-5"/>
                      <w:sz w:val="21"/>
                      <w:szCs w:val="21"/>
                    </w:rPr>
                    <w:t>200m</w:t>
                  </w:r>
                </w:p>
              </w:tc>
              <w:tc>
                <w:tcPr>
                  <w:tcW w:w="749" w:type="dxa"/>
                  <w:vAlign w:val="top"/>
                </w:tcPr>
                <w:p w14:paraId="768AF71E">
                  <w:pPr>
                    <w:pStyle w:val="6"/>
                    <w:spacing w:before="88" w:line="211" w:lineRule="auto"/>
                    <w:ind w:left="161"/>
                    <w:rPr>
                      <w:sz w:val="21"/>
                      <w:szCs w:val="21"/>
                    </w:rPr>
                  </w:pPr>
                  <w:r>
                    <w:rPr>
                      <w:b/>
                      <w:bCs/>
                      <w:spacing w:val="-5"/>
                      <w:sz w:val="21"/>
                      <w:szCs w:val="21"/>
                    </w:rPr>
                    <w:t>250m</w:t>
                  </w:r>
                </w:p>
              </w:tc>
              <w:tc>
                <w:tcPr>
                  <w:tcW w:w="714" w:type="dxa"/>
                  <w:vAlign w:val="top"/>
                </w:tcPr>
                <w:p w14:paraId="68F34275">
                  <w:pPr>
                    <w:pStyle w:val="6"/>
                    <w:spacing w:before="88" w:line="211" w:lineRule="auto"/>
                    <w:ind w:left="142"/>
                    <w:rPr>
                      <w:sz w:val="21"/>
                      <w:szCs w:val="21"/>
                    </w:rPr>
                  </w:pPr>
                  <w:r>
                    <w:rPr>
                      <w:b/>
                      <w:bCs/>
                      <w:spacing w:val="-5"/>
                      <w:sz w:val="21"/>
                      <w:szCs w:val="21"/>
                    </w:rPr>
                    <w:t>300m</w:t>
                  </w:r>
                </w:p>
              </w:tc>
            </w:tr>
            <w:tr w14:paraId="524D0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873" w:type="dxa"/>
                  <w:vAlign w:val="top"/>
                </w:tcPr>
                <w:p w14:paraId="6E489E49">
                  <w:pPr>
                    <w:pStyle w:val="6"/>
                    <w:spacing w:before="59" w:line="219" w:lineRule="auto"/>
                    <w:ind w:left="614"/>
                    <w:rPr>
                      <w:sz w:val="21"/>
                      <w:szCs w:val="21"/>
                    </w:rPr>
                  </w:pPr>
                  <w:r>
                    <w:rPr>
                      <w:spacing w:val="-2"/>
                      <w:sz w:val="21"/>
                      <w:szCs w:val="21"/>
                    </w:rPr>
                    <w:t>挖掘机</w:t>
                  </w:r>
                </w:p>
              </w:tc>
              <w:tc>
                <w:tcPr>
                  <w:tcW w:w="629" w:type="dxa"/>
                  <w:vAlign w:val="top"/>
                </w:tcPr>
                <w:p w14:paraId="079CE3FF">
                  <w:pPr>
                    <w:pStyle w:val="6"/>
                    <w:spacing w:before="81" w:line="209" w:lineRule="auto"/>
                    <w:ind w:left="201"/>
                    <w:rPr>
                      <w:sz w:val="21"/>
                      <w:szCs w:val="21"/>
                    </w:rPr>
                  </w:pPr>
                  <w:r>
                    <w:rPr>
                      <w:spacing w:val="-3"/>
                      <w:sz w:val="21"/>
                      <w:szCs w:val="21"/>
                    </w:rPr>
                    <w:t>86</w:t>
                  </w:r>
                </w:p>
              </w:tc>
              <w:tc>
                <w:tcPr>
                  <w:tcW w:w="579" w:type="dxa"/>
                  <w:vAlign w:val="top"/>
                </w:tcPr>
                <w:p w14:paraId="3CC9168A">
                  <w:pPr>
                    <w:pStyle w:val="6"/>
                    <w:spacing w:before="81" w:line="209" w:lineRule="auto"/>
                    <w:ind w:left="172"/>
                    <w:rPr>
                      <w:sz w:val="21"/>
                      <w:szCs w:val="21"/>
                    </w:rPr>
                  </w:pPr>
                  <w:r>
                    <w:rPr>
                      <w:spacing w:val="-4"/>
                      <w:sz w:val="21"/>
                      <w:szCs w:val="21"/>
                    </w:rPr>
                    <w:t>72</w:t>
                  </w:r>
                </w:p>
              </w:tc>
              <w:tc>
                <w:tcPr>
                  <w:tcW w:w="579" w:type="dxa"/>
                  <w:vAlign w:val="top"/>
                </w:tcPr>
                <w:p w14:paraId="2549E65A">
                  <w:pPr>
                    <w:pStyle w:val="6"/>
                    <w:spacing w:before="81" w:line="209" w:lineRule="auto"/>
                    <w:ind w:left="174"/>
                    <w:rPr>
                      <w:sz w:val="21"/>
                      <w:szCs w:val="21"/>
                    </w:rPr>
                  </w:pPr>
                  <w:r>
                    <w:rPr>
                      <w:spacing w:val="-4"/>
                      <w:sz w:val="21"/>
                      <w:szCs w:val="21"/>
                    </w:rPr>
                    <w:t>58</w:t>
                  </w:r>
                </w:p>
              </w:tc>
              <w:tc>
                <w:tcPr>
                  <w:tcW w:w="570" w:type="dxa"/>
                  <w:vAlign w:val="top"/>
                </w:tcPr>
                <w:p w14:paraId="22530CD0">
                  <w:pPr>
                    <w:pStyle w:val="6"/>
                    <w:spacing w:before="81" w:line="209" w:lineRule="auto"/>
                    <w:ind w:left="175"/>
                    <w:rPr>
                      <w:sz w:val="21"/>
                      <w:szCs w:val="21"/>
                    </w:rPr>
                  </w:pPr>
                  <w:r>
                    <w:rPr>
                      <w:spacing w:val="-4"/>
                      <w:sz w:val="21"/>
                      <w:szCs w:val="21"/>
                    </w:rPr>
                    <w:t>55</w:t>
                  </w:r>
                </w:p>
              </w:tc>
              <w:tc>
                <w:tcPr>
                  <w:tcW w:w="579" w:type="dxa"/>
                  <w:vAlign w:val="top"/>
                </w:tcPr>
                <w:p w14:paraId="10C56DDE">
                  <w:pPr>
                    <w:pStyle w:val="6"/>
                    <w:spacing w:before="81" w:line="209" w:lineRule="auto"/>
                    <w:ind w:left="174"/>
                    <w:rPr>
                      <w:sz w:val="21"/>
                      <w:szCs w:val="21"/>
                    </w:rPr>
                  </w:pPr>
                  <w:r>
                    <w:rPr>
                      <w:spacing w:val="-4"/>
                      <w:sz w:val="21"/>
                      <w:szCs w:val="21"/>
                    </w:rPr>
                    <w:t>53</w:t>
                  </w:r>
                </w:p>
              </w:tc>
              <w:tc>
                <w:tcPr>
                  <w:tcW w:w="589" w:type="dxa"/>
                  <w:vAlign w:val="top"/>
                </w:tcPr>
                <w:p w14:paraId="495C33F7">
                  <w:pPr>
                    <w:pStyle w:val="6"/>
                    <w:spacing w:before="81" w:line="209" w:lineRule="auto"/>
                    <w:ind w:left="185"/>
                    <w:rPr>
                      <w:sz w:val="21"/>
                      <w:szCs w:val="21"/>
                    </w:rPr>
                  </w:pPr>
                  <w:r>
                    <w:rPr>
                      <w:spacing w:val="-2"/>
                      <w:sz w:val="21"/>
                      <w:szCs w:val="21"/>
                    </w:rPr>
                    <w:t>46</w:t>
                  </w:r>
                </w:p>
              </w:tc>
              <w:tc>
                <w:tcPr>
                  <w:tcW w:w="729" w:type="dxa"/>
                  <w:vAlign w:val="top"/>
                </w:tcPr>
                <w:p w14:paraId="4976ABBE">
                  <w:pPr>
                    <w:pStyle w:val="6"/>
                    <w:spacing w:before="81" w:line="209" w:lineRule="auto"/>
                    <w:ind w:left="256"/>
                    <w:rPr>
                      <w:sz w:val="21"/>
                      <w:szCs w:val="21"/>
                    </w:rPr>
                  </w:pPr>
                  <w:r>
                    <w:rPr>
                      <w:spacing w:val="-2"/>
                      <w:sz w:val="21"/>
                      <w:szCs w:val="21"/>
                    </w:rPr>
                    <w:t>43</w:t>
                  </w:r>
                </w:p>
              </w:tc>
              <w:tc>
                <w:tcPr>
                  <w:tcW w:w="729" w:type="dxa"/>
                  <w:vAlign w:val="top"/>
                </w:tcPr>
                <w:p w14:paraId="33F546BB">
                  <w:pPr>
                    <w:pStyle w:val="6"/>
                    <w:spacing w:before="81" w:line="209" w:lineRule="auto"/>
                    <w:ind w:left="257"/>
                    <w:rPr>
                      <w:sz w:val="21"/>
                      <w:szCs w:val="21"/>
                    </w:rPr>
                  </w:pPr>
                  <w:r>
                    <w:rPr>
                      <w:spacing w:val="-2"/>
                      <w:sz w:val="21"/>
                      <w:szCs w:val="21"/>
                    </w:rPr>
                    <w:t>40</w:t>
                  </w:r>
                </w:p>
              </w:tc>
              <w:tc>
                <w:tcPr>
                  <w:tcW w:w="749" w:type="dxa"/>
                  <w:vAlign w:val="top"/>
                </w:tcPr>
                <w:p w14:paraId="08A80413">
                  <w:pPr>
                    <w:pStyle w:val="6"/>
                    <w:spacing w:before="81" w:line="209" w:lineRule="auto"/>
                    <w:ind w:left="268"/>
                    <w:rPr>
                      <w:sz w:val="21"/>
                      <w:szCs w:val="21"/>
                    </w:rPr>
                  </w:pPr>
                  <w:r>
                    <w:rPr>
                      <w:spacing w:val="-4"/>
                      <w:sz w:val="21"/>
                      <w:szCs w:val="21"/>
                    </w:rPr>
                    <w:t>38</w:t>
                  </w:r>
                </w:p>
              </w:tc>
              <w:tc>
                <w:tcPr>
                  <w:tcW w:w="714" w:type="dxa"/>
                  <w:vAlign w:val="top"/>
                </w:tcPr>
                <w:p w14:paraId="7C984649">
                  <w:pPr>
                    <w:pStyle w:val="6"/>
                    <w:spacing w:before="81" w:line="209" w:lineRule="auto"/>
                    <w:ind w:left="250"/>
                    <w:rPr>
                      <w:sz w:val="21"/>
                      <w:szCs w:val="21"/>
                    </w:rPr>
                  </w:pPr>
                  <w:r>
                    <w:rPr>
                      <w:spacing w:val="-4"/>
                      <w:sz w:val="21"/>
                      <w:szCs w:val="21"/>
                    </w:rPr>
                    <w:t>37</w:t>
                  </w:r>
                </w:p>
              </w:tc>
            </w:tr>
            <w:tr w14:paraId="72CAA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873" w:type="dxa"/>
                  <w:vAlign w:val="top"/>
                </w:tcPr>
                <w:p w14:paraId="69D0B063">
                  <w:pPr>
                    <w:pStyle w:val="6"/>
                    <w:spacing w:before="60" w:line="219" w:lineRule="auto"/>
                    <w:ind w:left="614"/>
                    <w:rPr>
                      <w:sz w:val="21"/>
                      <w:szCs w:val="21"/>
                    </w:rPr>
                  </w:pPr>
                  <w:r>
                    <w:rPr>
                      <w:spacing w:val="-3"/>
                      <w:sz w:val="21"/>
                      <w:szCs w:val="21"/>
                    </w:rPr>
                    <w:t>压路机</w:t>
                  </w:r>
                </w:p>
              </w:tc>
              <w:tc>
                <w:tcPr>
                  <w:tcW w:w="629" w:type="dxa"/>
                  <w:vAlign w:val="top"/>
                </w:tcPr>
                <w:p w14:paraId="4C4BAAF4">
                  <w:pPr>
                    <w:pStyle w:val="6"/>
                    <w:spacing w:before="82" w:line="208" w:lineRule="auto"/>
                    <w:ind w:left="201"/>
                    <w:rPr>
                      <w:sz w:val="21"/>
                      <w:szCs w:val="21"/>
                    </w:rPr>
                  </w:pPr>
                  <w:r>
                    <w:rPr>
                      <w:spacing w:val="-3"/>
                      <w:sz w:val="21"/>
                      <w:szCs w:val="21"/>
                    </w:rPr>
                    <w:t>85</w:t>
                  </w:r>
                </w:p>
              </w:tc>
              <w:tc>
                <w:tcPr>
                  <w:tcW w:w="579" w:type="dxa"/>
                  <w:vAlign w:val="top"/>
                </w:tcPr>
                <w:p w14:paraId="463B67F1">
                  <w:pPr>
                    <w:pStyle w:val="6"/>
                    <w:spacing w:before="82" w:line="208" w:lineRule="auto"/>
                    <w:ind w:left="172"/>
                    <w:rPr>
                      <w:sz w:val="21"/>
                      <w:szCs w:val="21"/>
                    </w:rPr>
                  </w:pPr>
                  <w:r>
                    <w:rPr>
                      <w:spacing w:val="-4"/>
                      <w:sz w:val="21"/>
                      <w:szCs w:val="21"/>
                    </w:rPr>
                    <w:t>71</w:t>
                  </w:r>
                </w:p>
              </w:tc>
              <w:tc>
                <w:tcPr>
                  <w:tcW w:w="579" w:type="dxa"/>
                  <w:vAlign w:val="top"/>
                </w:tcPr>
                <w:p w14:paraId="16E5DB65">
                  <w:pPr>
                    <w:pStyle w:val="6"/>
                    <w:spacing w:before="82" w:line="208" w:lineRule="auto"/>
                    <w:ind w:left="174"/>
                    <w:rPr>
                      <w:sz w:val="21"/>
                      <w:szCs w:val="21"/>
                    </w:rPr>
                  </w:pPr>
                  <w:r>
                    <w:rPr>
                      <w:spacing w:val="-4"/>
                      <w:sz w:val="21"/>
                      <w:szCs w:val="21"/>
                    </w:rPr>
                    <w:t>57</w:t>
                  </w:r>
                </w:p>
              </w:tc>
              <w:tc>
                <w:tcPr>
                  <w:tcW w:w="570" w:type="dxa"/>
                  <w:vAlign w:val="top"/>
                </w:tcPr>
                <w:p w14:paraId="28E751DB">
                  <w:pPr>
                    <w:pStyle w:val="6"/>
                    <w:spacing w:before="82" w:line="208" w:lineRule="auto"/>
                    <w:ind w:left="175"/>
                    <w:rPr>
                      <w:sz w:val="21"/>
                      <w:szCs w:val="21"/>
                    </w:rPr>
                  </w:pPr>
                  <w:r>
                    <w:rPr>
                      <w:spacing w:val="-4"/>
                      <w:sz w:val="21"/>
                      <w:szCs w:val="21"/>
                    </w:rPr>
                    <w:t>54</w:t>
                  </w:r>
                </w:p>
              </w:tc>
              <w:tc>
                <w:tcPr>
                  <w:tcW w:w="579" w:type="dxa"/>
                  <w:vAlign w:val="top"/>
                </w:tcPr>
                <w:p w14:paraId="328EFD39">
                  <w:pPr>
                    <w:pStyle w:val="6"/>
                    <w:spacing w:before="82" w:line="208" w:lineRule="auto"/>
                    <w:ind w:left="174"/>
                    <w:rPr>
                      <w:sz w:val="21"/>
                      <w:szCs w:val="21"/>
                    </w:rPr>
                  </w:pPr>
                  <w:r>
                    <w:rPr>
                      <w:spacing w:val="-4"/>
                      <w:sz w:val="21"/>
                      <w:szCs w:val="21"/>
                    </w:rPr>
                    <w:t>52</w:t>
                  </w:r>
                </w:p>
              </w:tc>
              <w:tc>
                <w:tcPr>
                  <w:tcW w:w="589" w:type="dxa"/>
                  <w:vAlign w:val="top"/>
                </w:tcPr>
                <w:p w14:paraId="35D8D824">
                  <w:pPr>
                    <w:pStyle w:val="6"/>
                    <w:spacing w:before="82" w:line="208" w:lineRule="auto"/>
                    <w:ind w:left="185"/>
                    <w:rPr>
                      <w:sz w:val="21"/>
                      <w:szCs w:val="21"/>
                    </w:rPr>
                  </w:pPr>
                  <w:r>
                    <w:rPr>
                      <w:spacing w:val="-2"/>
                      <w:sz w:val="21"/>
                      <w:szCs w:val="21"/>
                    </w:rPr>
                    <w:t>45</w:t>
                  </w:r>
                </w:p>
              </w:tc>
              <w:tc>
                <w:tcPr>
                  <w:tcW w:w="729" w:type="dxa"/>
                  <w:vAlign w:val="top"/>
                </w:tcPr>
                <w:p w14:paraId="1B83C7D7">
                  <w:pPr>
                    <w:pStyle w:val="6"/>
                    <w:spacing w:before="82" w:line="208" w:lineRule="auto"/>
                    <w:ind w:left="256"/>
                    <w:rPr>
                      <w:sz w:val="21"/>
                      <w:szCs w:val="21"/>
                    </w:rPr>
                  </w:pPr>
                  <w:r>
                    <w:rPr>
                      <w:spacing w:val="-2"/>
                      <w:sz w:val="21"/>
                      <w:szCs w:val="21"/>
                    </w:rPr>
                    <w:t>42</w:t>
                  </w:r>
                </w:p>
              </w:tc>
              <w:tc>
                <w:tcPr>
                  <w:tcW w:w="729" w:type="dxa"/>
                  <w:vAlign w:val="top"/>
                </w:tcPr>
                <w:p w14:paraId="76868B7A">
                  <w:pPr>
                    <w:pStyle w:val="6"/>
                    <w:spacing w:before="82" w:line="208" w:lineRule="auto"/>
                    <w:ind w:left="257"/>
                    <w:rPr>
                      <w:sz w:val="21"/>
                      <w:szCs w:val="21"/>
                    </w:rPr>
                  </w:pPr>
                  <w:r>
                    <w:rPr>
                      <w:spacing w:val="-4"/>
                      <w:sz w:val="21"/>
                      <w:szCs w:val="21"/>
                    </w:rPr>
                    <w:t>39</w:t>
                  </w:r>
                </w:p>
              </w:tc>
              <w:tc>
                <w:tcPr>
                  <w:tcW w:w="749" w:type="dxa"/>
                  <w:vAlign w:val="top"/>
                </w:tcPr>
                <w:p w14:paraId="558115C4">
                  <w:pPr>
                    <w:pStyle w:val="6"/>
                    <w:spacing w:before="82" w:line="208" w:lineRule="auto"/>
                    <w:ind w:left="268"/>
                    <w:rPr>
                      <w:sz w:val="21"/>
                      <w:szCs w:val="21"/>
                    </w:rPr>
                  </w:pPr>
                  <w:r>
                    <w:rPr>
                      <w:spacing w:val="-4"/>
                      <w:sz w:val="21"/>
                      <w:szCs w:val="21"/>
                    </w:rPr>
                    <w:t>37</w:t>
                  </w:r>
                </w:p>
              </w:tc>
              <w:tc>
                <w:tcPr>
                  <w:tcW w:w="714" w:type="dxa"/>
                  <w:vAlign w:val="top"/>
                </w:tcPr>
                <w:p w14:paraId="57373ECB">
                  <w:pPr>
                    <w:pStyle w:val="6"/>
                    <w:spacing w:before="82" w:line="208" w:lineRule="auto"/>
                    <w:ind w:left="250"/>
                    <w:rPr>
                      <w:sz w:val="21"/>
                      <w:szCs w:val="21"/>
                    </w:rPr>
                  </w:pPr>
                  <w:r>
                    <w:rPr>
                      <w:spacing w:val="-4"/>
                      <w:sz w:val="21"/>
                      <w:szCs w:val="21"/>
                    </w:rPr>
                    <w:t>36</w:t>
                  </w:r>
                </w:p>
              </w:tc>
            </w:tr>
            <w:tr w14:paraId="61E3B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873" w:type="dxa"/>
                  <w:vAlign w:val="top"/>
                </w:tcPr>
                <w:p w14:paraId="471267EB">
                  <w:pPr>
                    <w:pStyle w:val="6"/>
                    <w:spacing w:before="61" w:line="219" w:lineRule="auto"/>
                    <w:ind w:left="614"/>
                    <w:rPr>
                      <w:sz w:val="21"/>
                      <w:szCs w:val="21"/>
                    </w:rPr>
                  </w:pPr>
                  <w:r>
                    <w:rPr>
                      <w:spacing w:val="-2"/>
                      <w:sz w:val="21"/>
                      <w:szCs w:val="21"/>
                    </w:rPr>
                    <w:t>推土机</w:t>
                  </w:r>
                </w:p>
              </w:tc>
              <w:tc>
                <w:tcPr>
                  <w:tcW w:w="629" w:type="dxa"/>
                  <w:vAlign w:val="top"/>
                </w:tcPr>
                <w:p w14:paraId="4195A068">
                  <w:pPr>
                    <w:pStyle w:val="6"/>
                    <w:spacing w:before="83" w:line="207" w:lineRule="auto"/>
                    <w:ind w:left="201"/>
                    <w:rPr>
                      <w:sz w:val="21"/>
                      <w:szCs w:val="21"/>
                    </w:rPr>
                  </w:pPr>
                  <w:r>
                    <w:rPr>
                      <w:spacing w:val="-3"/>
                      <w:sz w:val="21"/>
                      <w:szCs w:val="21"/>
                    </w:rPr>
                    <w:t>86</w:t>
                  </w:r>
                </w:p>
              </w:tc>
              <w:tc>
                <w:tcPr>
                  <w:tcW w:w="579" w:type="dxa"/>
                  <w:vAlign w:val="top"/>
                </w:tcPr>
                <w:p w14:paraId="60C888E6">
                  <w:pPr>
                    <w:pStyle w:val="6"/>
                    <w:spacing w:before="83" w:line="207" w:lineRule="auto"/>
                    <w:ind w:left="172"/>
                    <w:rPr>
                      <w:sz w:val="21"/>
                      <w:szCs w:val="21"/>
                    </w:rPr>
                  </w:pPr>
                  <w:r>
                    <w:rPr>
                      <w:spacing w:val="-4"/>
                      <w:sz w:val="21"/>
                      <w:szCs w:val="21"/>
                    </w:rPr>
                    <w:t>72</w:t>
                  </w:r>
                </w:p>
              </w:tc>
              <w:tc>
                <w:tcPr>
                  <w:tcW w:w="579" w:type="dxa"/>
                  <w:vAlign w:val="top"/>
                </w:tcPr>
                <w:p w14:paraId="605A56AE">
                  <w:pPr>
                    <w:pStyle w:val="6"/>
                    <w:spacing w:before="83" w:line="207" w:lineRule="auto"/>
                    <w:ind w:left="174"/>
                    <w:rPr>
                      <w:sz w:val="21"/>
                      <w:szCs w:val="21"/>
                    </w:rPr>
                  </w:pPr>
                  <w:r>
                    <w:rPr>
                      <w:spacing w:val="-4"/>
                      <w:sz w:val="21"/>
                      <w:szCs w:val="21"/>
                    </w:rPr>
                    <w:t>58</w:t>
                  </w:r>
                </w:p>
              </w:tc>
              <w:tc>
                <w:tcPr>
                  <w:tcW w:w="570" w:type="dxa"/>
                  <w:vAlign w:val="top"/>
                </w:tcPr>
                <w:p w14:paraId="0D0C481E">
                  <w:pPr>
                    <w:pStyle w:val="6"/>
                    <w:spacing w:before="83" w:line="207" w:lineRule="auto"/>
                    <w:ind w:left="175"/>
                    <w:rPr>
                      <w:sz w:val="21"/>
                      <w:szCs w:val="21"/>
                    </w:rPr>
                  </w:pPr>
                  <w:r>
                    <w:rPr>
                      <w:spacing w:val="-4"/>
                      <w:sz w:val="21"/>
                      <w:szCs w:val="21"/>
                    </w:rPr>
                    <w:t>55</w:t>
                  </w:r>
                </w:p>
              </w:tc>
              <w:tc>
                <w:tcPr>
                  <w:tcW w:w="579" w:type="dxa"/>
                  <w:vAlign w:val="top"/>
                </w:tcPr>
                <w:p w14:paraId="54F16457">
                  <w:pPr>
                    <w:pStyle w:val="6"/>
                    <w:spacing w:before="83" w:line="207" w:lineRule="auto"/>
                    <w:ind w:left="174"/>
                    <w:rPr>
                      <w:sz w:val="21"/>
                      <w:szCs w:val="21"/>
                    </w:rPr>
                  </w:pPr>
                  <w:r>
                    <w:rPr>
                      <w:spacing w:val="-4"/>
                      <w:sz w:val="21"/>
                      <w:szCs w:val="21"/>
                    </w:rPr>
                    <w:t>53</w:t>
                  </w:r>
                </w:p>
              </w:tc>
              <w:tc>
                <w:tcPr>
                  <w:tcW w:w="589" w:type="dxa"/>
                  <w:vAlign w:val="top"/>
                </w:tcPr>
                <w:p w14:paraId="1AAC37F1">
                  <w:pPr>
                    <w:pStyle w:val="6"/>
                    <w:spacing w:before="83" w:line="207" w:lineRule="auto"/>
                    <w:ind w:left="185"/>
                    <w:rPr>
                      <w:sz w:val="21"/>
                      <w:szCs w:val="21"/>
                    </w:rPr>
                  </w:pPr>
                  <w:r>
                    <w:rPr>
                      <w:spacing w:val="-2"/>
                      <w:sz w:val="21"/>
                      <w:szCs w:val="21"/>
                    </w:rPr>
                    <w:t>46</w:t>
                  </w:r>
                </w:p>
              </w:tc>
              <w:tc>
                <w:tcPr>
                  <w:tcW w:w="729" w:type="dxa"/>
                  <w:vAlign w:val="top"/>
                </w:tcPr>
                <w:p w14:paraId="58D89698">
                  <w:pPr>
                    <w:pStyle w:val="6"/>
                    <w:spacing w:before="83" w:line="207" w:lineRule="auto"/>
                    <w:ind w:left="256"/>
                    <w:rPr>
                      <w:sz w:val="21"/>
                      <w:szCs w:val="21"/>
                    </w:rPr>
                  </w:pPr>
                  <w:r>
                    <w:rPr>
                      <w:spacing w:val="-2"/>
                      <w:sz w:val="21"/>
                      <w:szCs w:val="21"/>
                    </w:rPr>
                    <w:t>43</w:t>
                  </w:r>
                </w:p>
              </w:tc>
              <w:tc>
                <w:tcPr>
                  <w:tcW w:w="729" w:type="dxa"/>
                  <w:vAlign w:val="top"/>
                </w:tcPr>
                <w:p w14:paraId="05ADA2AF">
                  <w:pPr>
                    <w:pStyle w:val="6"/>
                    <w:spacing w:before="83" w:line="207" w:lineRule="auto"/>
                    <w:ind w:left="257"/>
                    <w:rPr>
                      <w:sz w:val="21"/>
                      <w:szCs w:val="21"/>
                    </w:rPr>
                  </w:pPr>
                  <w:r>
                    <w:rPr>
                      <w:spacing w:val="-2"/>
                      <w:sz w:val="21"/>
                      <w:szCs w:val="21"/>
                    </w:rPr>
                    <w:t>40</w:t>
                  </w:r>
                </w:p>
              </w:tc>
              <w:tc>
                <w:tcPr>
                  <w:tcW w:w="749" w:type="dxa"/>
                  <w:vAlign w:val="top"/>
                </w:tcPr>
                <w:p w14:paraId="1A0635AE">
                  <w:pPr>
                    <w:pStyle w:val="6"/>
                    <w:spacing w:before="83" w:line="207" w:lineRule="auto"/>
                    <w:ind w:left="268"/>
                    <w:rPr>
                      <w:sz w:val="21"/>
                      <w:szCs w:val="21"/>
                    </w:rPr>
                  </w:pPr>
                  <w:r>
                    <w:rPr>
                      <w:spacing w:val="-4"/>
                      <w:sz w:val="21"/>
                      <w:szCs w:val="21"/>
                    </w:rPr>
                    <w:t>38</w:t>
                  </w:r>
                </w:p>
              </w:tc>
              <w:tc>
                <w:tcPr>
                  <w:tcW w:w="714" w:type="dxa"/>
                  <w:vAlign w:val="top"/>
                </w:tcPr>
                <w:p w14:paraId="7FC9D92A">
                  <w:pPr>
                    <w:pStyle w:val="6"/>
                    <w:spacing w:before="83" w:line="207" w:lineRule="auto"/>
                    <w:ind w:left="250"/>
                    <w:rPr>
                      <w:sz w:val="21"/>
                      <w:szCs w:val="21"/>
                    </w:rPr>
                  </w:pPr>
                  <w:r>
                    <w:rPr>
                      <w:spacing w:val="-4"/>
                      <w:sz w:val="21"/>
                      <w:szCs w:val="21"/>
                    </w:rPr>
                    <w:t>37</w:t>
                  </w:r>
                </w:p>
              </w:tc>
            </w:tr>
            <w:tr w14:paraId="2CD80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873" w:type="dxa"/>
                  <w:vAlign w:val="top"/>
                </w:tcPr>
                <w:p w14:paraId="5401B82D">
                  <w:pPr>
                    <w:pStyle w:val="6"/>
                    <w:spacing w:before="72" w:line="219" w:lineRule="auto"/>
                    <w:ind w:left="614"/>
                    <w:rPr>
                      <w:sz w:val="21"/>
                      <w:szCs w:val="21"/>
                    </w:rPr>
                  </w:pPr>
                  <w:r>
                    <w:rPr>
                      <w:spacing w:val="-2"/>
                      <w:sz w:val="21"/>
                      <w:szCs w:val="21"/>
                    </w:rPr>
                    <w:t>装载机</w:t>
                  </w:r>
                </w:p>
              </w:tc>
              <w:tc>
                <w:tcPr>
                  <w:tcW w:w="629" w:type="dxa"/>
                  <w:vAlign w:val="top"/>
                </w:tcPr>
                <w:p w14:paraId="162A5AA0">
                  <w:pPr>
                    <w:pStyle w:val="6"/>
                    <w:spacing w:before="94" w:line="215" w:lineRule="auto"/>
                    <w:ind w:left="201"/>
                    <w:rPr>
                      <w:sz w:val="21"/>
                      <w:szCs w:val="21"/>
                    </w:rPr>
                  </w:pPr>
                  <w:r>
                    <w:rPr>
                      <w:spacing w:val="-3"/>
                      <w:sz w:val="21"/>
                      <w:szCs w:val="21"/>
                    </w:rPr>
                    <w:t>93</w:t>
                  </w:r>
                </w:p>
              </w:tc>
              <w:tc>
                <w:tcPr>
                  <w:tcW w:w="579" w:type="dxa"/>
                  <w:vAlign w:val="top"/>
                </w:tcPr>
                <w:p w14:paraId="08FE5A06">
                  <w:pPr>
                    <w:pStyle w:val="6"/>
                    <w:spacing w:before="94" w:line="215" w:lineRule="auto"/>
                    <w:ind w:left="172"/>
                    <w:rPr>
                      <w:sz w:val="21"/>
                      <w:szCs w:val="21"/>
                    </w:rPr>
                  </w:pPr>
                  <w:r>
                    <w:rPr>
                      <w:spacing w:val="-4"/>
                      <w:sz w:val="21"/>
                      <w:szCs w:val="21"/>
                    </w:rPr>
                    <w:t>76</w:t>
                  </w:r>
                </w:p>
              </w:tc>
              <w:tc>
                <w:tcPr>
                  <w:tcW w:w="579" w:type="dxa"/>
                  <w:vAlign w:val="top"/>
                </w:tcPr>
                <w:p w14:paraId="3CCC2E78">
                  <w:pPr>
                    <w:pStyle w:val="6"/>
                    <w:spacing w:before="94" w:line="215" w:lineRule="auto"/>
                    <w:ind w:left="174"/>
                    <w:rPr>
                      <w:sz w:val="21"/>
                      <w:szCs w:val="21"/>
                    </w:rPr>
                  </w:pPr>
                  <w:r>
                    <w:rPr>
                      <w:spacing w:val="-3"/>
                      <w:sz w:val="21"/>
                      <w:szCs w:val="21"/>
                    </w:rPr>
                    <w:t>65</w:t>
                  </w:r>
                </w:p>
              </w:tc>
              <w:tc>
                <w:tcPr>
                  <w:tcW w:w="570" w:type="dxa"/>
                  <w:vAlign w:val="top"/>
                </w:tcPr>
                <w:p w14:paraId="77E4E732">
                  <w:pPr>
                    <w:pStyle w:val="6"/>
                    <w:spacing w:before="94" w:line="215" w:lineRule="auto"/>
                    <w:ind w:left="175"/>
                    <w:rPr>
                      <w:sz w:val="21"/>
                      <w:szCs w:val="21"/>
                    </w:rPr>
                  </w:pPr>
                  <w:r>
                    <w:rPr>
                      <w:spacing w:val="-3"/>
                      <w:sz w:val="21"/>
                      <w:szCs w:val="21"/>
                    </w:rPr>
                    <w:t>62</w:t>
                  </w:r>
                </w:p>
              </w:tc>
              <w:tc>
                <w:tcPr>
                  <w:tcW w:w="579" w:type="dxa"/>
                  <w:vAlign w:val="top"/>
                </w:tcPr>
                <w:p w14:paraId="61E4380C">
                  <w:pPr>
                    <w:pStyle w:val="6"/>
                    <w:spacing w:before="94" w:line="215" w:lineRule="auto"/>
                    <w:ind w:left="174"/>
                    <w:rPr>
                      <w:sz w:val="21"/>
                      <w:szCs w:val="21"/>
                    </w:rPr>
                  </w:pPr>
                  <w:r>
                    <w:rPr>
                      <w:spacing w:val="-3"/>
                      <w:sz w:val="21"/>
                      <w:szCs w:val="21"/>
                    </w:rPr>
                    <w:t>60</w:t>
                  </w:r>
                </w:p>
              </w:tc>
              <w:tc>
                <w:tcPr>
                  <w:tcW w:w="589" w:type="dxa"/>
                  <w:vAlign w:val="top"/>
                </w:tcPr>
                <w:p w14:paraId="45AE955F">
                  <w:pPr>
                    <w:pStyle w:val="6"/>
                    <w:spacing w:before="94" w:line="215" w:lineRule="auto"/>
                    <w:ind w:left="185"/>
                    <w:rPr>
                      <w:sz w:val="21"/>
                      <w:szCs w:val="21"/>
                    </w:rPr>
                  </w:pPr>
                  <w:r>
                    <w:rPr>
                      <w:spacing w:val="-4"/>
                      <w:sz w:val="21"/>
                      <w:szCs w:val="21"/>
                    </w:rPr>
                    <w:t>53</w:t>
                  </w:r>
                </w:p>
              </w:tc>
              <w:tc>
                <w:tcPr>
                  <w:tcW w:w="729" w:type="dxa"/>
                  <w:vAlign w:val="top"/>
                </w:tcPr>
                <w:p w14:paraId="617AFD67">
                  <w:pPr>
                    <w:pStyle w:val="6"/>
                    <w:spacing w:before="94" w:line="215" w:lineRule="auto"/>
                    <w:ind w:left="256"/>
                    <w:rPr>
                      <w:sz w:val="21"/>
                      <w:szCs w:val="21"/>
                    </w:rPr>
                  </w:pPr>
                  <w:r>
                    <w:rPr>
                      <w:spacing w:val="-4"/>
                      <w:sz w:val="21"/>
                      <w:szCs w:val="21"/>
                    </w:rPr>
                    <w:t>50</w:t>
                  </w:r>
                </w:p>
              </w:tc>
              <w:tc>
                <w:tcPr>
                  <w:tcW w:w="729" w:type="dxa"/>
                  <w:vAlign w:val="top"/>
                </w:tcPr>
                <w:p w14:paraId="6A9CFC3A">
                  <w:pPr>
                    <w:pStyle w:val="6"/>
                    <w:spacing w:before="94" w:line="215" w:lineRule="auto"/>
                    <w:ind w:left="257"/>
                    <w:rPr>
                      <w:sz w:val="21"/>
                      <w:szCs w:val="21"/>
                    </w:rPr>
                  </w:pPr>
                  <w:r>
                    <w:rPr>
                      <w:spacing w:val="-2"/>
                      <w:sz w:val="21"/>
                      <w:szCs w:val="21"/>
                    </w:rPr>
                    <w:t>47</w:t>
                  </w:r>
                </w:p>
              </w:tc>
              <w:tc>
                <w:tcPr>
                  <w:tcW w:w="749" w:type="dxa"/>
                  <w:vAlign w:val="top"/>
                </w:tcPr>
                <w:p w14:paraId="75DC443A">
                  <w:pPr>
                    <w:pStyle w:val="6"/>
                    <w:spacing w:before="94" w:line="215" w:lineRule="auto"/>
                    <w:ind w:left="268"/>
                    <w:rPr>
                      <w:sz w:val="21"/>
                      <w:szCs w:val="21"/>
                    </w:rPr>
                  </w:pPr>
                  <w:r>
                    <w:rPr>
                      <w:spacing w:val="-2"/>
                      <w:sz w:val="21"/>
                      <w:szCs w:val="21"/>
                    </w:rPr>
                    <w:t>45</w:t>
                  </w:r>
                </w:p>
              </w:tc>
              <w:tc>
                <w:tcPr>
                  <w:tcW w:w="714" w:type="dxa"/>
                  <w:vAlign w:val="top"/>
                </w:tcPr>
                <w:p w14:paraId="504F9C39">
                  <w:pPr>
                    <w:pStyle w:val="6"/>
                    <w:spacing w:before="94" w:line="215" w:lineRule="auto"/>
                    <w:ind w:left="250"/>
                    <w:rPr>
                      <w:sz w:val="21"/>
                      <w:szCs w:val="21"/>
                    </w:rPr>
                  </w:pPr>
                  <w:r>
                    <w:rPr>
                      <w:spacing w:val="-2"/>
                      <w:sz w:val="21"/>
                      <w:szCs w:val="21"/>
                    </w:rPr>
                    <w:t>44</w:t>
                  </w:r>
                </w:p>
              </w:tc>
            </w:tr>
            <w:tr w14:paraId="1FAFD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873" w:type="dxa"/>
                  <w:vAlign w:val="top"/>
                </w:tcPr>
                <w:p w14:paraId="5FB64E0A">
                  <w:pPr>
                    <w:pStyle w:val="6"/>
                    <w:spacing w:before="63" w:line="219" w:lineRule="auto"/>
                    <w:ind w:left="614"/>
                    <w:rPr>
                      <w:sz w:val="21"/>
                      <w:szCs w:val="21"/>
                    </w:rPr>
                  </w:pPr>
                  <w:r>
                    <w:rPr>
                      <w:spacing w:val="-2"/>
                      <w:sz w:val="21"/>
                      <w:szCs w:val="21"/>
                    </w:rPr>
                    <w:t>钻孔机</w:t>
                  </w:r>
                </w:p>
              </w:tc>
              <w:tc>
                <w:tcPr>
                  <w:tcW w:w="629" w:type="dxa"/>
                  <w:vAlign w:val="top"/>
                </w:tcPr>
                <w:p w14:paraId="31DD503C">
                  <w:pPr>
                    <w:pStyle w:val="6"/>
                    <w:spacing w:before="85" w:line="205" w:lineRule="auto"/>
                    <w:ind w:left="201"/>
                    <w:rPr>
                      <w:sz w:val="21"/>
                      <w:szCs w:val="21"/>
                    </w:rPr>
                  </w:pPr>
                  <w:r>
                    <w:rPr>
                      <w:spacing w:val="-3"/>
                      <w:sz w:val="21"/>
                      <w:szCs w:val="21"/>
                    </w:rPr>
                    <w:t>85</w:t>
                  </w:r>
                </w:p>
              </w:tc>
              <w:tc>
                <w:tcPr>
                  <w:tcW w:w="579" w:type="dxa"/>
                  <w:vAlign w:val="top"/>
                </w:tcPr>
                <w:p w14:paraId="657DD886">
                  <w:pPr>
                    <w:pStyle w:val="6"/>
                    <w:spacing w:before="85" w:line="205" w:lineRule="auto"/>
                    <w:ind w:left="172"/>
                    <w:rPr>
                      <w:sz w:val="21"/>
                      <w:szCs w:val="21"/>
                    </w:rPr>
                  </w:pPr>
                  <w:r>
                    <w:rPr>
                      <w:spacing w:val="-4"/>
                      <w:sz w:val="21"/>
                      <w:szCs w:val="21"/>
                    </w:rPr>
                    <w:t>71</w:t>
                  </w:r>
                </w:p>
              </w:tc>
              <w:tc>
                <w:tcPr>
                  <w:tcW w:w="579" w:type="dxa"/>
                  <w:vAlign w:val="top"/>
                </w:tcPr>
                <w:p w14:paraId="1F4AC81E">
                  <w:pPr>
                    <w:pStyle w:val="6"/>
                    <w:spacing w:before="85" w:line="205" w:lineRule="auto"/>
                    <w:ind w:left="174"/>
                    <w:rPr>
                      <w:sz w:val="21"/>
                      <w:szCs w:val="21"/>
                    </w:rPr>
                  </w:pPr>
                  <w:r>
                    <w:rPr>
                      <w:spacing w:val="-4"/>
                      <w:sz w:val="21"/>
                      <w:szCs w:val="21"/>
                    </w:rPr>
                    <w:t>57</w:t>
                  </w:r>
                </w:p>
              </w:tc>
              <w:tc>
                <w:tcPr>
                  <w:tcW w:w="570" w:type="dxa"/>
                  <w:vAlign w:val="top"/>
                </w:tcPr>
                <w:p w14:paraId="5ECE6190">
                  <w:pPr>
                    <w:pStyle w:val="6"/>
                    <w:spacing w:before="85" w:line="205" w:lineRule="auto"/>
                    <w:ind w:left="175"/>
                    <w:rPr>
                      <w:sz w:val="21"/>
                      <w:szCs w:val="21"/>
                    </w:rPr>
                  </w:pPr>
                  <w:r>
                    <w:rPr>
                      <w:spacing w:val="-4"/>
                      <w:sz w:val="21"/>
                      <w:szCs w:val="21"/>
                    </w:rPr>
                    <w:t>54</w:t>
                  </w:r>
                </w:p>
              </w:tc>
              <w:tc>
                <w:tcPr>
                  <w:tcW w:w="579" w:type="dxa"/>
                  <w:vAlign w:val="top"/>
                </w:tcPr>
                <w:p w14:paraId="3609C398">
                  <w:pPr>
                    <w:pStyle w:val="6"/>
                    <w:spacing w:before="85" w:line="205" w:lineRule="auto"/>
                    <w:ind w:left="174"/>
                    <w:rPr>
                      <w:sz w:val="21"/>
                      <w:szCs w:val="21"/>
                    </w:rPr>
                  </w:pPr>
                  <w:r>
                    <w:rPr>
                      <w:spacing w:val="-4"/>
                      <w:sz w:val="21"/>
                      <w:szCs w:val="21"/>
                    </w:rPr>
                    <w:t>52</w:t>
                  </w:r>
                </w:p>
              </w:tc>
              <w:tc>
                <w:tcPr>
                  <w:tcW w:w="589" w:type="dxa"/>
                  <w:vAlign w:val="top"/>
                </w:tcPr>
                <w:p w14:paraId="08113E28">
                  <w:pPr>
                    <w:pStyle w:val="6"/>
                    <w:spacing w:before="85" w:line="205" w:lineRule="auto"/>
                    <w:ind w:left="185"/>
                    <w:rPr>
                      <w:sz w:val="21"/>
                      <w:szCs w:val="21"/>
                    </w:rPr>
                  </w:pPr>
                  <w:r>
                    <w:rPr>
                      <w:spacing w:val="-2"/>
                      <w:sz w:val="21"/>
                      <w:szCs w:val="21"/>
                    </w:rPr>
                    <w:t>45</w:t>
                  </w:r>
                </w:p>
              </w:tc>
              <w:tc>
                <w:tcPr>
                  <w:tcW w:w="729" w:type="dxa"/>
                  <w:vAlign w:val="top"/>
                </w:tcPr>
                <w:p w14:paraId="660953EC">
                  <w:pPr>
                    <w:pStyle w:val="6"/>
                    <w:spacing w:before="85" w:line="205" w:lineRule="auto"/>
                    <w:ind w:left="256"/>
                    <w:rPr>
                      <w:sz w:val="21"/>
                      <w:szCs w:val="21"/>
                    </w:rPr>
                  </w:pPr>
                  <w:r>
                    <w:rPr>
                      <w:spacing w:val="-2"/>
                      <w:sz w:val="21"/>
                      <w:szCs w:val="21"/>
                    </w:rPr>
                    <w:t>42</w:t>
                  </w:r>
                </w:p>
              </w:tc>
              <w:tc>
                <w:tcPr>
                  <w:tcW w:w="729" w:type="dxa"/>
                  <w:vAlign w:val="top"/>
                </w:tcPr>
                <w:p w14:paraId="69367791">
                  <w:pPr>
                    <w:pStyle w:val="6"/>
                    <w:spacing w:before="85" w:line="205" w:lineRule="auto"/>
                    <w:ind w:left="257"/>
                    <w:rPr>
                      <w:sz w:val="21"/>
                      <w:szCs w:val="21"/>
                    </w:rPr>
                  </w:pPr>
                  <w:r>
                    <w:rPr>
                      <w:spacing w:val="-4"/>
                      <w:sz w:val="21"/>
                      <w:szCs w:val="21"/>
                    </w:rPr>
                    <w:t>39</w:t>
                  </w:r>
                </w:p>
              </w:tc>
              <w:tc>
                <w:tcPr>
                  <w:tcW w:w="749" w:type="dxa"/>
                  <w:vAlign w:val="top"/>
                </w:tcPr>
                <w:p w14:paraId="04B443DB">
                  <w:pPr>
                    <w:pStyle w:val="6"/>
                    <w:spacing w:before="85" w:line="205" w:lineRule="auto"/>
                    <w:ind w:left="268"/>
                    <w:rPr>
                      <w:sz w:val="21"/>
                      <w:szCs w:val="21"/>
                    </w:rPr>
                  </w:pPr>
                  <w:r>
                    <w:rPr>
                      <w:spacing w:val="-4"/>
                      <w:sz w:val="21"/>
                      <w:szCs w:val="21"/>
                    </w:rPr>
                    <w:t>37</w:t>
                  </w:r>
                </w:p>
              </w:tc>
              <w:tc>
                <w:tcPr>
                  <w:tcW w:w="714" w:type="dxa"/>
                  <w:vAlign w:val="top"/>
                </w:tcPr>
                <w:p w14:paraId="2F0CC3A5">
                  <w:pPr>
                    <w:pStyle w:val="6"/>
                    <w:spacing w:before="85" w:line="205" w:lineRule="auto"/>
                    <w:ind w:left="250"/>
                    <w:rPr>
                      <w:sz w:val="21"/>
                      <w:szCs w:val="21"/>
                    </w:rPr>
                  </w:pPr>
                  <w:r>
                    <w:rPr>
                      <w:spacing w:val="-4"/>
                      <w:sz w:val="21"/>
                      <w:szCs w:val="21"/>
                    </w:rPr>
                    <w:t>36</w:t>
                  </w:r>
                </w:p>
              </w:tc>
            </w:tr>
            <w:tr w14:paraId="30BB1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873" w:type="dxa"/>
                  <w:vAlign w:val="top"/>
                </w:tcPr>
                <w:p w14:paraId="3313639E">
                  <w:pPr>
                    <w:pStyle w:val="6"/>
                    <w:spacing w:before="64" w:line="219" w:lineRule="auto"/>
                    <w:ind w:left="404"/>
                    <w:rPr>
                      <w:sz w:val="21"/>
                      <w:szCs w:val="21"/>
                    </w:rPr>
                  </w:pPr>
                  <w:r>
                    <w:rPr>
                      <w:spacing w:val="-2"/>
                      <w:sz w:val="21"/>
                      <w:szCs w:val="21"/>
                    </w:rPr>
                    <w:t>钢筋切割机</w:t>
                  </w:r>
                </w:p>
              </w:tc>
              <w:tc>
                <w:tcPr>
                  <w:tcW w:w="629" w:type="dxa"/>
                  <w:vAlign w:val="top"/>
                </w:tcPr>
                <w:p w14:paraId="5A3E595F">
                  <w:pPr>
                    <w:pStyle w:val="6"/>
                    <w:spacing w:before="86" w:line="204" w:lineRule="auto"/>
                    <w:ind w:left="201"/>
                    <w:rPr>
                      <w:sz w:val="21"/>
                      <w:szCs w:val="21"/>
                    </w:rPr>
                  </w:pPr>
                  <w:r>
                    <w:rPr>
                      <w:spacing w:val="-3"/>
                      <w:sz w:val="21"/>
                      <w:szCs w:val="21"/>
                    </w:rPr>
                    <w:t>85</w:t>
                  </w:r>
                </w:p>
              </w:tc>
              <w:tc>
                <w:tcPr>
                  <w:tcW w:w="579" w:type="dxa"/>
                  <w:vAlign w:val="top"/>
                </w:tcPr>
                <w:p w14:paraId="76185C4E">
                  <w:pPr>
                    <w:pStyle w:val="6"/>
                    <w:spacing w:before="86" w:line="204" w:lineRule="auto"/>
                    <w:ind w:left="172"/>
                    <w:rPr>
                      <w:sz w:val="21"/>
                      <w:szCs w:val="21"/>
                    </w:rPr>
                  </w:pPr>
                  <w:r>
                    <w:rPr>
                      <w:spacing w:val="-4"/>
                      <w:sz w:val="21"/>
                      <w:szCs w:val="21"/>
                    </w:rPr>
                    <w:t>71</w:t>
                  </w:r>
                </w:p>
              </w:tc>
              <w:tc>
                <w:tcPr>
                  <w:tcW w:w="579" w:type="dxa"/>
                  <w:vAlign w:val="top"/>
                </w:tcPr>
                <w:p w14:paraId="36D0511C">
                  <w:pPr>
                    <w:pStyle w:val="6"/>
                    <w:spacing w:before="86" w:line="204" w:lineRule="auto"/>
                    <w:ind w:left="174"/>
                    <w:rPr>
                      <w:sz w:val="21"/>
                      <w:szCs w:val="21"/>
                    </w:rPr>
                  </w:pPr>
                  <w:r>
                    <w:rPr>
                      <w:spacing w:val="-4"/>
                      <w:sz w:val="21"/>
                      <w:szCs w:val="21"/>
                    </w:rPr>
                    <w:t>57</w:t>
                  </w:r>
                </w:p>
              </w:tc>
              <w:tc>
                <w:tcPr>
                  <w:tcW w:w="570" w:type="dxa"/>
                  <w:vAlign w:val="top"/>
                </w:tcPr>
                <w:p w14:paraId="23E42BA7">
                  <w:pPr>
                    <w:pStyle w:val="6"/>
                    <w:spacing w:before="86" w:line="204" w:lineRule="auto"/>
                    <w:ind w:left="175"/>
                    <w:rPr>
                      <w:sz w:val="21"/>
                      <w:szCs w:val="21"/>
                    </w:rPr>
                  </w:pPr>
                  <w:r>
                    <w:rPr>
                      <w:spacing w:val="-4"/>
                      <w:sz w:val="21"/>
                      <w:szCs w:val="21"/>
                    </w:rPr>
                    <w:t>54</w:t>
                  </w:r>
                </w:p>
              </w:tc>
              <w:tc>
                <w:tcPr>
                  <w:tcW w:w="579" w:type="dxa"/>
                  <w:vAlign w:val="top"/>
                </w:tcPr>
                <w:p w14:paraId="773AC5BD">
                  <w:pPr>
                    <w:pStyle w:val="6"/>
                    <w:spacing w:before="86" w:line="204" w:lineRule="auto"/>
                    <w:ind w:left="174"/>
                    <w:rPr>
                      <w:sz w:val="21"/>
                      <w:szCs w:val="21"/>
                    </w:rPr>
                  </w:pPr>
                  <w:r>
                    <w:rPr>
                      <w:spacing w:val="-4"/>
                      <w:sz w:val="21"/>
                      <w:szCs w:val="21"/>
                    </w:rPr>
                    <w:t>52</w:t>
                  </w:r>
                </w:p>
              </w:tc>
              <w:tc>
                <w:tcPr>
                  <w:tcW w:w="589" w:type="dxa"/>
                  <w:vAlign w:val="top"/>
                </w:tcPr>
                <w:p w14:paraId="672ECA48">
                  <w:pPr>
                    <w:pStyle w:val="6"/>
                    <w:spacing w:before="86" w:line="204" w:lineRule="auto"/>
                    <w:ind w:left="185"/>
                    <w:rPr>
                      <w:sz w:val="21"/>
                      <w:szCs w:val="21"/>
                    </w:rPr>
                  </w:pPr>
                  <w:r>
                    <w:rPr>
                      <w:spacing w:val="-2"/>
                      <w:sz w:val="21"/>
                      <w:szCs w:val="21"/>
                    </w:rPr>
                    <w:t>45</w:t>
                  </w:r>
                </w:p>
              </w:tc>
              <w:tc>
                <w:tcPr>
                  <w:tcW w:w="729" w:type="dxa"/>
                  <w:vAlign w:val="top"/>
                </w:tcPr>
                <w:p w14:paraId="26C3EE13">
                  <w:pPr>
                    <w:pStyle w:val="6"/>
                    <w:spacing w:before="86" w:line="204" w:lineRule="auto"/>
                    <w:ind w:left="256"/>
                    <w:rPr>
                      <w:sz w:val="21"/>
                      <w:szCs w:val="21"/>
                    </w:rPr>
                  </w:pPr>
                  <w:r>
                    <w:rPr>
                      <w:spacing w:val="-2"/>
                      <w:sz w:val="21"/>
                      <w:szCs w:val="21"/>
                    </w:rPr>
                    <w:t>42</w:t>
                  </w:r>
                </w:p>
              </w:tc>
              <w:tc>
                <w:tcPr>
                  <w:tcW w:w="729" w:type="dxa"/>
                  <w:vAlign w:val="top"/>
                </w:tcPr>
                <w:p w14:paraId="0A9A7497">
                  <w:pPr>
                    <w:pStyle w:val="6"/>
                    <w:spacing w:before="86" w:line="204" w:lineRule="auto"/>
                    <w:ind w:left="257"/>
                    <w:rPr>
                      <w:sz w:val="21"/>
                      <w:szCs w:val="21"/>
                    </w:rPr>
                  </w:pPr>
                  <w:r>
                    <w:rPr>
                      <w:spacing w:val="-4"/>
                      <w:sz w:val="21"/>
                      <w:szCs w:val="21"/>
                    </w:rPr>
                    <w:t>39</w:t>
                  </w:r>
                </w:p>
              </w:tc>
              <w:tc>
                <w:tcPr>
                  <w:tcW w:w="749" w:type="dxa"/>
                  <w:vAlign w:val="top"/>
                </w:tcPr>
                <w:p w14:paraId="4E6D8869">
                  <w:pPr>
                    <w:pStyle w:val="6"/>
                    <w:spacing w:before="86" w:line="204" w:lineRule="auto"/>
                    <w:ind w:left="268"/>
                    <w:rPr>
                      <w:sz w:val="21"/>
                      <w:szCs w:val="21"/>
                    </w:rPr>
                  </w:pPr>
                  <w:r>
                    <w:rPr>
                      <w:spacing w:val="-4"/>
                      <w:sz w:val="21"/>
                      <w:szCs w:val="21"/>
                    </w:rPr>
                    <w:t>37</w:t>
                  </w:r>
                </w:p>
              </w:tc>
              <w:tc>
                <w:tcPr>
                  <w:tcW w:w="714" w:type="dxa"/>
                  <w:vAlign w:val="top"/>
                </w:tcPr>
                <w:p w14:paraId="3CAC6F76">
                  <w:pPr>
                    <w:pStyle w:val="6"/>
                    <w:spacing w:before="86" w:line="204" w:lineRule="auto"/>
                    <w:ind w:left="250"/>
                    <w:rPr>
                      <w:sz w:val="21"/>
                      <w:szCs w:val="21"/>
                    </w:rPr>
                  </w:pPr>
                  <w:r>
                    <w:rPr>
                      <w:spacing w:val="-4"/>
                      <w:sz w:val="21"/>
                      <w:szCs w:val="21"/>
                    </w:rPr>
                    <w:t>36</w:t>
                  </w:r>
                </w:p>
              </w:tc>
            </w:tr>
            <w:tr w14:paraId="1AA6B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873" w:type="dxa"/>
                  <w:vAlign w:val="top"/>
                </w:tcPr>
                <w:p w14:paraId="3DEDAEC3">
                  <w:pPr>
                    <w:pStyle w:val="6"/>
                    <w:spacing w:before="75" w:line="219" w:lineRule="auto"/>
                    <w:ind w:left="614"/>
                    <w:rPr>
                      <w:sz w:val="21"/>
                      <w:szCs w:val="21"/>
                    </w:rPr>
                  </w:pPr>
                  <w:r>
                    <w:rPr>
                      <w:spacing w:val="2"/>
                      <w:sz w:val="21"/>
                      <w:szCs w:val="21"/>
                    </w:rPr>
                    <w:t>电焊机</w:t>
                  </w:r>
                </w:p>
              </w:tc>
              <w:tc>
                <w:tcPr>
                  <w:tcW w:w="629" w:type="dxa"/>
                  <w:vAlign w:val="top"/>
                </w:tcPr>
                <w:p w14:paraId="4FB177DB">
                  <w:pPr>
                    <w:pStyle w:val="6"/>
                    <w:spacing w:before="97" w:line="212" w:lineRule="auto"/>
                    <w:ind w:left="201"/>
                    <w:rPr>
                      <w:sz w:val="21"/>
                      <w:szCs w:val="21"/>
                    </w:rPr>
                  </w:pPr>
                  <w:r>
                    <w:rPr>
                      <w:spacing w:val="-3"/>
                      <w:sz w:val="21"/>
                      <w:szCs w:val="21"/>
                    </w:rPr>
                    <w:t>85</w:t>
                  </w:r>
                </w:p>
              </w:tc>
              <w:tc>
                <w:tcPr>
                  <w:tcW w:w="579" w:type="dxa"/>
                  <w:vAlign w:val="top"/>
                </w:tcPr>
                <w:p w14:paraId="39569088">
                  <w:pPr>
                    <w:pStyle w:val="6"/>
                    <w:spacing w:before="97" w:line="212" w:lineRule="auto"/>
                    <w:ind w:left="172"/>
                    <w:rPr>
                      <w:sz w:val="21"/>
                      <w:szCs w:val="21"/>
                    </w:rPr>
                  </w:pPr>
                  <w:r>
                    <w:rPr>
                      <w:spacing w:val="-4"/>
                      <w:sz w:val="21"/>
                      <w:szCs w:val="21"/>
                    </w:rPr>
                    <w:t>71</w:t>
                  </w:r>
                </w:p>
              </w:tc>
              <w:tc>
                <w:tcPr>
                  <w:tcW w:w="579" w:type="dxa"/>
                  <w:vAlign w:val="top"/>
                </w:tcPr>
                <w:p w14:paraId="6FAA034D">
                  <w:pPr>
                    <w:pStyle w:val="6"/>
                    <w:spacing w:before="97" w:line="212" w:lineRule="auto"/>
                    <w:ind w:left="174"/>
                    <w:rPr>
                      <w:sz w:val="21"/>
                      <w:szCs w:val="21"/>
                    </w:rPr>
                  </w:pPr>
                  <w:r>
                    <w:rPr>
                      <w:spacing w:val="-4"/>
                      <w:sz w:val="21"/>
                      <w:szCs w:val="21"/>
                    </w:rPr>
                    <w:t>57</w:t>
                  </w:r>
                </w:p>
              </w:tc>
              <w:tc>
                <w:tcPr>
                  <w:tcW w:w="570" w:type="dxa"/>
                  <w:vAlign w:val="top"/>
                </w:tcPr>
                <w:p w14:paraId="2B37F4F8">
                  <w:pPr>
                    <w:pStyle w:val="6"/>
                    <w:spacing w:before="97" w:line="212" w:lineRule="auto"/>
                    <w:ind w:left="175"/>
                    <w:rPr>
                      <w:sz w:val="21"/>
                      <w:szCs w:val="21"/>
                    </w:rPr>
                  </w:pPr>
                  <w:r>
                    <w:rPr>
                      <w:spacing w:val="-4"/>
                      <w:sz w:val="21"/>
                      <w:szCs w:val="21"/>
                    </w:rPr>
                    <w:t>54</w:t>
                  </w:r>
                </w:p>
              </w:tc>
              <w:tc>
                <w:tcPr>
                  <w:tcW w:w="579" w:type="dxa"/>
                  <w:vAlign w:val="top"/>
                </w:tcPr>
                <w:p w14:paraId="79086CF4">
                  <w:pPr>
                    <w:pStyle w:val="6"/>
                    <w:spacing w:before="97" w:line="212" w:lineRule="auto"/>
                    <w:ind w:left="174"/>
                    <w:rPr>
                      <w:sz w:val="21"/>
                      <w:szCs w:val="21"/>
                    </w:rPr>
                  </w:pPr>
                  <w:r>
                    <w:rPr>
                      <w:spacing w:val="-4"/>
                      <w:sz w:val="21"/>
                      <w:szCs w:val="21"/>
                    </w:rPr>
                    <w:t>52</w:t>
                  </w:r>
                </w:p>
              </w:tc>
              <w:tc>
                <w:tcPr>
                  <w:tcW w:w="589" w:type="dxa"/>
                  <w:vAlign w:val="top"/>
                </w:tcPr>
                <w:p w14:paraId="114FE4A2">
                  <w:pPr>
                    <w:pStyle w:val="6"/>
                    <w:spacing w:before="97" w:line="212" w:lineRule="auto"/>
                    <w:ind w:left="185"/>
                    <w:rPr>
                      <w:sz w:val="21"/>
                      <w:szCs w:val="21"/>
                    </w:rPr>
                  </w:pPr>
                  <w:r>
                    <w:rPr>
                      <w:spacing w:val="-2"/>
                      <w:sz w:val="21"/>
                      <w:szCs w:val="21"/>
                    </w:rPr>
                    <w:t>45</w:t>
                  </w:r>
                </w:p>
              </w:tc>
              <w:tc>
                <w:tcPr>
                  <w:tcW w:w="729" w:type="dxa"/>
                  <w:vAlign w:val="top"/>
                </w:tcPr>
                <w:p w14:paraId="75811375">
                  <w:pPr>
                    <w:pStyle w:val="6"/>
                    <w:spacing w:before="97" w:line="212" w:lineRule="auto"/>
                    <w:ind w:left="256"/>
                    <w:rPr>
                      <w:sz w:val="21"/>
                      <w:szCs w:val="21"/>
                    </w:rPr>
                  </w:pPr>
                  <w:r>
                    <w:rPr>
                      <w:spacing w:val="-2"/>
                      <w:sz w:val="21"/>
                      <w:szCs w:val="21"/>
                    </w:rPr>
                    <w:t>42</w:t>
                  </w:r>
                </w:p>
              </w:tc>
              <w:tc>
                <w:tcPr>
                  <w:tcW w:w="729" w:type="dxa"/>
                  <w:vAlign w:val="top"/>
                </w:tcPr>
                <w:p w14:paraId="7FE9D9E2">
                  <w:pPr>
                    <w:pStyle w:val="6"/>
                    <w:spacing w:before="97" w:line="212" w:lineRule="auto"/>
                    <w:ind w:left="257"/>
                    <w:rPr>
                      <w:sz w:val="21"/>
                      <w:szCs w:val="21"/>
                    </w:rPr>
                  </w:pPr>
                  <w:r>
                    <w:rPr>
                      <w:spacing w:val="-4"/>
                      <w:sz w:val="21"/>
                      <w:szCs w:val="21"/>
                    </w:rPr>
                    <w:t>39</w:t>
                  </w:r>
                </w:p>
              </w:tc>
              <w:tc>
                <w:tcPr>
                  <w:tcW w:w="749" w:type="dxa"/>
                  <w:vAlign w:val="top"/>
                </w:tcPr>
                <w:p w14:paraId="4ADF5F61">
                  <w:pPr>
                    <w:pStyle w:val="6"/>
                    <w:spacing w:before="97" w:line="212" w:lineRule="auto"/>
                    <w:ind w:left="268"/>
                    <w:rPr>
                      <w:sz w:val="21"/>
                      <w:szCs w:val="21"/>
                    </w:rPr>
                  </w:pPr>
                  <w:r>
                    <w:rPr>
                      <w:spacing w:val="-4"/>
                      <w:sz w:val="21"/>
                      <w:szCs w:val="21"/>
                    </w:rPr>
                    <w:t>37</w:t>
                  </w:r>
                </w:p>
              </w:tc>
              <w:tc>
                <w:tcPr>
                  <w:tcW w:w="714" w:type="dxa"/>
                  <w:vAlign w:val="top"/>
                </w:tcPr>
                <w:p w14:paraId="7EC5F69E">
                  <w:pPr>
                    <w:pStyle w:val="6"/>
                    <w:spacing w:before="97" w:line="212" w:lineRule="auto"/>
                    <w:ind w:left="250"/>
                    <w:rPr>
                      <w:sz w:val="21"/>
                      <w:szCs w:val="21"/>
                    </w:rPr>
                  </w:pPr>
                  <w:r>
                    <w:rPr>
                      <w:spacing w:val="-4"/>
                      <w:sz w:val="21"/>
                      <w:szCs w:val="21"/>
                    </w:rPr>
                    <w:t>36</w:t>
                  </w:r>
                </w:p>
              </w:tc>
            </w:tr>
            <w:tr w14:paraId="4A1BD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873" w:type="dxa"/>
                  <w:vAlign w:val="top"/>
                </w:tcPr>
                <w:p w14:paraId="6F12FA37">
                  <w:pPr>
                    <w:pStyle w:val="6"/>
                    <w:spacing w:before="66" w:line="219" w:lineRule="auto"/>
                    <w:ind w:left="614"/>
                    <w:rPr>
                      <w:sz w:val="21"/>
                      <w:szCs w:val="21"/>
                    </w:rPr>
                  </w:pPr>
                  <w:r>
                    <w:rPr>
                      <w:spacing w:val="-2"/>
                      <w:sz w:val="21"/>
                      <w:szCs w:val="21"/>
                    </w:rPr>
                    <w:t>搅拌机</w:t>
                  </w:r>
                </w:p>
              </w:tc>
              <w:tc>
                <w:tcPr>
                  <w:tcW w:w="629" w:type="dxa"/>
                  <w:vAlign w:val="top"/>
                </w:tcPr>
                <w:p w14:paraId="2520ACC8">
                  <w:pPr>
                    <w:pStyle w:val="6"/>
                    <w:spacing w:before="89" w:line="203" w:lineRule="auto"/>
                    <w:ind w:left="201"/>
                    <w:rPr>
                      <w:sz w:val="21"/>
                      <w:szCs w:val="21"/>
                    </w:rPr>
                  </w:pPr>
                  <w:r>
                    <w:rPr>
                      <w:spacing w:val="-3"/>
                      <w:sz w:val="21"/>
                      <w:szCs w:val="21"/>
                    </w:rPr>
                    <w:t>84</w:t>
                  </w:r>
                </w:p>
              </w:tc>
              <w:tc>
                <w:tcPr>
                  <w:tcW w:w="579" w:type="dxa"/>
                  <w:vAlign w:val="top"/>
                </w:tcPr>
                <w:p w14:paraId="1E7491EA">
                  <w:pPr>
                    <w:pStyle w:val="6"/>
                    <w:spacing w:before="89" w:line="203" w:lineRule="auto"/>
                    <w:ind w:left="172"/>
                    <w:rPr>
                      <w:sz w:val="21"/>
                      <w:szCs w:val="21"/>
                    </w:rPr>
                  </w:pPr>
                  <w:r>
                    <w:rPr>
                      <w:spacing w:val="-4"/>
                      <w:sz w:val="21"/>
                      <w:szCs w:val="21"/>
                    </w:rPr>
                    <w:t>70</w:t>
                  </w:r>
                </w:p>
              </w:tc>
              <w:tc>
                <w:tcPr>
                  <w:tcW w:w="579" w:type="dxa"/>
                  <w:vAlign w:val="top"/>
                </w:tcPr>
                <w:p w14:paraId="051E10A9">
                  <w:pPr>
                    <w:pStyle w:val="6"/>
                    <w:spacing w:before="89" w:line="203" w:lineRule="auto"/>
                    <w:ind w:left="174"/>
                    <w:rPr>
                      <w:sz w:val="21"/>
                      <w:szCs w:val="21"/>
                    </w:rPr>
                  </w:pPr>
                  <w:r>
                    <w:rPr>
                      <w:spacing w:val="-4"/>
                      <w:sz w:val="21"/>
                      <w:szCs w:val="21"/>
                    </w:rPr>
                    <w:t>56</w:t>
                  </w:r>
                </w:p>
              </w:tc>
              <w:tc>
                <w:tcPr>
                  <w:tcW w:w="570" w:type="dxa"/>
                  <w:vAlign w:val="top"/>
                </w:tcPr>
                <w:p w14:paraId="3D3B707E">
                  <w:pPr>
                    <w:pStyle w:val="6"/>
                    <w:spacing w:before="89" w:line="203" w:lineRule="auto"/>
                    <w:ind w:left="175"/>
                    <w:rPr>
                      <w:sz w:val="21"/>
                      <w:szCs w:val="21"/>
                    </w:rPr>
                  </w:pPr>
                  <w:r>
                    <w:rPr>
                      <w:spacing w:val="-4"/>
                      <w:sz w:val="21"/>
                      <w:szCs w:val="21"/>
                    </w:rPr>
                    <w:t>53</w:t>
                  </w:r>
                </w:p>
              </w:tc>
              <w:tc>
                <w:tcPr>
                  <w:tcW w:w="579" w:type="dxa"/>
                  <w:vAlign w:val="top"/>
                </w:tcPr>
                <w:p w14:paraId="2537168C">
                  <w:pPr>
                    <w:pStyle w:val="6"/>
                    <w:spacing w:before="89" w:line="203" w:lineRule="auto"/>
                    <w:ind w:left="174"/>
                    <w:rPr>
                      <w:sz w:val="21"/>
                      <w:szCs w:val="21"/>
                    </w:rPr>
                  </w:pPr>
                  <w:r>
                    <w:rPr>
                      <w:spacing w:val="-4"/>
                      <w:sz w:val="21"/>
                      <w:szCs w:val="21"/>
                    </w:rPr>
                    <w:t>51</w:t>
                  </w:r>
                </w:p>
              </w:tc>
              <w:tc>
                <w:tcPr>
                  <w:tcW w:w="589" w:type="dxa"/>
                  <w:vAlign w:val="top"/>
                </w:tcPr>
                <w:p w14:paraId="3FAE3F29">
                  <w:pPr>
                    <w:pStyle w:val="6"/>
                    <w:spacing w:before="89" w:line="203" w:lineRule="auto"/>
                    <w:ind w:left="185"/>
                    <w:rPr>
                      <w:sz w:val="21"/>
                      <w:szCs w:val="21"/>
                    </w:rPr>
                  </w:pPr>
                  <w:r>
                    <w:rPr>
                      <w:spacing w:val="-2"/>
                      <w:sz w:val="21"/>
                      <w:szCs w:val="21"/>
                    </w:rPr>
                    <w:t>44</w:t>
                  </w:r>
                </w:p>
              </w:tc>
              <w:tc>
                <w:tcPr>
                  <w:tcW w:w="729" w:type="dxa"/>
                  <w:vAlign w:val="top"/>
                </w:tcPr>
                <w:p w14:paraId="17A45188">
                  <w:pPr>
                    <w:pStyle w:val="6"/>
                    <w:spacing w:before="89" w:line="203" w:lineRule="auto"/>
                    <w:ind w:left="256"/>
                    <w:rPr>
                      <w:sz w:val="21"/>
                      <w:szCs w:val="21"/>
                    </w:rPr>
                  </w:pPr>
                  <w:r>
                    <w:rPr>
                      <w:spacing w:val="-2"/>
                      <w:sz w:val="21"/>
                      <w:szCs w:val="21"/>
                    </w:rPr>
                    <w:t>41</w:t>
                  </w:r>
                </w:p>
              </w:tc>
              <w:tc>
                <w:tcPr>
                  <w:tcW w:w="729" w:type="dxa"/>
                  <w:vAlign w:val="top"/>
                </w:tcPr>
                <w:p w14:paraId="4B54B931">
                  <w:pPr>
                    <w:pStyle w:val="6"/>
                    <w:spacing w:before="89" w:line="203" w:lineRule="auto"/>
                    <w:ind w:left="257"/>
                    <w:rPr>
                      <w:sz w:val="21"/>
                      <w:szCs w:val="21"/>
                    </w:rPr>
                  </w:pPr>
                  <w:r>
                    <w:rPr>
                      <w:spacing w:val="-4"/>
                      <w:sz w:val="21"/>
                      <w:szCs w:val="21"/>
                    </w:rPr>
                    <w:t>38</w:t>
                  </w:r>
                </w:p>
              </w:tc>
              <w:tc>
                <w:tcPr>
                  <w:tcW w:w="749" w:type="dxa"/>
                  <w:vAlign w:val="top"/>
                </w:tcPr>
                <w:p w14:paraId="465DE2A6">
                  <w:pPr>
                    <w:pStyle w:val="6"/>
                    <w:spacing w:before="89" w:line="203" w:lineRule="auto"/>
                    <w:ind w:left="268"/>
                    <w:rPr>
                      <w:sz w:val="21"/>
                      <w:szCs w:val="21"/>
                    </w:rPr>
                  </w:pPr>
                  <w:r>
                    <w:rPr>
                      <w:spacing w:val="-4"/>
                      <w:sz w:val="21"/>
                      <w:szCs w:val="21"/>
                    </w:rPr>
                    <w:t>36</w:t>
                  </w:r>
                </w:p>
              </w:tc>
              <w:tc>
                <w:tcPr>
                  <w:tcW w:w="714" w:type="dxa"/>
                  <w:vAlign w:val="top"/>
                </w:tcPr>
                <w:p w14:paraId="24DB18F2">
                  <w:pPr>
                    <w:pStyle w:val="6"/>
                    <w:spacing w:before="89" w:line="203" w:lineRule="auto"/>
                    <w:ind w:left="250"/>
                    <w:rPr>
                      <w:sz w:val="21"/>
                      <w:szCs w:val="21"/>
                    </w:rPr>
                  </w:pPr>
                  <w:r>
                    <w:rPr>
                      <w:spacing w:val="-4"/>
                      <w:sz w:val="21"/>
                      <w:szCs w:val="21"/>
                    </w:rPr>
                    <w:t>35</w:t>
                  </w:r>
                </w:p>
              </w:tc>
            </w:tr>
            <w:tr w14:paraId="34D5B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873" w:type="dxa"/>
                  <w:vAlign w:val="top"/>
                </w:tcPr>
                <w:p w14:paraId="338A637B">
                  <w:pPr>
                    <w:pStyle w:val="6"/>
                    <w:spacing w:before="67" w:line="219" w:lineRule="auto"/>
                    <w:ind w:left="504"/>
                    <w:rPr>
                      <w:sz w:val="21"/>
                      <w:szCs w:val="21"/>
                    </w:rPr>
                  </w:pPr>
                  <w:r>
                    <w:rPr>
                      <w:spacing w:val="-2"/>
                      <w:sz w:val="21"/>
                      <w:szCs w:val="21"/>
                    </w:rPr>
                    <w:t>载重汽车</w:t>
                  </w:r>
                </w:p>
              </w:tc>
              <w:tc>
                <w:tcPr>
                  <w:tcW w:w="629" w:type="dxa"/>
                  <w:vAlign w:val="top"/>
                </w:tcPr>
                <w:p w14:paraId="5F09A274">
                  <w:pPr>
                    <w:pStyle w:val="6"/>
                    <w:spacing w:before="89" w:line="203" w:lineRule="auto"/>
                    <w:ind w:left="201"/>
                    <w:rPr>
                      <w:sz w:val="21"/>
                      <w:szCs w:val="21"/>
                    </w:rPr>
                  </w:pPr>
                  <w:r>
                    <w:rPr>
                      <w:spacing w:val="-3"/>
                      <w:sz w:val="21"/>
                      <w:szCs w:val="21"/>
                    </w:rPr>
                    <w:t>86</w:t>
                  </w:r>
                </w:p>
              </w:tc>
              <w:tc>
                <w:tcPr>
                  <w:tcW w:w="579" w:type="dxa"/>
                  <w:vAlign w:val="top"/>
                </w:tcPr>
                <w:p w14:paraId="5149EA6B">
                  <w:pPr>
                    <w:pStyle w:val="6"/>
                    <w:spacing w:before="89" w:line="203" w:lineRule="auto"/>
                    <w:ind w:left="172"/>
                    <w:rPr>
                      <w:sz w:val="21"/>
                      <w:szCs w:val="21"/>
                    </w:rPr>
                  </w:pPr>
                  <w:r>
                    <w:rPr>
                      <w:spacing w:val="-4"/>
                      <w:sz w:val="21"/>
                      <w:szCs w:val="21"/>
                    </w:rPr>
                    <w:t>72</w:t>
                  </w:r>
                </w:p>
              </w:tc>
              <w:tc>
                <w:tcPr>
                  <w:tcW w:w="579" w:type="dxa"/>
                  <w:vAlign w:val="top"/>
                </w:tcPr>
                <w:p w14:paraId="77216C0E">
                  <w:pPr>
                    <w:pStyle w:val="6"/>
                    <w:spacing w:before="89" w:line="203" w:lineRule="auto"/>
                    <w:ind w:left="174"/>
                    <w:rPr>
                      <w:sz w:val="21"/>
                      <w:szCs w:val="21"/>
                    </w:rPr>
                  </w:pPr>
                  <w:r>
                    <w:rPr>
                      <w:spacing w:val="-4"/>
                      <w:sz w:val="21"/>
                      <w:szCs w:val="21"/>
                    </w:rPr>
                    <w:t>58</w:t>
                  </w:r>
                </w:p>
              </w:tc>
              <w:tc>
                <w:tcPr>
                  <w:tcW w:w="570" w:type="dxa"/>
                  <w:vAlign w:val="top"/>
                </w:tcPr>
                <w:p w14:paraId="579E9DF9">
                  <w:pPr>
                    <w:pStyle w:val="6"/>
                    <w:spacing w:before="89" w:line="203" w:lineRule="auto"/>
                    <w:ind w:left="175"/>
                    <w:rPr>
                      <w:sz w:val="21"/>
                      <w:szCs w:val="21"/>
                    </w:rPr>
                  </w:pPr>
                  <w:r>
                    <w:rPr>
                      <w:spacing w:val="-4"/>
                      <w:sz w:val="21"/>
                      <w:szCs w:val="21"/>
                    </w:rPr>
                    <w:t>55</w:t>
                  </w:r>
                </w:p>
              </w:tc>
              <w:tc>
                <w:tcPr>
                  <w:tcW w:w="579" w:type="dxa"/>
                  <w:vAlign w:val="top"/>
                </w:tcPr>
                <w:p w14:paraId="3DAFD6E8">
                  <w:pPr>
                    <w:pStyle w:val="6"/>
                    <w:spacing w:before="89" w:line="203" w:lineRule="auto"/>
                    <w:ind w:left="174"/>
                    <w:rPr>
                      <w:sz w:val="21"/>
                      <w:szCs w:val="21"/>
                    </w:rPr>
                  </w:pPr>
                  <w:r>
                    <w:rPr>
                      <w:spacing w:val="-4"/>
                      <w:sz w:val="21"/>
                      <w:szCs w:val="21"/>
                    </w:rPr>
                    <w:t>53</w:t>
                  </w:r>
                </w:p>
              </w:tc>
              <w:tc>
                <w:tcPr>
                  <w:tcW w:w="589" w:type="dxa"/>
                  <w:vAlign w:val="top"/>
                </w:tcPr>
                <w:p w14:paraId="437D61A3">
                  <w:pPr>
                    <w:pStyle w:val="6"/>
                    <w:spacing w:before="89" w:line="203" w:lineRule="auto"/>
                    <w:ind w:left="185"/>
                    <w:rPr>
                      <w:sz w:val="21"/>
                      <w:szCs w:val="21"/>
                    </w:rPr>
                  </w:pPr>
                  <w:r>
                    <w:rPr>
                      <w:spacing w:val="-2"/>
                      <w:sz w:val="21"/>
                      <w:szCs w:val="21"/>
                    </w:rPr>
                    <w:t>46</w:t>
                  </w:r>
                </w:p>
              </w:tc>
              <w:tc>
                <w:tcPr>
                  <w:tcW w:w="729" w:type="dxa"/>
                  <w:vAlign w:val="top"/>
                </w:tcPr>
                <w:p w14:paraId="7B797A9F">
                  <w:pPr>
                    <w:pStyle w:val="6"/>
                    <w:spacing w:before="89" w:line="203" w:lineRule="auto"/>
                    <w:ind w:left="256"/>
                    <w:rPr>
                      <w:sz w:val="21"/>
                      <w:szCs w:val="21"/>
                    </w:rPr>
                  </w:pPr>
                  <w:r>
                    <w:rPr>
                      <w:spacing w:val="-2"/>
                      <w:sz w:val="21"/>
                      <w:szCs w:val="21"/>
                    </w:rPr>
                    <w:t>43</w:t>
                  </w:r>
                </w:p>
              </w:tc>
              <w:tc>
                <w:tcPr>
                  <w:tcW w:w="729" w:type="dxa"/>
                  <w:vAlign w:val="top"/>
                </w:tcPr>
                <w:p w14:paraId="658B8F93">
                  <w:pPr>
                    <w:pStyle w:val="6"/>
                    <w:spacing w:before="89" w:line="203" w:lineRule="auto"/>
                    <w:ind w:left="257"/>
                    <w:rPr>
                      <w:sz w:val="21"/>
                      <w:szCs w:val="21"/>
                    </w:rPr>
                  </w:pPr>
                  <w:r>
                    <w:rPr>
                      <w:spacing w:val="-2"/>
                      <w:sz w:val="21"/>
                      <w:szCs w:val="21"/>
                    </w:rPr>
                    <w:t>40</w:t>
                  </w:r>
                </w:p>
              </w:tc>
              <w:tc>
                <w:tcPr>
                  <w:tcW w:w="749" w:type="dxa"/>
                  <w:vAlign w:val="top"/>
                </w:tcPr>
                <w:p w14:paraId="3F4F220E">
                  <w:pPr>
                    <w:pStyle w:val="6"/>
                    <w:spacing w:before="89" w:line="203" w:lineRule="auto"/>
                    <w:ind w:left="268"/>
                    <w:rPr>
                      <w:sz w:val="21"/>
                      <w:szCs w:val="21"/>
                    </w:rPr>
                  </w:pPr>
                  <w:r>
                    <w:rPr>
                      <w:spacing w:val="-4"/>
                      <w:sz w:val="21"/>
                      <w:szCs w:val="21"/>
                    </w:rPr>
                    <w:t>38</w:t>
                  </w:r>
                </w:p>
              </w:tc>
              <w:tc>
                <w:tcPr>
                  <w:tcW w:w="714" w:type="dxa"/>
                  <w:vAlign w:val="top"/>
                </w:tcPr>
                <w:p w14:paraId="56D08A0B">
                  <w:pPr>
                    <w:pStyle w:val="6"/>
                    <w:spacing w:before="89" w:line="203" w:lineRule="auto"/>
                    <w:ind w:left="250"/>
                    <w:rPr>
                      <w:sz w:val="21"/>
                      <w:szCs w:val="21"/>
                    </w:rPr>
                  </w:pPr>
                  <w:r>
                    <w:rPr>
                      <w:spacing w:val="-4"/>
                      <w:sz w:val="21"/>
                      <w:szCs w:val="21"/>
                    </w:rPr>
                    <w:t>37</w:t>
                  </w:r>
                </w:p>
              </w:tc>
            </w:tr>
            <w:tr w14:paraId="6C436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873" w:type="dxa"/>
                  <w:vAlign w:val="top"/>
                </w:tcPr>
                <w:p w14:paraId="51701685">
                  <w:pPr>
                    <w:pStyle w:val="6"/>
                    <w:spacing w:before="67" w:line="219" w:lineRule="auto"/>
                    <w:ind w:left="614"/>
                    <w:rPr>
                      <w:sz w:val="21"/>
                      <w:szCs w:val="21"/>
                    </w:rPr>
                  </w:pPr>
                  <w:r>
                    <w:rPr>
                      <w:spacing w:val="2"/>
                      <w:sz w:val="21"/>
                      <w:szCs w:val="21"/>
                    </w:rPr>
                    <w:t>叠加值</w:t>
                  </w:r>
                </w:p>
              </w:tc>
              <w:tc>
                <w:tcPr>
                  <w:tcW w:w="629" w:type="dxa"/>
                  <w:vAlign w:val="top"/>
                </w:tcPr>
                <w:p w14:paraId="214A1C59">
                  <w:pPr>
                    <w:pStyle w:val="6"/>
                    <w:spacing w:before="88" w:line="207" w:lineRule="auto"/>
                    <w:ind w:left="91"/>
                    <w:rPr>
                      <w:sz w:val="21"/>
                      <w:szCs w:val="21"/>
                    </w:rPr>
                  </w:pPr>
                  <w:r>
                    <w:rPr>
                      <w:spacing w:val="-2"/>
                      <w:sz w:val="21"/>
                      <w:szCs w:val="21"/>
                    </w:rPr>
                    <w:t>96.5</w:t>
                  </w:r>
                </w:p>
              </w:tc>
              <w:tc>
                <w:tcPr>
                  <w:tcW w:w="579" w:type="dxa"/>
                  <w:vAlign w:val="top"/>
                </w:tcPr>
                <w:p w14:paraId="678087D3">
                  <w:pPr>
                    <w:pStyle w:val="6"/>
                    <w:spacing w:before="88" w:line="207" w:lineRule="auto"/>
                    <w:ind w:left="72"/>
                    <w:rPr>
                      <w:sz w:val="21"/>
                      <w:szCs w:val="21"/>
                    </w:rPr>
                  </w:pPr>
                  <w:r>
                    <w:rPr>
                      <w:spacing w:val="-3"/>
                      <w:sz w:val="21"/>
                      <w:szCs w:val="21"/>
                    </w:rPr>
                    <w:t>78.5</w:t>
                  </w:r>
                </w:p>
              </w:tc>
              <w:tc>
                <w:tcPr>
                  <w:tcW w:w="579" w:type="dxa"/>
                  <w:vAlign w:val="top"/>
                </w:tcPr>
                <w:p w14:paraId="6FB42214">
                  <w:pPr>
                    <w:pStyle w:val="6"/>
                    <w:spacing w:before="88" w:line="207" w:lineRule="auto"/>
                    <w:ind w:left="73"/>
                    <w:rPr>
                      <w:sz w:val="21"/>
                      <w:szCs w:val="21"/>
                    </w:rPr>
                  </w:pPr>
                  <w:r>
                    <w:rPr>
                      <w:spacing w:val="-2"/>
                      <w:sz w:val="21"/>
                      <w:szCs w:val="21"/>
                    </w:rPr>
                    <w:t>68.5</w:t>
                  </w:r>
                </w:p>
              </w:tc>
              <w:tc>
                <w:tcPr>
                  <w:tcW w:w="570" w:type="dxa"/>
                  <w:vAlign w:val="top"/>
                </w:tcPr>
                <w:p w14:paraId="17A27FE2">
                  <w:pPr>
                    <w:pStyle w:val="6"/>
                    <w:spacing w:before="88" w:line="207" w:lineRule="auto"/>
                    <w:ind w:left="64"/>
                    <w:rPr>
                      <w:sz w:val="21"/>
                      <w:szCs w:val="21"/>
                    </w:rPr>
                  </w:pPr>
                  <w:r>
                    <w:rPr>
                      <w:spacing w:val="-2"/>
                      <w:sz w:val="21"/>
                      <w:szCs w:val="21"/>
                    </w:rPr>
                    <w:t>65.5</w:t>
                  </w:r>
                </w:p>
              </w:tc>
              <w:tc>
                <w:tcPr>
                  <w:tcW w:w="579" w:type="dxa"/>
                  <w:vAlign w:val="top"/>
                </w:tcPr>
                <w:p w14:paraId="3DE7F156">
                  <w:pPr>
                    <w:pStyle w:val="6"/>
                    <w:spacing w:before="88" w:line="207" w:lineRule="auto"/>
                    <w:ind w:left="74"/>
                    <w:rPr>
                      <w:sz w:val="21"/>
                      <w:szCs w:val="21"/>
                    </w:rPr>
                  </w:pPr>
                  <w:r>
                    <w:rPr>
                      <w:spacing w:val="-2"/>
                      <w:sz w:val="21"/>
                      <w:szCs w:val="21"/>
                    </w:rPr>
                    <w:t>63.5</w:t>
                  </w:r>
                </w:p>
              </w:tc>
              <w:tc>
                <w:tcPr>
                  <w:tcW w:w="589" w:type="dxa"/>
                  <w:vAlign w:val="top"/>
                </w:tcPr>
                <w:p w14:paraId="3F7A3395">
                  <w:pPr>
                    <w:pStyle w:val="6"/>
                    <w:spacing w:before="88" w:line="207" w:lineRule="auto"/>
                    <w:ind w:left="76"/>
                    <w:rPr>
                      <w:sz w:val="21"/>
                      <w:szCs w:val="21"/>
                    </w:rPr>
                  </w:pPr>
                  <w:r>
                    <w:rPr>
                      <w:spacing w:val="-3"/>
                      <w:sz w:val="21"/>
                      <w:szCs w:val="21"/>
                    </w:rPr>
                    <w:t>56.5</w:t>
                  </w:r>
                </w:p>
              </w:tc>
              <w:tc>
                <w:tcPr>
                  <w:tcW w:w="729" w:type="dxa"/>
                  <w:vAlign w:val="top"/>
                </w:tcPr>
                <w:p w14:paraId="5CBD60EC">
                  <w:pPr>
                    <w:pStyle w:val="6"/>
                    <w:spacing w:before="88" w:line="207" w:lineRule="auto"/>
                    <w:ind w:left="146"/>
                    <w:rPr>
                      <w:sz w:val="21"/>
                      <w:szCs w:val="21"/>
                    </w:rPr>
                  </w:pPr>
                  <w:r>
                    <w:rPr>
                      <w:spacing w:val="-3"/>
                      <w:sz w:val="21"/>
                      <w:szCs w:val="21"/>
                    </w:rPr>
                    <w:t>53.5</w:t>
                  </w:r>
                </w:p>
              </w:tc>
              <w:tc>
                <w:tcPr>
                  <w:tcW w:w="729" w:type="dxa"/>
                  <w:vAlign w:val="top"/>
                </w:tcPr>
                <w:p w14:paraId="40F1479D">
                  <w:pPr>
                    <w:pStyle w:val="6"/>
                    <w:spacing w:before="88" w:line="207" w:lineRule="auto"/>
                    <w:ind w:left="148"/>
                    <w:rPr>
                      <w:sz w:val="21"/>
                      <w:szCs w:val="21"/>
                    </w:rPr>
                  </w:pPr>
                  <w:r>
                    <w:rPr>
                      <w:spacing w:val="-3"/>
                      <w:sz w:val="21"/>
                      <w:szCs w:val="21"/>
                    </w:rPr>
                    <w:t>50.5</w:t>
                  </w:r>
                </w:p>
              </w:tc>
              <w:tc>
                <w:tcPr>
                  <w:tcW w:w="749" w:type="dxa"/>
                  <w:vAlign w:val="top"/>
                </w:tcPr>
                <w:p w14:paraId="2BEFC55D">
                  <w:pPr>
                    <w:pStyle w:val="6"/>
                    <w:spacing w:before="88" w:line="207" w:lineRule="auto"/>
                    <w:ind w:left="158"/>
                    <w:rPr>
                      <w:sz w:val="21"/>
                      <w:szCs w:val="21"/>
                    </w:rPr>
                  </w:pPr>
                  <w:r>
                    <w:rPr>
                      <w:spacing w:val="-2"/>
                      <w:sz w:val="21"/>
                      <w:szCs w:val="21"/>
                    </w:rPr>
                    <w:t>48.5</w:t>
                  </w:r>
                </w:p>
              </w:tc>
              <w:tc>
                <w:tcPr>
                  <w:tcW w:w="714" w:type="dxa"/>
                  <w:vAlign w:val="top"/>
                </w:tcPr>
                <w:p w14:paraId="4DBD43AE">
                  <w:pPr>
                    <w:pStyle w:val="6"/>
                    <w:spacing w:before="88" w:line="207" w:lineRule="auto"/>
                    <w:ind w:left="139"/>
                    <w:rPr>
                      <w:sz w:val="21"/>
                      <w:szCs w:val="21"/>
                    </w:rPr>
                  </w:pPr>
                  <w:r>
                    <w:rPr>
                      <w:spacing w:val="-2"/>
                      <w:sz w:val="21"/>
                      <w:szCs w:val="21"/>
                    </w:rPr>
                    <w:t>47.5</w:t>
                  </w:r>
                </w:p>
              </w:tc>
            </w:tr>
          </w:tbl>
          <w:p w14:paraId="28FADDC7">
            <w:pPr>
              <w:pStyle w:val="6"/>
              <w:spacing w:before="65" w:line="345" w:lineRule="auto"/>
              <w:ind w:left="530" w:right="4" w:firstLine="519"/>
            </w:pPr>
            <w:r>
              <w:rPr>
                <w:spacing w:val="-7"/>
                <w:sz w:val="25"/>
                <w:szCs w:val="25"/>
              </w:rPr>
              <w:t>由上表可以看出，多台设备运行时，昼间在距声源30m外可达到《建筑施工</w:t>
            </w:r>
            <w:r>
              <w:rPr>
                <w:spacing w:val="5"/>
                <w:sz w:val="25"/>
                <w:szCs w:val="25"/>
              </w:rPr>
              <w:t xml:space="preserve"> </w:t>
            </w:r>
            <w:r>
              <w:rPr>
                <w:spacing w:val="-1"/>
              </w:rPr>
              <w:t>场界环境噪声排放标准》 (</w:t>
            </w:r>
            <w:r>
              <w:rPr>
                <w:spacing w:val="-58"/>
              </w:rPr>
              <w:t xml:space="preserve"> </w:t>
            </w:r>
            <w:r>
              <w:rPr>
                <w:rFonts w:ascii="Times New Roman" w:hAnsi="Times New Roman" w:eastAsia="Times New Roman" w:cs="Times New Roman"/>
                <w:spacing w:val="-1"/>
              </w:rPr>
              <w:t>GB12523-2011)70dB</w:t>
            </w:r>
            <w:r>
              <w:rPr>
                <w:rFonts w:ascii="Times New Roman" w:hAnsi="Times New Roman" w:eastAsia="Times New Roman" w:cs="Times New Roman"/>
                <w:spacing w:val="-2"/>
              </w:rPr>
              <w:t>(A)</w:t>
            </w:r>
            <w:r>
              <w:rPr>
                <w:rFonts w:ascii="Times New Roman" w:hAnsi="Times New Roman" w:eastAsia="Times New Roman" w:cs="Times New Roman"/>
                <w:spacing w:val="26"/>
              </w:rPr>
              <w:t xml:space="preserve">  </w:t>
            </w:r>
            <w:r>
              <w:rPr>
                <w:spacing w:val="-2"/>
              </w:rPr>
              <w:t>限值；项目周围敏感点声环</w:t>
            </w:r>
            <w:r>
              <w:t xml:space="preserve">  境质量按照《声环境质量标准》 (</w:t>
            </w:r>
            <w:r>
              <w:rPr>
                <w:rFonts w:ascii="Times New Roman" w:hAnsi="Times New Roman" w:eastAsia="Times New Roman" w:cs="Times New Roman"/>
              </w:rPr>
              <w:t xml:space="preserve">GB3096-2008)1 </w:t>
            </w:r>
            <w:r>
              <w:rPr>
                <w:rFonts w:ascii="Times New Roman" w:hAnsi="Times New Roman" w:eastAsia="Times New Roman" w:cs="Times New Roman"/>
                <w:spacing w:val="-1"/>
              </w:rPr>
              <w:t xml:space="preserve">   </w:t>
            </w:r>
            <w:r>
              <w:rPr>
                <w:spacing w:val="-1"/>
              </w:rPr>
              <w:t>类区标准进行保护，从预测</w:t>
            </w:r>
            <w:r>
              <w:t xml:space="preserve">  </w:t>
            </w:r>
            <w:r>
              <w:rPr>
                <w:spacing w:val="-1"/>
              </w:rPr>
              <w:t>结果看，项目施工噪声昼间影响范围在距施工点周围150</w:t>
            </w:r>
            <w:r>
              <w:rPr>
                <w:rFonts w:ascii="Times New Roman" w:hAnsi="Times New Roman" w:eastAsia="Times New Roman" w:cs="Times New Roman"/>
                <w:spacing w:val="-1"/>
              </w:rPr>
              <w:t>m</w:t>
            </w:r>
            <w:r>
              <w:rPr>
                <w:rFonts w:ascii="Times New Roman" w:hAnsi="Times New Roman" w:eastAsia="Times New Roman" w:cs="Times New Roman"/>
                <w:spacing w:val="-21"/>
              </w:rPr>
              <w:t xml:space="preserve"> </w:t>
            </w:r>
            <w:r>
              <w:rPr>
                <w:spacing w:val="-1"/>
              </w:rPr>
              <w:t>内，夜间项目不施工。</w:t>
            </w:r>
            <w:r>
              <w:t xml:space="preserve"> 项目周边150</w:t>
            </w:r>
            <w:r>
              <w:rPr>
                <w:rFonts w:ascii="Times New Roman" w:hAnsi="Times New Roman" w:eastAsia="Times New Roman" w:cs="Times New Roman"/>
              </w:rPr>
              <w:t xml:space="preserve">m </w:t>
            </w:r>
            <w:r>
              <w:t>内的声环境保护目标如下：</w:t>
            </w:r>
          </w:p>
          <w:p w14:paraId="65C81E19">
            <w:pPr>
              <w:pStyle w:val="6"/>
              <w:spacing w:before="44" w:line="219" w:lineRule="auto"/>
              <w:ind w:left="2323"/>
            </w:pPr>
            <w:r>
              <w:rPr>
                <w:b/>
                <w:bCs/>
                <w:spacing w:val="-3"/>
              </w:rPr>
              <w:t>表4-4项目施工对周边150m内的噪声贡献值</w:t>
            </w:r>
          </w:p>
          <w:p w14:paraId="0C079F67">
            <w:pPr>
              <w:spacing w:line="39" w:lineRule="auto"/>
              <w:rPr>
                <w:rFonts w:ascii="Arial"/>
                <w:sz w:val="2"/>
              </w:rPr>
            </w:pPr>
          </w:p>
          <w:tbl>
            <w:tblPr>
              <w:tblStyle w:val="5"/>
              <w:tblW w:w="8349" w:type="dxa"/>
              <w:tblInd w:w="5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1179"/>
              <w:gridCol w:w="1198"/>
              <w:gridCol w:w="1189"/>
              <w:gridCol w:w="1199"/>
              <w:gridCol w:w="1188"/>
              <w:gridCol w:w="1203"/>
            </w:tblGrid>
            <w:tr w14:paraId="2D739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193" w:type="dxa"/>
                  <w:vAlign w:val="top"/>
                </w:tcPr>
                <w:p w14:paraId="79376A51">
                  <w:pPr>
                    <w:pStyle w:val="6"/>
                    <w:spacing w:before="163" w:line="220" w:lineRule="auto"/>
                    <w:ind w:left="204"/>
                    <w:rPr>
                      <w:sz w:val="19"/>
                      <w:szCs w:val="19"/>
                    </w:rPr>
                  </w:pPr>
                  <w:r>
                    <w:rPr>
                      <w:spacing w:val="-2"/>
                      <w:sz w:val="19"/>
                      <w:szCs w:val="19"/>
                    </w:rPr>
                    <w:t>保护目标</w:t>
                  </w:r>
                </w:p>
              </w:tc>
              <w:tc>
                <w:tcPr>
                  <w:tcW w:w="2377" w:type="dxa"/>
                  <w:gridSpan w:val="2"/>
                  <w:vAlign w:val="top"/>
                </w:tcPr>
                <w:p w14:paraId="20C44FF2">
                  <w:pPr>
                    <w:pStyle w:val="6"/>
                    <w:spacing w:before="163" w:line="220" w:lineRule="auto"/>
                    <w:ind w:left="881"/>
                    <w:rPr>
                      <w:sz w:val="19"/>
                      <w:szCs w:val="19"/>
                    </w:rPr>
                  </w:pPr>
                  <w:r>
                    <w:rPr>
                      <w:spacing w:val="3"/>
                      <w:sz w:val="19"/>
                      <w:szCs w:val="19"/>
                    </w:rPr>
                    <w:t>经纬度</w:t>
                  </w:r>
                </w:p>
              </w:tc>
              <w:tc>
                <w:tcPr>
                  <w:tcW w:w="1189" w:type="dxa"/>
                  <w:vAlign w:val="top"/>
                </w:tcPr>
                <w:p w14:paraId="7DE7928B">
                  <w:pPr>
                    <w:pStyle w:val="6"/>
                    <w:spacing w:before="162" w:line="219" w:lineRule="auto"/>
                    <w:ind w:left="204"/>
                    <w:rPr>
                      <w:sz w:val="19"/>
                      <w:szCs w:val="19"/>
                    </w:rPr>
                  </w:pPr>
                  <w:r>
                    <w:rPr>
                      <w:spacing w:val="-2"/>
                      <w:sz w:val="19"/>
                      <w:szCs w:val="19"/>
                    </w:rPr>
                    <w:t>保护内容</w:t>
                  </w:r>
                </w:p>
              </w:tc>
              <w:tc>
                <w:tcPr>
                  <w:tcW w:w="1199" w:type="dxa"/>
                  <w:vAlign w:val="top"/>
                </w:tcPr>
                <w:p w14:paraId="3C54636C">
                  <w:pPr>
                    <w:pStyle w:val="6"/>
                    <w:spacing w:before="163" w:line="220" w:lineRule="auto"/>
                    <w:ind w:left="215"/>
                    <w:rPr>
                      <w:sz w:val="19"/>
                      <w:szCs w:val="19"/>
                    </w:rPr>
                  </w:pPr>
                  <w:r>
                    <w:rPr>
                      <w:spacing w:val="4"/>
                      <w:sz w:val="19"/>
                      <w:szCs w:val="19"/>
                    </w:rPr>
                    <w:t>位置关系</w:t>
                  </w:r>
                </w:p>
              </w:tc>
              <w:tc>
                <w:tcPr>
                  <w:tcW w:w="1188" w:type="dxa"/>
                  <w:vAlign w:val="top"/>
                </w:tcPr>
                <w:p w14:paraId="1CE3A83F">
                  <w:pPr>
                    <w:pStyle w:val="6"/>
                    <w:spacing w:before="163" w:line="220" w:lineRule="auto"/>
                    <w:ind w:left="396"/>
                    <w:rPr>
                      <w:sz w:val="19"/>
                      <w:szCs w:val="19"/>
                    </w:rPr>
                  </w:pPr>
                  <w:r>
                    <w:rPr>
                      <w:spacing w:val="-2"/>
                      <w:sz w:val="19"/>
                      <w:szCs w:val="19"/>
                    </w:rPr>
                    <w:t>距离</w:t>
                  </w:r>
                </w:p>
              </w:tc>
              <w:tc>
                <w:tcPr>
                  <w:tcW w:w="1203" w:type="dxa"/>
                  <w:vAlign w:val="top"/>
                </w:tcPr>
                <w:p w14:paraId="11549D24">
                  <w:pPr>
                    <w:pStyle w:val="6"/>
                    <w:spacing w:before="12" w:line="219" w:lineRule="auto"/>
                    <w:ind w:left="308"/>
                    <w:rPr>
                      <w:sz w:val="19"/>
                      <w:szCs w:val="19"/>
                    </w:rPr>
                  </w:pPr>
                  <w:r>
                    <w:rPr>
                      <w:spacing w:val="-3"/>
                      <w:sz w:val="19"/>
                      <w:szCs w:val="19"/>
                    </w:rPr>
                    <w:t>贡献值</w:t>
                  </w:r>
                </w:p>
                <w:p w14:paraId="614F3478">
                  <w:pPr>
                    <w:pStyle w:val="6"/>
                    <w:spacing w:before="37" w:line="222" w:lineRule="auto"/>
                    <w:ind w:left="308"/>
                    <w:rPr>
                      <w:sz w:val="19"/>
                      <w:szCs w:val="19"/>
                    </w:rPr>
                  </w:pPr>
                  <w:r>
                    <w:rPr>
                      <w:spacing w:val="-6"/>
                      <w:sz w:val="19"/>
                      <w:szCs w:val="19"/>
                    </w:rPr>
                    <w:t>(dB(A)</w:t>
                  </w:r>
                </w:p>
              </w:tc>
            </w:tr>
            <w:tr w14:paraId="7B456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193" w:type="dxa"/>
                  <w:vAlign w:val="top"/>
                </w:tcPr>
                <w:p w14:paraId="5B6F9756">
                  <w:pPr>
                    <w:pStyle w:val="6"/>
                    <w:spacing w:before="181" w:line="221" w:lineRule="auto"/>
                    <w:ind w:left="305"/>
                    <w:rPr>
                      <w:sz w:val="19"/>
                      <w:szCs w:val="19"/>
                    </w:rPr>
                  </w:pPr>
                  <w:r>
                    <w:rPr>
                      <w:spacing w:val="3"/>
                      <w:sz w:val="19"/>
                      <w:szCs w:val="19"/>
                    </w:rPr>
                    <w:t>照和铺</w:t>
                  </w:r>
                </w:p>
              </w:tc>
              <w:tc>
                <w:tcPr>
                  <w:tcW w:w="1179" w:type="dxa"/>
                  <w:vAlign w:val="top"/>
                </w:tcPr>
                <w:p w14:paraId="7F3F5571">
                  <w:pPr>
                    <w:pStyle w:val="6"/>
                    <w:spacing w:before="77" w:line="239" w:lineRule="auto"/>
                    <w:ind w:left="11"/>
                    <w:rPr>
                      <w:sz w:val="19"/>
                      <w:szCs w:val="19"/>
                    </w:rPr>
                  </w:pPr>
                  <w:r>
                    <w:rPr>
                      <w:spacing w:val="-2"/>
                      <w:sz w:val="19"/>
                      <w:szCs w:val="19"/>
                    </w:rPr>
                    <w:t>103°20'15.7</w:t>
                  </w:r>
                </w:p>
                <w:p w14:paraId="5B934A41">
                  <w:pPr>
                    <w:pStyle w:val="6"/>
                    <w:spacing w:before="3" w:line="195" w:lineRule="auto"/>
                    <w:ind w:left="391"/>
                    <w:rPr>
                      <w:sz w:val="19"/>
                      <w:szCs w:val="19"/>
                    </w:rPr>
                  </w:pPr>
                  <w:r>
                    <w:rPr>
                      <w:spacing w:val="28"/>
                      <w:sz w:val="19"/>
                      <w:szCs w:val="19"/>
                    </w:rPr>
                    <w:t>84”</w:t>
                  </w:r>
                </w:p>
              </w:tc>
              <w:tc>
                <w:tcPr>
                  <w:tcW w:w="1198" w:type="dxa"/>
                  <w:vAlign w:val="top"/>
                </w:tcPr>
                <w:p w14:paraId="4E708B88">
                  <w:pPr>
                    <w:pStyle w:val="6"/>
                    <w:spacing w:before="77" w:line="239" w:lineRule="auto"/>
                    <w:ind w:left="22"/>
                    <w:rPr>
                      <w:sz w:val="19"/>
                      <w:szCs w:val="19"/>
                    </w:rPr>
                  </w:pPr>
                  <w:r>
                    <w:rPr>
                      <w:spacing w:val="-1"/>
                      <w:sz w:val="19"/>
                      <w:szCs w:val="19"/>
                    </w:rPr>
                    <w:t>25°24'4.409</w:t>
                  </w:r>
                </w:p>
                <w:p w14:paraId="042960C8">
                  <w:pPr>
                    <w:pStyle w:val="6"/>
                    <w:spacing w:before="2" w:line="196" w:lineRule="auto"/>
                    <w:ind w:left="542"/>
                    <w:rPr>
                      <w:sz w:val="19"/>
                      <w:szCs w:val="19"/>
                    </w:rPr>
                  </w:pPr>
                  <w:r>
                    <w:rPr>
                      <w:sz w:val="19"/>
                      <w:szCs w:val="19"/>
                    </w:rPr>
                    <w:t>"</w:t>
                  </w:r>
                </w:p>
              </w:tc>
              <w:tc>
                <w:tcPr>
                  <w:tcW w:w="1189" w:type="dxa"/>
                  <w:vAlign w:val="top"/>
                </w:tcPr>
                <w:p w14:paraId="225D9422">
                  <w:pPr>
                    <w:pStyle w:val="6"/>
                    <w:spacing w:before="39" w:line="220" w:lineRule="auto"/>
                    <w:ind w:left="154"/>
                    <w:rPr>
                      <w:sz w:val="19"/>
                      <w:szCs w:val="19"/>
                    </w:rPr>
                  </w:pPr>
                  <w:r>
                    <w:rPr>
                      <w:spacing w:val="2"/>
                      <w:sz w:val="19"/>
                      <w:szCs w:val="19"/>
                    </w:rPr>
                    <w:t>52户，208</w:t>
                  </w:r>
                </w:p>
                <w:p w14:paraId="761862C3">
                  <w:pPr>
                    <w:pStyle w:val="6"/>
                    <w:spacing w:before="35" w:line="220" w:lineRule="auto"/>
                    <w:ind w:left="495"/>
                    <w:rPr>
                      <w:sz w:val="19"/>
                      <w:szCs w:val="19"/>
                    </w:rPr>
                  </w:pPr>
                  <w:r>
                    <w:rPr>
                      <w:sz w:val="19"/>
                      <w:szCs w:val="19"/>
                    </w:rPr>
                    <w:t>人</w:t>
                  </w:r>
                </w:p>
              </w:tc>
              <w:tc>
                <w:tcPr>
                  <w:tcW w:w="1199" w:type="dxa"/>
                  <w:vAlign w:val="top"/>
                </w:tcPr>
                <w:p w14:paraId="5D39FB84">
                  <w:pPr>
                    <w:pStyle w:val="6"/>
                    <w:spacing w:before="178" w:line="219" w:lineRule="auto"/>
                    <w:ind w:left="116"/>
                    <w:rPr>
                      <w:sz w:val="19"/>
                      <w:szCs w:val="19"/>
                    </w:rPr>
                  </w:pPr>
                  <w:r>
                    <w:rPr>
                      <w:spacing w:val="2"/>
                      <w:sz w:val="19"/>
                      <w:szCs w:val="19"/>
                    </w:rPr>
                    <w:t>6#阵列南侧</w:t>
                  </w:r>
                </w:p>
              </w:tc>
              <w:tc>
                <w:tcPr>
                  <w:tcW w:w="1188" w:type="dxa"/>
                  <w:vAlign w:val="top"/>
                </w:tcPr>
                <w:p w14:paraId="57E0CCB6">
                  <w:pPr>
                    <w:pStyle w:val="6"/>
                    <w:spacing w:before="197" w:line="241" w:lineRule="auto"/>
                    <w:ind w:left="496"/>
                    <w:rPr>
                      <w:sz w:val="19"/>
                      <w:szCs w:val="19"/>
                    </w:rPr>
                  </w:pPr>
                  <w:r>
                    <w:rPr>
                      <w:spacing w:val="-3"/>
                      <w:sz w:val="19"/>
                      <w:szCs w:val="19"/>
                    </w:rPr>
                    <w:t>24</w:t>
                  </w:r>
                </w:p>
              </w:tc>
              <w:tc>
                <w:tcPr>
                  <w:tcW w:w="1203" w:type="dxa"/>
                  <w:vAlign w:val="top"/>
                </w:tcPr>
                <w:p w14:paraId="51561E1A">
                  <w:pPr>
                    <w:pStyle w:val="6"/>
                    <w:spacing w:before="197" w:line="239" w:lineRule="auto"/>
                    <w:ind w:left="408"/>
                    <w:rPr>
                      <w:sz w:val="19"/>
                      <w:szCs w:val="19"/>
                    </w:rPr>
                  </w:pPr>
                  <w:r>
                    <w:rPr>
                      <w:spacing w:val="-3"/>
                      <w:sz w:val="19"/>
                      <w:szCs w:val="19"/>
                    </w:rPr>
                    <w:t>72.3</w:t>
                  </w:r>
                </w:p>
              </w:tc>
            </w:tr>
            <w:tr w14:paraId="52952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193" w:type="dxa"/>
                  <w:vAlign w:val="top"/>
                </w:tcPr>
                <w:p w14:paraId="634B4CC6">
                  <w:pPr>
                    <w:pStyle w:val="6"/>
                    <w:spacing w:before="179" w:line="219" w:lineRule="auto"/>
                    <w:ind w:left="394"/>
                    <w:rPr>
                      <w:sz w:val="19"/>
                      <w:szCs w:val="19"/>
                    </w:rPr>
                  </w:pPr>
                  <w:r>
                    <w:rPr>
                      <w:spacing w:val="4"/>
                      <w:sz w:val="19"/>
                      <w:szCs w:val="19"/>
                    </w:rPr>
                    <w:t>小村</w:t>
                  </w:r>
                </w:p>
              </w:tc>
              <w:tc>
                <w:tcPr>
                  <w:tcW w:w="1179" w:type="dxa"/>
                  <w:vAlign w:val="top"/>
                </w:tcPr>
                <w:p w14:paraId="79DFE6F3">
                  <w:pPr>
                    <w:pStyle w:val="6"/>
                    <w:spacing w:before="89" w:line="233" w:lineRule="auto"/>
                    <w:ind w:left="11"/>
                    <w:rPr>
                      <w:sz w:val="19"/>
                      <w:szCs w:val="19"/>
                    </w:rPr>
                  </w:pPr>
                  <w:r>
                    <w:rPr>
                      <w:spacing w:val="-2"/>
                      <w:sz w:val="19"/>
                      <w:szCs w:val="19"/>
                    </w:rPr>
                    <w:t>103°34'34.2</w:t>
                  </w:r>
                </w:p>
                <w:p w14:paraId="0E8CFF54">
                  <w:pPr>
                    <w:pStyle w:val="6"/>
                    <w:spacing w:line="202" w:lineRule="auto"/>
                    <w:ind w:left="391"/>
                    <w:rPr>
                      <w:sz w:val="19"/>
                      <w:szCs w:val="19"/>
                    </w:rPr>
                  </w:pPr>
                  <w:r>
                    <w:rPr>
                      <w:spacing w:val="28"/>
                      <w:sz w:val="19"/>
                      <w:szCs w:val="19"/>
                    </w:rPr>
                    <w:t>93”</w:t>
                  </w:r>
                </w:p>
              </w:tc>
              <w:tc>
                <w:tcPr>
                  <w:tcW w:w="1198" w:type="dxa"/>
                  <w:vAlign w:val="top"/>
                </w:tcPr>
                <w:p w14:paraId="4A4218BD">
                  <w:pPr>
                    <w:pStyle w:val="6"/>
                    <w:spacing w:before="89" w:line="239" w:lineRule="auto"/>
                    <w:ind w:left="22"/>
                    <w:rPr>
                      <w:sz w:val="19"/>
                      <w:szCs w:val="19"/>
                    </w:rPr>
                  </w:pPr>
                  <w:r>
                    <w:rPr>
                      <w:spacing w:val="-1"/>
                      <w:sz w:val="19"/>
                      <w:szCs w:val="19"/>
                    </w:rPr>
                    <w:t>26°0'33.865</w:t>
                  </w:r>
                </w:p>
                <w:p w14:paraId="79C5427C">
                  <w:pPr>
                    <w:pStyle w:val="6"/>
                    <w:spacing w:before="2" w:line="194" w:lineRule="auto"/>
                    <w:ind w:left="542"/>
                    <w:rPr>
                      <w:sz w:val="19"/>
                      <w:szCs w:val="19"/>
                    </w:rPr>
                  </w:pPr>
                  <w:r>
                    <w:rPr>
                      <w:sz w:val="19"/>
                      <w:szCs w:val="19"/>
                    </w:rPr>
                    <w:t>"</w:t>
                  </w:r>
                </w:p>
              </w:tc>
              <w:tc>
                <w:tcPr>
                  <w:tcW w:w="1189" w:type="dxa"/>
                  <w:vAlign w:val="top"/>
                </w:tcPr>
                <w:p w14:paraId="76E58362">
                  <w:pPr>
                    <w:pStyle w:val="6"/>
                    <w:spacing w:before="31" w:line="220" w:lineRule="auto"/>
                    <w:ind w:left="154"/>
                    <w:rPr>
                      <w:sz w:val="19"/>
                      <w:szCs w:val="19"/>
                    </w:rPr>
                  </w:pPr>
                  <w:r>
                    <w:rPr>
                      <w:spacing w:val="2"/>
                      <w:sz w:val="19"/>
                      <w:szCs w:val="19"/>
                    </w:rPr>
                    <w:t>32户，128</w:t>
                  </w:r>
                </w:p>
                <w:p w14:paraId="75ECFE37">
                  <w:pPr>
                    <w:pStyle w:val="6"/>
                    <w:spacing w:before="36" w:line="222" w:lineRule="auto"/>
                    <w:ind w:left="495"/>
                    <w:rPr>
                      <w:sz w:val="19"/>
                      <w:szCs w:val="19"/>
                    </w:rPr>
                  </w:pPr>
                  <w:r>
                    <w:rPr>
                      <w:sz w:val="19"/>
                      <w:szCs w:val="19"/>
                    </w:rPr>
                    <w:t>人</w:t>
                  </w:r>
                </w:p>
              </w:tc>
              <w:tc>
                <w:tcPr>
                  <w:tcW w:w="1199" w:type="dxa"/>
                  <w:vAlign w:val="top"/>
                </w:tcPr>
                <w:p w14:paraId="3517FE16">
                  <w:pPr>
                    <w:pStyle w:val="6"/>
                    <w:spacing w:before="29" w:line="247" w:lineRule="auto"/>
                    <w:ind w:left="495" w:right="155" w:hanging="330"/>
                    <w:rPr>
                      <w:sz w:val="19"/>
                      <w:szCs w:val="19"/>
                    </w:rPr>
                  </w:pPr>
                  <w:r>
                    <w:rPr>
                      <w:spacing w:val="2"/>
                      <w:sz w:val="19"/>
                      <w:szCs w:val="19"/>
                    </w:rPr>
                    <w:t>11#阵列东</w:t>
                  </w:r>
                  <w:r>
                    <w:rPr>
                      <w:sz w:val="19"/>
                      <w:szCs w:val="19"/>
                    </w:rPr>
                    <w:t xml:space="preserve"> 侧</w:t>
                  </w:r>
                </w:p>
              </w:tc>
              <w:tc>
                <w:tcPr>
                  <w:tcW w:w="1188" w:type="dxa"/>
                  <w:vAlign w:val="top"/>
                </w:tcPr>
                <w:p w14:paraId="57C5F2ED">
                  <w:pPr>
                    <w:pStyle w:val="6"/>
                    <w:spacing w:before="199"/>
                    <w:ind w:left="496"/>
                    <w:rPr>
                      <w:sz w:val="19"/>
                      <w:szCs w:val="19"/>
                    </w:rPr>
                  </w:pPr>
                  <w:r>
                    <w:rPr>
                      <w:spacing w:val="-6"/>
                      <w:sz w:val="19"/>
                      <w:szCs w:val="19"/>
                    </w:rPr>
                    <w:t>18</w:t>
                  </w:r>
                </w:p>
              </w:tc>
              <w:tc>
                <w:tcPr>
                  <w:tcW w:w="1203" w:type="dxa"/>
                  <w:vAlign w:val="top"/>
                </w:tcPr>
                <w:p w14:paraId="187254A0">
                  <w:pPr>
                    <w:pStyle w:val="6"/>
                    <w:spacing w:before="199" w:line="239" w:lineRule="auto"/>
                    <w:ind w:left="408"/>
                    <w:rPr>
                      <w:sz w:val="19"/>
                      <w:szCs w:val="19"/>
                    </w:rPr>
                  </w:pPr>
                  <w:r>
                    <w:rPr>
                      <w:spacing w:val="-3"/>
                      <w:sz w:val="19"/>
                      <w:szCs w:val="19"/>
                    </w:rPr>
                    <w:t>74.1</w:t>
                  </w:r>
                </w:p>
              </w:tc>
            </w:tr>
            <w:tr w14:paraId="7BDC5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193" w:type="dxa"/>
                  <w:vAlign w:val="top"/>
                </w:tcPr>
                <w:p w14:paraId="2C050B5C">
                  <w:pPr>
                    <w:pStyle w:val="6"/>
                    <w:spacing w:before="185" w:line="221" w:lineRule="auto"/>
                    <w:ind w:left="305"/>
                    <w:rPr>
                      <w:sz w:val="19"/>
                      <w:szCs w:val="19"/>
                    </w:rPr>
                  </w:pPr>
                  <w:r>
                    <w:rPr>
                      <w:spacing w:val="-2"/>
                      <w:sz w:val="19"/>
                      <w:szCs w:val="19"/>
                    </w:rPr>
                    <w:t>上南屯</w:t>
                  </w:r>
                </w:p>
              </w:tc>
              <w:tc>
                <w:tcPr>
                  <w:tcW w:w="1179" w:type="dxa"/>
                  <w:vAlign w:val="top"/>
                </w:tcPr>
                <w:p w14:paraId="211E88EE">
                  <w:pPr>
                    <w:pStyle w:val="6"/>
                    <w:spacing w:before="101" w:line="224" w:lineRule="auto"/>
                    <w:ind w:left="11"/>
                    <w:rPr>
                      <w:sz w:val="19"/>
                      <w:szCs w:val="19"/>
                    </w:rPr>
                  </w:pPr>
                  <w:r>
                    <w:rPr>
                      <w:spacing w:val="-2"/>
                      <w:sz w:val="19"/>
                      <w:szCs w:val="19"/>
                    </w:rPr>
                    <w:t>103°21'20.0</w:t>
                  </w:r>
                </w:p>
                <w:p w14:paraId="1E46F503">
                  <w:pPr>
                    <w:pStyle w:val="6"/>
                    <w:spacing w:line="200" w:lineRule="auto"/>
                    <w:ind w:left="432"/>
                    <w:rPr>
                      <w:sz w:val="19"/>
                      <w:szCs w:val="19"/>
                    </w:rPr>
                  </w:pPr>
                  <w:r>
                    <w:rPr>
                      <w:spacing w:val="-2"/>
                      <w:sz w:val="19"/>
                      <w:szCs w:val="19"/>
                    </w:rPr>
                    <w:t>93"</w:t>
                  </w:r>
                </w:p>
              </w:tc>
              <w:tc>
                <w:tcPr>
                  <w:tcW w:w="1198" w:type="dxa"/>
                  <w:vAlign w:val="top"/>
                </w:tcPr>
                <w:p w14:paraId="4E7D7B21">
                  <w:pPr>
                    <w:pStyle w:val="6"/>
                    <w:spacing w:before="111" w:line="214" w:lineRule="auto"/>
                    <w:ind w:left="22"/>
                    <w:rPr>
                      <w:sz w:val="19"/>
                      <w:szCs w:val="19"/>
                    </w:rPr>
                  </w:pPr>
                  <w:r>
                    <w:rPr>
                      <w:spacing w:val="-1"/>
                      <w:sz w:val="19"/>
                      <w:szCs w:val="19"/>
                    </w:rPr>
                    <w:t>25°21'33.00</w:t>
                  </w:r>
                </w:p>
                <w:p w14:paraId="3E616078">
                  <w:pPr>
                    <w:pStyle w:val="6"/>
                    <w:spacing w:line="200" w:lineRule="auto"/>
                    <w:ind w:left="492"/>
                    <w:rPr>
                      <w:sz w:val="19"/>
                      <w:szCs w:val="19"/>
                    </w:rPr>
                  </w:pPr>
                  <w:r>
                    <w:rPr>
                      <w:spacing w:val="-3"/>
                      <w:sz w:val="19"/>
                      <w:szCs w:val="19"/>
                    </w:rPr>
                    <w:t>3"</w:t>
                  </w:r>
                </w:p>
              </w:tc>
              <w:tc>
                <w:tcPr>
                  <w:tcW w:w="1189" w:type="dxa"/>
                  <w:vAlign w:val="top"/>
                </w:tcPr>
                <w:p w14:paraId="21250B87">
                  <w:pPr>
                    <w:pStyle w:val="6"/>
                    <w:spacing w:before="43" w:line="220" w:lineRule="auto"/>
                    <w:ind w:left="154"/>
                    <w:rPr>
                      <w:sz w:val="19"/>
                      <w:szCs w:val="19"/>
                    </w:rPr>
                  </w:pPr>
                  <w:r>
                    <w:rPr>
                      <w:spacing w:val="2"/>
                      <w:sz w:val="19"/>
                      <w:szCs w:val="19"/>
                    </w:rPr>
                    <w:t>42户，178</w:t>
                  </w:r>
                </w:p>
                <w:p w14:paraId="7AEAE51F">
                  <w:pPr>
                    <w:pStyle w:val="6"/>
                    <w:spacing w:before="36" w:line="222" w:lineRule="auto"/>
                    <w:ind w:left="495"/>
                    <w:rPr>
                      <w:sz w:val="19"/>
                      <w:szCs w:val="19"/>
                    </w:rPr>
                  </w:pPr>
                  <w:r>
                    <w:rPr>
                      <w:sz w:val="19"/>
                      <w:szCs w:val="19"/>
                    </w:rPr>
                    <w:t>人</w:t>
                  </w:r>
                </w:p>
              </w:tc>
              <w:tc>
                <w:tcPr>
                  <w:tcW w:w="1199" w:type="dxa"/>
                  <w:vAlign w:val="top"/>
                </w:tcPr>
                <w:p w14:paraId="6021FCD8">
                  <w:pPr>
                    <w:pStyle w:val="6"/>
                    <w:spacing w:before="41" w:line="241" w:lineRule="auto"/>
                    <w:ind w:left="495" w:right="155" w:hanging="330"/>
                    <w:rPr>
                      <w:sz w:val="19"/>
                      <w:szCs w:val="19"/>
                    </w:rPr>
                  </w:pPr>
                  <w:r>
                    <w:rPr>
                      <w:spacing w:val="2"/>
                      <w:sz w:val="19"/>
                      <w:szCs w:val="19"/>
                    </w:rPr>
                    <w:t>12#阵列东</w:t>
                  </w:r>
                  <w:r>
                    <w:rPr>
                      <w:sz w:val="19"/>
                      <w:szCs w:val="19"/>
                    </w:rPr>
                    <w:t xml:space="preserve"> 侧</w:t>
                  </w:r>
                </w:p>
              </w:tc>
              <w:tc>
                <w:tcPr>
                  <w:tcW w:w="1188" w:type="dxa"/>
                  <w:vAlign w:val="top"/>
                </w:tcPr>
                <w:p w14:paraId="5A0B79D8">
                  <w:pPr>
                    <w:pStyle w:val="6"/>
                    <w:spacing w:before="201"/>
                    <w:ind w:left="496"/>
                    <w:rPr>
                      <w:sz w:val="19"/>
                      <w:szCs w:val="19"/>
                    </w:rPr>
                  </w:pPr>
                  <w:r>
                    <w:rPr>
                      <w:spacing w:val="-6"/>
                      <w:sz w:val="19"/>
                      <w:szCs w:val="19"/>
                    </w:rPr>
                    <w:t>17</w:t>
                  </w:r>
                </w:p>
              </w:tc>
              <w:tc>
                <w:tcPr>
                  <w:tcW w:w="1203" w:type="dxa"/>
                  <w:vAlign w:val="top"/>
                </w:tcPr>
                <w:p w14:paraId="4BFBA1DA">
                  <w:pPr>
                    <w:pStyle w:val="6"/>
                    <w:spacing w:before="201" w:line="239" w:lineRule="auto"/>
                    <w:ind w:left="408"/>
                    <w:rPr>
                      <w:sz w:val="19"/>
                      <w:szCs w:val="19"/>
                    </w:rPr>
                  </w:pPr>
                  <w:r>
                    <w:rPr>
                      <w:spacing w:val="-3"/>
                      <w:sz w:val="19"/>
                      <w:szCs w:val="19"/>
                    </w:rPr>
                    <w:t>74.5</w:t>
                  </w:r>
                </w:p>
              </w:tc>
            </w:tr>
            <w:tr w14:paraId="55A05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193" w:type="dxa"/>
                  <w:vAlign w:val="top"/>
                </w:tcPr>
                <w:p w14:paraId="629A02E8">
                  <w:pPr>
                    <w:pStyle w:val="6"/>
                    <w:spacing w:before="185" w:line="221" w:lineRule="auto"/>
                    <w:ind w:left="305"/>
                    <w:rPr>
                      <w:sz w:val="19"/>
                      <w:szCs w:val="19"/>
                    </w:rPr>
                  </w:pPr>
                  <w:r>
                    <w:rPr>
                      <w:spacing w:val="3"/>
                      <w:sz w:val="19"/>
                      <w:szCs w:val="19"/>
                    </w:rPr>
                    <w:t>下南屯</w:t>
                  </w:r>
                </w:p>
              </w:tc>
              <w:tc>
                <w:tcPr>
                  <w:tcW w:w="1179" w:type="dxa"/>
                  <w:vAlign w:val="top"/>
                </w:tcPr>
                <w:p w14:paraId="06FBEE57">
                  <w:pPr>
                    <w:pStyle w:val="6"/>
                    <w:spacing w:before="83" w:line="233" w:lineRule="auto"/>
                    <w:ind w:left="11"/>
                    <w:rPr>
                      <w:sz w:val="19"/>
                      <w:szCs w:val="19"/>
                    </w:rPr>
                  </w:pPr>
                  <w:r>
                    <w:rPr>
                      <w:spacing w:val="-2"/>
                      <w:sz w:val="19"/>
                      <w:szCs w:val="19"/>
                    </w:rPr>
                    <w:t>103°22'23.4</w:t>
                  </w:r>
                </w:p>
                <w:p w14:paraId="4E4D92BA">
                  <w:pPr>
                    <w:pStyle w:val="6"/>
                    <w:spacing w:line="198" w:lineRule="auto"/>
                    <w:ind w:left="391"/>
                    <w:rPr>
                      <w:sz w:val="19"/>
                      <w:szCs w:val="19"/>
                    </w:rPr>
                  </w:pPr>
                  <w:r>
                    <w:rPr>
                      <w:spacing w:val="27"/>
                      <w:sz w:val="19"/>
                      <w:szCs w:val="19"/>
                    </w:rPr>
                    <w:t>36”</w:t>
                  </w:r>
                </w:p>
              </w:tc>
              <w:tc>
                <w:tcPr>
                  <w:tcW w:w="1198" w:type="dxa"/>
                  <w:vAlign w:val="top"/>
                </w:tcPr>
                <w:p w14:paraId="72EFC366">
                  <w:pPr>
                    <w:pStyle w:val="6"/>
                    <w:spacing w:before="83" w:line="224" w:lineRule="auto"/>
                    <w:ind w:left="22"/>
                    <w:rPr>
                      <w:sz w:val="19"/>
                      <w:szCs w:val="19"/>
                    </w:rPr>
                  </w:pPr>
                  <w:r>
                    <w:rPr>
                      <w:spacing w:val="-1"/>
                      <w:sz w:val="19"/>
                      <w:szCs w:val="19"/>
                    </w:rPr>
                    <w:t>25°21'59.42</w:t>
                  </w:r>
                </w:p>
                <w:p w14:paraId="6B615EA5">
                  <w:pPr>
                    <w:pStyle w:val="6"/>
                    <w:spacing w:line="208" w:lineRule="auto"/>
                    <w:ind w:left="442"/>
                    <w:rPr>
                      <w:sz w:val="19"/>
                      <w:szCs w:val="19"/>
                    </w:rPr>
                  </w:pPr>
                  <w:r>
                    <w:rPr>
                      <w:spacing w:val="35"/>
                      <w:w w:val="105"/>
                      <w:sz w:val="19"/>
                      <w:szCs w:val="19"/>
                    </w:rPr>
                    <w:t>2”</w:t>
                  </w:r>
                </w:p>
              </w:tc>
              <w:tc>
                <w:tcPr>
                  <w:tcW w:w="1189" w:type="dxa"/>
                  <w:vAlign w:val="top"/>
                </w:tcPr>
                <w:p w14:paraId="0F3BAEC5">
                  <w:pPr>
                    <w:pStyle w:val="6"/>
                    <w:spacing w:before="45" w:line="220" w:lineRule="auto"/>
                    <w:ind w:left="154"/>
                    <w:rPr>
                      <w:sz w:val="19"/>
                      <w:szCs w:val="19"/>
                    </w:rPr>
                  </w:pPr>
                  <w:r>
                    <w:rPr>
                      <w:spacing w:val="-2"/>
                      <w:sz w:val="19"/>
                      <w:szCs w:val="19"/>
                    </w:rPr>
                    <w:t>95户，354</w:t>
                  </w:r>
                </w:p>
                <w:p w14:paraId="0FE55B28">
                  <w:pPr>
                    <w:pStyle w:val="6"/>
                    <w:spacing w:before="16" w:line="222" w:lineRule="auto"/>
                    <w:ind w:left="495"/>
                    <w:rPr>
                      <w:sz w:val="19"/>
                      <w:szCs w:val="19"/>
                    </w:rPr>
                  </w:pPr>
                  <w:r>
                    <w:rPr>
                      <w:sz w:val="19"/>
                      <w:szCs w:val="19"/>
                    </w:rPr>
                    <w:t>人</w:t>
                  </w:r>
                </w:p>
              </w:tc>
              <w:tc>
                <w:tcPr>
                  <w:tcW w:w="1199" w:type="dxa"/>
                  <w:vAlign w:val="top"/>
                </w:tcPr>
                <w:p w14:paraId="1CC7A28F">
                  <w:pPr>
                    <w:pStyle w:val="6"/>
                    <w:spacing w:before="23" w:line="245" w:lineRule="auto"/>
                    <w:ind w:left="495" w:right="155" w:hanging="330"/>
                    <w:rPr>
                      <w:sz w:val="19"/>
                      <w:szCs w:val="19"/>
                    </w:rPr>
                  </w:pPr>
                  <w:r>
                    <w:rPr>
                      <w:spacing w:val="2"/>
                      <w:sz w:val="19"/>
                      <w:szCs w:val="19"/>
                    </w:rPr>
                    <w:t>10#阵列东</w:t>
                  </w:r>
                  <w:r>
                    <w:rPr>
                      <w:sz w:val="19"/>
                      <w:szCs w:val="19"/>
                    </w:rPr>
                    <w:t xml:space="preserve"> 侧</w:t>
                  </w:r>
                </w:p>
              </w:tc>
              <w:tc>
                <w:tcPr>
                  <w:tcW w:w="1188" w:type="dxa"/>
                  <w:vAlign w:val="top"/>
                </w:tcPr>
                <w:p w14:paraId="5BCE7CA5">
                  <w:pPr>
                    <w:pStyle w:val="6"/>
                    <w:spacing w:before="203" w:line="241" w:lineRule="auto"/>
                    <w:ind w:left="496"/>
                    <w:rPr>
                      <w:sz w:val="19"/>
                      <w:szCs w:val="19"/>
                    </w:rPr>
                  </w:pPr>
                  <w:r>
                    <w:rPr>
                      <w:spacing w:val="-2"/>
                      <w:sz w:val="19"/>
                      <w:szCs w:val="19"/>
                    </w:rPr>
                    <w:t>44</w:t>
                  </w:r>
                </w:p>
              </w:tc>
              <w:tc>
                <w:tcPr>
                  <w:tcW w:w="1203" w:type="dxa"/>
                  <w:vAlign w:val="top"/>
                </w:tcPr>
                <w:p w14:paraId="17A6909C">
                  <w:pPr>
                    <w:pStyle w:val="6"/>
                    <w:spacing w:before="203" w:line="239" w:lineRule="auto"/>
                    <w:ind w:left="408"/>
                    <w:rPr>
                      <w:sz w:val="19"/>
                      <w:szCs w:val="19"/>
                    </w:rPr>
                  </w:pPr>
                  <w:r>
                    <w:rPr>
                      <w:spacing w:val="-2"/>
                      <w:sz w:val="19"/>
                      <w:szCs w:val="19"/>
                    </w:rPr>
                    <w:t>64.1</w:t>
                  </w:r>
                </w:p>
              </w:tc>
            </w:tr>
            <w:tr w14:paraId="1E933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193" w:type="dxa"/>
                  <w:vAlign w:val="top"/>
                </w:tcPr>
                <w:p w14:paraId="61773D49">
                  <w:pPr>
                    <w:pStyle w:val="6"/>
                    <w:spacing w:before="176" w:line="219" w:lineRule="auto"/>
                    <w:ind w:left="114"/>
                    <w:rPr>
                      <w:sz w:val="19"/>
                      <w:szCs w:val="19"/>
                    </w:rPr>
                  </w:pPr>
                  <w:r>
                    <w:rPr>
                      <w:spacing w:val="5"/>
                      <w:sz w:val="19"/>
                      <w:szCs w:val="19"/>
                    </w:rPr>
                    <w:t>杨梅沟散户</w:t>
                  </w:r>
                </w:p>
              </w:tc>
              <w:tc>
                <w:tcPr>
                  <w:tcW w:w="1179" w:type="dxa"/>
                  <w:vAlign w:val="top"/>
                </w:tcPr>
                <w:p w14:paraId="564C9F9A">
                  <w:pPr>
                    <w:pStyle w:val="6"/>
                    <w:spacing w:before="85" w:line="239" w:lineRule="auto"/>
                    <w:ind w:left="11"/>
                    <w:rPr>
                      <w:sz w:val="19"/>
                      <w:szCs w:val="19"/>
                    </w:rPr>
                  </w:pPr>
                  <w:r>
                    <w:rPr>
                      <w:spacing w:val="-2"/>
                      <w:sz w:val="19"/>
                      <w:szCs w:val="19"/>
                    </w:rPr>
                    <w:t>103°22'37.1</w:t>
                  </w:r>
                </w:p>
                <w:p w14:paraId="553128DA">
                  <w:pPr>
                    <w:pStyle w:val="6"/>
                    <w:spacing w:before="4" w:line="182" w:lineRule="auto"/>
                    <w:ind w:left="391"/>
                    <w:rPr>
                      <w:sz w:val="19"/>
                      <w:szCs w:val="19"/>
                    </w:rPr>
                  </w:pPr>
                  <w:r>
                    <w:rPr>
                      <w:spacing w:val="28"/>
                      <w:sz w:val="19"/>
                      <w:szCs w:val="19"/>
                    </w:rPr>
                    <w:t>86”</w:t>
                  </w:r>
                </w:p>
              </w:tc>
              <w:tc>
                <w:tcPr>
                  <w:tcW w:w="1198" w:type="dxa"/>
                  <w:vAlign w:val="top"/>
                </w:tcPr>
                <w:p w14:paraId="286A2470">
                  <w:pPr>
                    <w:pStyle w:val="6"/>
                    <w:spacing w:before="85" w:line="239" w:lineRule="auto"/>
                    <w:ind w:left="22"/>
                    <w:rPr>
                      <w:sz w:val="19"/>
                      <w:szCs w:val="19"/>
                    </w:rPr>
                  </w:pPr>
                  <w:r>
                    <w:rPr>
                      <w:spacing w:val="-1"/>
                      <w:sz w:val="19"/>
                      <w:szCs w:val="19"/>
                    </w:rPr>
                    <w:t>25°20'19.23</w:t>
                  </w:r>
                </w:p>
                <w:p w14:paraId="7B3EEAD0">
                  <w:pPr>
                    <w:pStyle w:val="6"/>
                    <w:spacing w:before="4" w:line="182" w:lineRule="auto"/>
                    <w:ind w:left="442"/>
                    <w:rPr>
                      <w:sz w:val="19"/>
                      <w:szCs w:val="19"/>
                    </w:rPr>
                  </w:pPr>
                  <w:r>
                    <w:rPr>
                      <w:spacing w:val="35"/>
                      <w:w w:val="105"/>
                      <w:sz w:val="19"/>
                      <w:szCs w:val="19"/>
                    </w:rPr>
                    <w:t>2”</w:t>
                  </w:r>
                </w:p>
              </w:tc>
              <w:tc>
                <w:tcPr>
                  <w:tcW w:w="1189" w:type="dxa"/>
                  <w:vAlign w:val="top"/>
                </w:tcPr>
                <w:p w14:paraId="27754166">
                  <w:pPr>
                    <w:pStyle w:val="6"/>
                    <w:spacing w:before="177" w:line="220" w:lineRule="auto"/>
                    <w:ind w:left="154"/>
                    <w:rPr>
                      <w:sz w:val="19"/>
                      <w:szCs w:val="19"/>
                    </w:rPr>
                  </w:pPr>
                  <w:r>
                    <w:rPr>
                      <w:spacing w:val="2"/>
                      <w:sz w:val="19"/>
                      <w:szCs w:val="19"/>
                    </w:rPr>
                    <w:t>3户，12人</w:t>
                  </w:r>
                </w:p>
              </w:tc>
              <w:tc>
                <w:tcPr>
                  <w:tcW w:w="1199" w:type="dxa"/>
                  <w:vAlign w:val="top"/>
                </w:tcPr>
                <w:p w14:paraId="6D40F9F5">
                  <w:pPr>
                    <w:pStyle w:val="6"/>
                    <w:spacing w:before="26" w:line="219" w:lineRule="auto"/>
                    <w:ind w:left="165"/>
                    <w:rPr>
                      <w:sz w:val="19"/>
                      <w:szCs w:val="19"/>
                    </w:rPr>
                  </w:pPr>
                  <w:r>
                    <w:rPr>
                      <w:spacing w:val="-2"/>
                      <w:sz w:val="19"/>
                      <w:szCs w:val="19"/>
                    </w:rPr>
                    <w:t>29#阵列西</w:t>
                  </w:r>
                </w:p>
                <w:p w14:paraId="10C8309F">
                  <w:pPr>
                    <w:pStyle w:val="6"/>
                    <w:spacing w:before="44" w:line="219" w:lineRule="auto"/>
                    <w:ind w:left="495"/>
                    <w:rPr>
                      <w:sz w:val="19"/>
                      <w:szCs w:val="19"/>
                    </w:rPr>
                  </w:pPr>
                  <w:r>
                    <w:rPr>
                      <w:sz w:val="19"/>
                      <w:szCs w:val="19"/>
                    </w:rPr>
                    <w:t>侧</w:t>
                  </w:r>
                </w:p>
              </w:tc>
              <w:tc>
                <w:tcPr>
                  <w:tcW w:w="1188" w:type="dxa"/>
                  <w:vAlign w:val="top"/>
                </w:tcPr>
                <w:p w14:paraId="7F109FC9">
                  <w:pPr>
                    <w:pStyle w:val="6"/>
                    <w:spacing w:before="195"/>
                    <w:ind w:left="496"/>
                    <w:rPr>
                      <w:sz w:val="19"/>
                      <w:szCs w:val="19"/>
                    </w:rPr>
                  </w:pPr>
                  <w:r>
                    <w:rPr>
                      <w:spacing w:val="-2"/>
                      <w:sz w:val="19"/>
                      <w:szCs w:val="19"/>
                    </w:rPr>
                    <w:t>45</w:t>
                  </w:r>
                </w:p>
              </w:tc>
              <w:tc>
                <w:tcPr>
                  <w:tcW w:w="1203" w:type="dxa"/>
                  <w:vAlign w:val="top"/>
                </w:tcPr>
                <w:p w14:paraId="4B47840E">
                  <w:pPr>
                    <w:pStyle w:val="6"/>
                    <w:spacing w:before="195" w:line="239" w:lineRule="auto"/>
                    <w:ind w:left="408"/>
                    <w:rPr>
                      <w:sz w:val="19"/>
                      <w:szCs w:val="19"/>
                    </w:rPr>
                  </w:pPr>
                  <w:r>
                    <w:rPr>
                      <w:spacing w:val="-2"/>
                      <w:sz w:val="19"/>
                      <w:szCs w:val="19"/>
                    </w:rPr>
                    <w:t>64.5</w:t>
                  </w:r>
                </w:p>
              </w:tc>
            </w:tr>
          </w:tbl>
          <w:p w14:paraId="39AFE010">
            <w:pPr>
              <w:pStyle w:val="6"/>
              <w:spacing w:before="55" w:line="357" w:lineRule="auto"/>
              <w:ind w:left="530" w:right="34" w:firstLine="499"/>
              <w:jc w:val="both"/>
            </w:pPr>
            <w:r>
              <w:t>根据现场踏勘，项目施工期间，附近的声环境保护</w:t>
            </w:r>
            <w:r>
              <w:rPr>
                <w:spacing w:val="-1"/>
              </w:rPr>
              <w:t>目标声环境超过《声环境</w:t>
            </w:r>
            <w:r>
              <w:t xml:space="preserve"> 质量标准》 (</w:t>
            </w:r>
            <w:r>
              <w:rPr>
                <w:spacing w:val="-52"/>
              </w:rPr>
              <w:t xml:space="preserve"> </w:t>
            </w:r>
            <w:r>
              <w:rPr>
                <w:rFonts w:ascii="Times New Roman" w:hAnsi="Times New Roman" w:eastAsia="Times New Roman" w:cs="Times New Roman"/>
              </w:rPr>
              <w:t xml:space="preserve">GB3096-2008)1    </w:t>
            </w:r>
            <w:r>
              <w:t xml:space="preserve">类标准。为减轻项目施工噪声对环境敏感点的不 </w:t>
            </w:r>
            <w:r>
              <w:rPr>
                <w:spacing w:val="-1"/>
              </w:rPr>
              <w:t>利影响，工程施工期应积极采取减振降噪措施，尽量选用低噪设备，优化</w:t>
            </w:r>
            <w:r>
              <w:rPr>
                <w:spacing w:val="-2"/>
              </w:rPr>
              <w:t>施工工</w:t>
            </w:r>
            <w:r>
              <w:t xml:space="preserve"> </w:t>
            </w:r>
            <w:r>
              <w:rPr>
                <w:spacing w:val="-6"/>
              </w:rPr>
              <w:t>艺，将高噪声设备远离居民区布置，采取临时围挡防护措施；施工前应提前告知，</w:t>
            </w:r>
            <w:r>
              <w:rPr>
                <w:spacing w:val="14"/>
              </w:rPr>
              <w:t xml:space="preserve"> </w:t>
            </w:r>
            <w:r>
              <w:rPr>
                <w:spacing w:val="-6"/>
              </w:rPr>
              <w:t>争取周边居民的谅解；施工过程中加强管理，严格控制作业时间，夜间禁止施工；</w:t>
            </w:r>
            <w:r>
              <w:rPr>
                <w:spacing w:val="14"/>
              </w:rPr>
              <w:t xml:space="preserve"> </w:t>
            </w:r>
            <w:r>
              <w:rPr>
                <w:spacing w:val="-1"/>
              </w:rPr>
              <w:t>同时加强施工运输调度，运输车辆经过村庄、学校等保护目标时应减速慢行，禁</w:t>
            </w:r>
          </w:p>
        </w:tc>
      </w:tr>
    </w:tbl>
    <w:p w14:paraId="2E9AE150">
      <w:pPr>
        <w:pStyle w:val="2"/>
      </w:pPr>
    </w:p>
    <w:p w14:paraId="3D1F03B0">
      <w:pPr>
        <w:sectPr>
          <w:footerReference r:id="rId90" w:type="default"/>
          <w:pgSz w:w="11910" w:h="16840"/>
          <w:pgMar w:top="1431" w:right="1470" w:bottom="1255" w:left="1410" w:header="0" w:footer="1093" w:gutter="0"/>
          <w:cols w:space="720" w:num="1"/>
        </w:sectPr>
      </w:pPr>
    </w:p>
    <w:p w14:paraId="3625840B">
      <w:pPr>
        <w:spacing w:line="93" w:lineRule="exact"/>
      </w:pPr>
    </w:p>
    <w:tbl>
      <w:tblPr>
        <w:tblStyle w:val="5"/>
        <w:tblW w:w="89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75"/>
      </w:tblGrid>
      <w:tr w14:paraId="6659E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414" w:type="dxa"/>
            <w:vAlign w:val="top"/>
          </w:tcPr>
          <w:p w14:paraId="4AC3A111">
            <w:pPr>
              <w:rPr>
                <w:rFonts w:ascii="Arial"/>
                <w:sz w:val="21"/>
              </w:rPr>
            </w:pPr>
          </w:p>
        </w:tc>
        <w:tc>
          <w:tcPr>
            <w:tcW w:w="8575" w:type="dxa"/>
            <w:vAlign w:val="top"/>
          </w:tcPr>
          <w:p w14:paraId="1C4CB25F">
            <w:pPr>
              <w:pStyle w:val="6"/>
              <w:spacing w:before="13" w:line="361" w:lineRule="auto"/>
              <w:ind w:left="90" w:right="63" w:firstLine="10"/>
            </w:pPr>
            <w:r>
              <w:t xml:space="preserve">止鸣笛，尽量降低噪声影响。施工噪声影响是暂时的，采取以上措施控制噪声， </w:t>
            </w:r>
            <w:r>
              <w:rPr>
                <w:spacing w:val="-1"/>
              </w:rPr>
              <w:t>对其影响可接受。</w:t>
            </w:r>
          </w:p>
          <w:p w14:paraId="001CA347">
            <w:pPr>
              <w:pStyle w:val="6"/>
              <w:spacing w:line="220" w:lineRule="auto"/>
              <w:ind w:left="564"/>
            </w:pPr>
            <w:r>
              <w:rPr>
                <w:b/>
                <w:bCs/>
                <w:spacing w:val="-4"/>
              </w:rPr>
              <w:t>4、固体废物</w:t>
            </w:r>
          </w:p>
          <w:p w14:paraId="04C13631">
            <w:pPr>
              <w:pStyle w:val="6"/>
              <w:spacing w:before="187" w:line="220" w:lineRule="auto"/>
              <w:ind w:left="570"/>
            </w:pPr>
            <w:r>
              <w:t>项目施工期固体废物主要为土石方、建筑垃圾、施工人员生活垃圾。</w:t>
            </w:r>
          </w:p>
          <w:p w14:paraId="2FD2B11E">
            <w:pPr>
              <w:pStyle w:val="6"/>
              <w:spacing w:before="173" w:line="219" w:lineRule="auto"/>
              <w:ind w:left="671"/>
            </w:pPr>
            <w:r>
              <w:rPr>
                <w:spacing w:val="1"/>
              </w:rPr>
              <w:t>(1)废弃土石方</w:t>
            </w:r>
          </w:p>
          <w:p w14:paraId="56782467">
            <w:pPr>
              <w:pStyle w:val="6"/>
              <w:spacing w:before="206" w:line="221" w:lineRule="auto"/>
              <w:ind w:left="600"/>
            </w:pPr>
            <w:r>
              <w:rPr>
                <w:spacing w:val="3"/>
              </w:rPr>
              <w:t>1)升压站区</w:t>
            </w:r>
          </w:p>
          <w:p w14:paraId="2ADBAE13">
            <w:pPr>
              <w:pStyle w:val="6"/>
              <w:spacing w:before="171" w:line="358" w:lineRule="auto"/>
              <w:ind w:left="110" w:firstLine="474"/>
            </w:pPr>
            <w:r>
              <w:rPr>
                <w:spacing w:val="-5"/>
              </w:rPr>
              <w:t>升压站建设场地为场址中北部坡地，场地开挖成一个平台，场地坡度为0.5</w:t>
            </w:r>
            <w:r>
              <w:rPr>
                <w:spacing w:val="-6"/>
              </w:rPr>
              <w:t>%。</w:t>
            </w:r>
            <w:r>
              <w:t xml:space="preserve"> </w:t>
            </w:r>
            <w:r>
              <w:rPr>
                <w:spacing w:val="-2"/>
              </w:rPr>
              <w:t>升压站区土石方量主要包括场地平整及基础开</w:t>
            </w:r>
            <w:r>
              <w:rPr>
                <w:spacing w:val="-3"/>
              </w:rPr>
              <w:t>挖两部分，经统计，升压站区需土</w:t>
            </w:r>
            <w:r>
              <w:t xml:space="preserve">  </w:t>
            </w:r>
            <w:r>
              <w:rPr>
                <w:spacing w:val="7"/>
              </w:rPr>
              <w:t>石方开挖1.88万m³(含表土剥离0.02万m³),回填利用0.</w:t>
            </w:r>
            <w:r>
              <w:rPr>
                <w:spacing w:val="6"/>
              </w:rPr>
              <w:t>20万m³(含绿化覆</w:t>
            </w:r>
          </w:p>
          <w:p w14:paraId="008326B2">
            <w:pPr>
              <w:pStyle w:val="6"/>
              <w:spacing w:line="216" w:lineRule="auto"/>
              <w:ind w:left="100"/>
            </w:pPr>
            <w:r>
              <w:rPr>
                <w:spacing w:val="8"/>
              </w:rPr>
              <w:t>土0.02万m³),调出1.68万m³用于</w:t>
            </w:r>
            <w:r>
              <w:rPr>
                <w:spacing w:val="7"/>
              </w:rPr>
              <w:t>场地和基础回填利用。</w:t>
            </w:r>
          </w:p>
          <w:p w14:paraId="2CACD064">
            <w:pPr>
              <w:pStyle w:val="6"/>
              <w:spacing w:before="191" w:line="219" w:lineRule="auto"/>
              <w:ind w:left="550"/>
            </w:pPr>
            <w:r>
              <w:rPr>
                <w:spacing w:val="2"/>
              </w:rPr>
              <w:t>2)光伏阵列区</w:t>
            </w:r>
          </w:p>
          <w:p w14:paraId="606C3516">
            <w:pPr>
              <w:pStyle w:val="6"/>
              <w:spacing w:before="195" w:line="345" w:lineRule="auto"/>
              <w:ind w:left="131" w:right="40" w:firstLine="459"/>
            </w:pPr>
            <w:r>
              <w:t>光伏阵列区土石方开挖主要包括支架基础灌注桩基础开挖，箱变、逆变器及</w:t>
            </w:r>
            <w:r>
              <w:rPr>
                <w:spacing w:val="12"/>
              </w:rPr>
              <w:t xml:space="preserve"> </w:t>
            </w:r>
            <w:r>
              <w:rPr>
                <w:spacing w:val="4"/>
              </w:rPr>
              <w:t>电缆沟基础开沟。光伏阵列区共开挖土石方0</w:t>
            </w:r>
            <w:r>
              <w:rPr>
                <w:spacing w:val="3"/>
              </w:rPr>
              <w:t>.90万m³,全部就地回填及摊平至</w:t>
            </w:r>
          </w:p>
          <w:p w14:paraId="0B758C6D">
            <w:pPr>
              <w:pStyle w:val="6"/>
              <w:spacing w:before="26" w:line="221" w:lineRule="auto"/>
              <w:ind w:left="90"/>
            </w:pPr>
            <w:r>
              <w:t>低凹处利用。</w:t>
            </w:r>
          </w:p>
          <w:p w14:paraId="30B09597">
            <w:pPr>
              <w:pStyle w:val="6"/>
              <w:spacing w:before="182" w:line="219" w:lineRule="auto"/>
              <w:ind w:left="560"/>
            </w:pPr>
            <w:r>
              <w:rPr>
                <w:spacing w:val="2"/>
              </w:rPr>
              <w:t>3)集电线路区</w:t>
            </w:r>
          </w:p>
          <w:p w14:paraId="33EFE445">
            <w:pPr>
              <w:pStyle w:val="6"/>
              <w:spacing w:before="174" w:line="359" w:lineRule="auto"/>
              <w:ind w:left="100" w:right="27" w:firstLine="489"/>
            </w:pPr>
            <w:r>
              <w:rPr>
                <w:spacing w:val="1"/>
              </w:rPr>
              <w:t>本工程集电线路包括直埋电缆和架空线路两种形式。其中</w:t>
            </w:r>
            <w:r>
              <w:t>直埋电缆区开挖回 填主要为沟槽开挖、基底处理及电缆沟回填，架空线路区主要为塔基区的土石方</w:t>
            </w:r>
            <w:r>
              <w:rPr>
                <w:spacing w:val="18"/>
              </w:rPr>
              <w:t xml:space="preserve"> </w:t>
            </w:r>
            <w:r>
              <w:rPr>
                <w:spacing w:val="8"/>
              </w:rPr>
              <w:t>开挖回填。经统计，直埋线路区土石方开挖2.28万m³</w:t>
            </w:r>
            <w:r>
              <w:rPr>
                <w:spacing w:val="7"/>
              </w:rPr>
              <w:t>(含表土剥离0.70万m³),</w:t>
            </w:r>
            <w:r>
              <w:t xml:space="preserve"> </w:t>
            </w:r>
            <w:r>
              <w:rPr>
                <w:spacing w:val="7"/>
              </w:rPr>
              <w:t>架空线路区土石方开挖1.83万m³,集电线路区共土石方开挖</w:t>
            </w:r>
            <w:r>
              <w:rPr>
                <w:spacing w:val="6"/>
              </w:rPr>
              <w:t>4.11万m³(含表土</w:t>
            </w:r>
          </w:p>
          <w:p w14:paraId="2D999188">
            <w:pPr>
              <w:pStyle w:val="6"/>
              <w:spacing w:before="1" w:line="216" w:lineRule="auto"/>
              <w:ind w:left="110"/>
            </w:pPr>
            <w:r>
              <w:rPr>
                <w:spacing w:val="8"/>
              </w:rPr>
              <w:t>剥离0.70万m³),回填及摊平至低凹处利用4.11万m³(含绿化覆土0.70万m³)。</w:t>
            </w:r>
          </w:p>
          <w:p w14:paraId="38633F6F">
            <w:pPr>
              <w:pStyle w:val="6"/>
              <w:spacing w:before="193" w:line="219" w:lineRule="auto"/>
              <w:ind w:left="550"/>
            </w:pPr>
            <w:r>
              <w:rPr>
                <w:spacing w:val="2"/>
              </w:rPr>
              <w:t>4)交通道路区</w:t>
            </w:r>
          </w:p>
          <w:p w14:paraId="0B6666F8">
            <w:pPr>
              <w:pStyle w:val="6"/>
              <w:spacing w:before="183" w:line="362" w:lineRule="auto"/>
              <w:ind w:left="120" w:right="82" w:firstLine="449"/>
            </w:pPr>
            <w:r>
              <w:t>场区周边有多条乡村道路通往场区，交通便利，不进</w:t>
            </w:r>
            <w:r>
              <w:rPr>
                <w:spacing w:val="-1"/>
              </w:rPr>
              <w:t>行新建道路。对部分路</w:t>
            </w:r>
            <w:r>
              <w:t xml:space="preserve"> 面进行改造填平和弯道进行加宽，部分改造后的路面为20cm石渣路面。改造道</w:t>
            </w:r>
          </w:p>
          <w:p w14:paraId="1A798A39">
            <w:pPr>
              <w:pStyle w:val="6"/>
              <w:spacing w:before="3" w:line="355" w:lineRule="auto"/>
              <w:ind w:left="90" w:firstLine="9"/>
            </w:pPr>
            <w:r>
              <w:rPr>
                <w:spacing w:val="-5"/>
              </w:rPr>
              <w:t>路合计2.36km。部分地段道路主要位于山坡，山坡段较陡峭，开挖道路边坡较大，</w:t>
            </w:r>
            <w:r>
              <w:rPr>
                <w:spacing w:val="18"/>
              </w:rPr>
              <w:t xml:space="preserve"> </w:t>
            </w:r>
            <w:r>
              <w:rPr>
                <w:spacing w:val="1"/>
              </w:rPr>
              <w:t>土石方回填量较多。经统计，交通道路区需土石方开挖4.3</w:t>
            </w:r>
            <w:r>
              <w:t>4万m³(含表土剥离</w:t>
            </w:r>
          </w:p>
          <w:p w14:paraId="7F31C263">
            <w:pPr>
              <w:pStyle w:val="6"/>
              <w:spacing w:before="1" w:line="216" w:lineRule="auto"/>
              <w:ind w:left="90"/>
            </w:pPr>
            <w:r>
              <w:rPr>
                <w:spacing w:val="10"/>
              </w:rPr>
              <w:t>0.90万m³),回填利用5.12万m³(含绿化覆土0.90万m³)。</w:t>
            </w:r>
          </w:p>
          <w:p w14:paraId="447AF8F5">
            <w:pPr>
              <w:pStyle w:val="6"/>
              <w:spacing w:before="198" w:line="347" w:lineRule="auto"/>
              <w:ind w:left="121" w:firstLine="459"/>
            </w:pPr>
            <w:r>
              <w:rPr>
                <w:spacing w:val="8"/>
              </w:rPr>
              <w:t>综上所述，本工程土石方开挖总量为13.55万m</w:t>
            </w:r>
            <w:r>
              <w:rPr>
                <w:spacing w:val="7"/>
              </w:rPr>
              <w:t>³(含表土剥离量2.32万m³),</w:t>
            </w:r>
            <w:r>
              <w:t xml:space="preserve"> </w:t>
            </w:r>
            <w:r>
              <w:rPr>
                <w:spacing w:val="6"/>
              </w:rPr>
              <w:t>回填利用量13.55万m³(含绿化覆土2.32万m³),土石方挖填平衡，无弃渣产</w:t>
            </w:r>
          </w:p>
          <w:p w14:paraId="5293BE5F">
            <w:pPr>
              <w:pStyle w:val="6"/>
              <w:spacing w:before="36" w:line="229" w:lineRule="auto"/>
              <w:ind w:left="90"/>
            </w:pPr>
            <w:r>
              <w:rPr>
                <w:spacing w:val="-1"/>
              </w:rPr>
              <w:t>生。</w:t>
            </w:r>
          </w:p>
        </w:tc>
      </w:tr>
    </w:tbl>
    <w:p w14:paraId="5635DE83">
      <w:pPr>
        <w:pStyle w:val="2"/>
      </w:pPr>
    </w:p>
    <w:p w14:paraId="597D4629">
      <w:pPr>
        <w:sectPr>
          <w:footerReference r:id="rId91" w:type="default"/>
          <w:pgSz w:w="11910" w:h="16840"/>
          <w:pgMar w:top="1431" w:right="1465" w:bottom="1255" w:left="1445" w:header="0" w:footer="1093" w:gutter="0"/>
          <w:cols w:space="720" w:num="1"/>
        </w:sectPr>
      </w:pPr>
    </w:p>
    <w:p w14:paraId="33383D0E">
      <w:pPr>
        <w:spacing w:line="43" w:lineRule="exact"/>
      </w:pPr>
    </w:p>
    <w:tbl>
      <w:tblPr>
        <w:tblStyle w:val="5"/>
        <w:tblW w:w="8970" w:type="dxa"/>
        <w:tblInd w:w="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5"/>
        <w:gridCol w:w="639"/>
        <w:gridCol w:w="679"/>
        <w:gridCol w:w="1239"/>
        <w:gridCol w:w="629"/>
        <w:gridCol w:w="559"/>
        <w:gridCol w:w="559"/>
        <w:gridCol w:w="559"/>
        <w:gridCol w:w="539"/>
        <w:gridCol w:w="579"/>
        <w:gridCol w:w="559"/>
        <w:gridCol w:w="540"/>
        <w:gridCol w:w="450"/>
        <w:gridCol w:w="540"/>
        <w:gridCol w:w="435"/>
      </w:tblGrid>
      <w:tr w14:paraId="75440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465" w:type="dxa"/>
            <w:vMerge w:val="restart"/>
            <w:tcBorders>
              <w:bottom w:val="nil"/>
            </w:tcBorders>
            <w:vAlign w:val="top"/>
          </w:tcPr>
          <w:p w14:paraId="62A16DBC">
            <w:pPr>
              <w:rPr>
                <w:rFonts w:ascii="Arial"/>
                <w:sz w:val="21"/>
              </w:rPr>
            </w:pPr>
          </w:p>
        </w:tc>
        <w:tc>
          <w:tcPr>
            <w:tcW w:w="8505" w:type="dxa"/>
            <w:gridSpan w:val="14"/>
            <w:vAlign w:val="top"/>
          </w:tcPr>
          <w:p w14:paraId="1AF7C598">
            <w:pPr>
              <w:pStyle w:val="6"/>
              <w:spacing w:before="32" w:line="227" w:lineRule="auto"/>
              <w:ind w:left="563"/>
              <w:rPr>
                <w:sz w:val="25"/>
                <w:szCs w:val="25"/>
              </w:rPr>
            </w:pPr>
            <w:r>
              <w:rPr>
                <w:b/>
                <w:bCs/>
                <w:spacing w:val="4"/>
                <w:sz w:val="25"/>
                <w:szCs w:val="25"/>
              </w:rPr>
              <w:t>表4-4</w:t>
            </w:r>
            <w:r>
              <w:rPr>
                <w:spacing w:val="2"/>
                <w:sz w:val="25"/>
                <w:szCs w:val="25"/>
              </w:rPr>
              <w:t xml:space="preserve">       </w:t>
            </w:r>
            <w:r>
              <w:rPr>
                <w:b/>
                <w:bCs/>
                <w:spacing w:val="4"/>
                <w:sz w:val="25"/>
                <w:szCs w:val="25"/>
              </w:rPr>
              <w:t>土石方平衡分析及流向统计表</w:t>
            </w:r>
            <w:r>
              <w:rPr>
                <w:spacing w:val="3"/>
                <w:sz w:val="25"/>
                <w:szCs w:val="25"/>
              </w:rPr>
              <w:t xml:space="preserve">         </w:t>
            </w:r>
            <w:r>
              <w:rPr>
                <w:b/>
                <w:bCs/>
                <w:spacing w:val="4"/>
                <w:position w:val="-1"/>
                <w:sz w:val="25"/>
                <w:szCs w:val="25"/>
              </w:rPr>
              <w:t>单位：万m³</w:t>
            </w:r>
          </w:p>
        </w:tc>
      </w:tr>
      <w:tr w14:paraId="64055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465" w:type="dxa"/>
            <w:vMerge w:val="continue"/>
            <w:tcBorders>
              <w:top w:val="nil"/>
              <w:bottom w:val="nil"/>
            </w:tcBorders>
            <w:vAlign w:val="top"/>
          </w:tcPr>
          <w:p w14:paraId="2D1163EE">
            <w:pPr>
              <w:rPr>
                <w:rFonts w:ascii="Arial"/>
                <w:sz w:val="21"/>
              </w:rPr>
            </w:pPr>
          </w:p>
        </w:tc>
        <w:tc>
          <w:tcPr>
            <w:tcW w:w="639" w:type="dxa"/>
            <w:vMerge w:val="restart"/>
            <w:tcBorders>
              <w:bottom w:val="nil"/>
            </w:tcBorders>
            <w:vAlign w:val="top"/>
          </w:tcPr>
          <w:p w14:paraId="73CD58E6">
            <w:pPr>
              <w:spacing w:line="438" w:lineRule="auto"/>
              <w:rPr>
                <w:rFonts w:ascii="Arial"/>
                <w:sz w:val="21"/>
              </w:rPr>
            </w:pPr>
          </w:p>
          <w:p w14:paraId="68D4502A">
            <w:pPr>
              <w:pStyle w:val="6"/>
              <w:spacing w:before="58" w:line="221" w:lineRule="auto"/>
              <w:ind w:left="129"/>
              <w:rPr>
                <w:sz w:val="18"/>
                <w:szCs w:val="18"/>
              </w:rPr>
            </w:pPr>
            <w:r>
              <w:rPr>
                <w:spacing w:val="-2"/>
                <w:sz w:val="18"/>
                <w:szCs w:val="18"/>
              </w:rPr>
              <w:t>序号</w:t>
            </w:r>
          </w:p>
        </w:tc>
        <w:tc>
          <w:tcPr>
            <w:tcW w:w="1918" w:type="dxa"/>
            <w:gridSpan w:val="2"/>
            <w:vMerge w:val="restart"/>
            <w:tcBorders>
              <w:bottom w:val="nil"/>
            </w:tcBorders>
            <w:vAlign w:val="top"/>
          </w:tcPr>
          <w:p w14:paraId="72D69190">
            <w:pPr>
              <w:spacing w:line="437" w:lineRule="auto"/>
              <w:rPr>
                <w:rFonts w:ascii="Arial"/>
                <w:sz w:val="21"/>
              </w:rPr>
            </w:pPr>
          </w:p>
          <w:p w14:paraId="11DB8360">
            <w:pPr>
              <w:pStyle w:val="6"/>
              <w:spacing w:before="59" w:line="220" w:lineRule="auto"/>
              <w:ind w:left="770"/>
              <w:rPr>
                <w:sz w:val="18"/>
                <w:szCs w:val="18"/>
              </w:rPr>
            </w:pPr>
            <w:r>
              <w:rPr>
                <w:spacing w:val="7"/>
                <w:sz w:val="18"/>
                <w:szCs w:val="18"/>
              </w:rPr>
              <w:t>分区</w:t>
            </w:r>
          </w:p>
        </w:tc>
        <w:tc>
          <w:tcPr>
            <w:tcW w:w="2306" w:type="dxa"/>
            <w:gridSpan w:val="4"/>
            <w:vAlign w:val="top"/>
          </w:tcPr>
          <w:p w14:paraId="62DA8961">
            <w:pPr>
              <w:pStyle w:val="6"/>
              <w:spacing w:before="29" w:line="206" w:lineRule="auto"/>
              <w:ind w:left="962"/>
              <w:rPr>
                <w:sz w:val="18"/>
                <w:szCs w:val="18"/>
              </w:rPr>
            </w:pPr>
            <w:r>
              <w:rPr>
                <w:spacing w:val="-2"/>
                <w:sz w:val="18"/>
                <w:szCs w:val="18"/>
              </w:rPr>
              <w:t>开挖</w:t>
            </w:r>
          </w:p>
        </w:tc>
        <w:tc>
          <w:tcPr>
            <w:tcW w:w="1677" w:type="dxa"/>
            <w:gridSpan w:val="3"/>
            <w:vAlign w:val="top"/>
          </w:tcPr>
          <w:p w14:paraId="3DF66CD5">
            <w:pPr>
              <w:pStyle w:val="6"/>
              <w:spacing w:before="29" w:line="206" w:lineRule="auto"/>
              <w:ind w:left="647"/>
              <w:rPr>
                <w:sz w:val="18"/>
                <w:szCs w:val="18"/>
              </w:rPr>
            </w:pPr>
            <w:r>
              <w:rPr>
                <w:spacing w:val="4"/>
                <w:sz w:val="18"/>
                <w:szCs w:val="18"/>
              </w:rPr>
              <w:t>回填</w:t>
            </w:r>
          </w:p>
        </w:tc>
        <w:tc>
          <w:tcPr>
            <w:tcW w:w="990" w:type="dxa"/>
            <w:gridSpan w:val="2"/>
            <w:vAlign w:val="top"/>
          </w:tcPr>
          <w:p w14:paraId="13BB3B08">
            <w:pPr>
              <w:pStyle w:val="6"/>
              <w:spacing w:before="30" w:line="205" w:lineRule="auto"/>
              <w:ind w:left="320"/>
              <w:rPr>
                <w:sz w:val="18"/>
                <w:szCs w:val="18"/>
              </w:rPr>
            </w:pPr>
            <w:r>
              <w:rPr>
                <w:spacing w:val="10"/>
                <w:sz w:val="18"/>
                <w:szCs w:val="18"/>
              </w:rPr>
              <w:t>调出</w:t>
            </w:r>
          </w:p>
        </w:tc>
        <w:tc>
          <w:tcPr>
            <w:tcW w:w="975" w:type="dxa"/>
            <w:gridSpan w:val="2"/>
            <w:vAlign w:val="top"/>
          </w:tcPr>
          <w:p w14:paraId="097D3702">
            <w:pPr>
              <w:pStyle w:val="6"/>
              <w:spacing w:before="30" w:line="205" w:lineRule="auto"/>
              <w:ind w:left="299"/>
              <w:rPr>
                <w:sz w:val="18"/>
                <w:szCs w:val="18"/>
              </w:rPr>
            </w:pPr>
            <w:r>
              <w:rPr>
                <w:spacing w:val="-3"/>
                <w:sz w:val="18"/>
                <w:szCs w:val="18"/>
              </w:rPr>
              <w:t>调入</w:t>
            </w:r>
          </w:p>
        </w:tc>
      </w:tr>
      <w:tr w14:paraId="49955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465" w:type="dxa"/>
            <w:vMerge w:val="continue"/>
            <w:tcBorders>
              <w:top w:val="nil"/>
              <w:bottom w:val="nil"/>
            </w:tcBorders>
            <w:vAlign w:val="top"/>
          </w:tcPr>
          <w:p w14:paraId="1275DBF3">
            <w:pPr>
              <w:rPr>
                <w:rFonts w:ascii="Arial"/>
                <w:sz w:val="21"/>
              </w:rPr>
            </w:pPr>
          </w:p>
        </w:tc>
        <w:tc>
          <w:tcPr>
            <w:tcW w:w="639" w:type="dxa"/>
            <w:vMerge w:val="continue"/>
            <w:tcBorders>
              <w:top w:val="nil"/>
            </w:tcBorders>
            <w:vAlign w:val="top"/>
          </w:tcPr>
          <w:p w14:paraId="2CD4B7B1">
            <w:pPr>
              <w:rPr>
                <w:rFonts w:ascii="Arial"/>
                <w:sz w:val="21"/>
              </w:rPr>
            </w:pPr>
          </w:p>
        </w:tc>
        <w:tc>
          <w:tcPr>
            <w:tcW w:w="1918" w:type="dxa"/>
            <w:gridSpan w:val="2"/>
            <w:vMerge w:val="continue"/>
            <w:tcBorders>
              <w:top w:val="nil"/>
            </w:tcBorders>
            <w:vAlign w:val="top"/>
          </w:tcPr>
          <w:p w14:paraId="53A2A0FA">
            <w:pPr>
              <w:rPr>
                <w:rFonts w:ascii="Arial"/>
                <w:sz w:val="21"/>
              </w:rPr>
            </w:pPr>
          </w:p>
        </w:tc>
        <w:tc>
          <w:tcPr>
            <w:tcW w:w="629" w:type="dxa"/>
            <w:vAlign w:val="top"/>
          </w:tcPr>
          <w:p w14:paraId="719EFADE">
            <w:pPr>
              <w:spacing w:line="308" w:lineRule="auto"/>
              <w:rPr>
                <w:rFonts w:ascii="Arial"/>
                <w:sz w:val="21"/>
              </w:rPr>
            </w:pPr>
          </w:p>
          <w:p w14:paraId="73414B54">
            <w:pPr>
              <w:pStyle w:val="6"/>
              <w:spacing w:before="59" w:line="221" w:lineRule="auto"/>
              <w:ind w:left="122"/>
              <w:rPr>
                <w:sz w:val="18"/>
                <w:szCs w:val="18"/>
              </w:rPr>
            </w:pPr>
            <w:r>
              <w:rPr>
                <w:spacing w:val="-3"/>
                <w:sz w:val="18"/>
                <w:szCs w:val="18"/>
              </w:rPr>
              <w:t>小计</w:t>
            </w:r>
          </w:p>
        </w:tc>
        <w:tc>
          <w:tcPr>
            <w:tcW w:w="559" w:type="dxa"/>
            <w:textDirection w:val="tbRlV"/>
            <w:vAlign w:val="top"/>
          </w:tcPr>
          <w:p w14:paraId="6FEA7410">
            <w:pPr>
              <w:pStyle w:val="6"/>
              <w:spacing w:before="193" w:line="201" w:lineRule="auto"/>
              <w:jc w:val="right"/>
              <w:rPr>
                <w:sz w:val="18"/>
                <w:szCs w:val="18"/>
              </w:rPr>
            </w:pPr>
            <w:r>
              <w:rPr>
                <w:spacing w:val="-4"/>
                <w:sz w:val="18"/>
                <w:szCs w:val="18"/>
              </w:rPr>
              <w:t>表</w:t>
            </w:r>
            <w:r>
              <w:rPr>
                <w:spacing w:val="-20"/>
                <w:sz w:val="18"/>
                <w:szCs w:val="18"/>
              </w:rPr>
              <w:t xml:space="preserve"> </w:t>
            </w:r>
            <w:r>
              <w:rPr>
                <w:spacing w:val="-4"/>
                <w:sz w:val="18"/>
                <w:szCs w:val="18"/>
              </w:rPr>
              <w:t>土</w:t>
            </w:r>
            <w:r>
              <w:rPr>
                <w:spacing w:val="-20"/>
                <w:sz w:val="18"/>
                <w:szCs w:val="18"/>
              </w:rPr>
              <w:t xml:space="preserve"> </w:t>
            </w:r>
            <w:r>
              <w:rPr>
                <w:spacing w:val="-4"/>
                <w:sz w:val="18"/>
                <w:szCs w:val="18"/>
              </w:rPr>
              <w:t>剥</w:t>
            </w:r>
            <w:r>
              <w:rPr>
                <w:spacing w:val="-20"/>
                <w:sz w:val="18"/>
                <w:szCs w:val="18"/>
              </w:rPr>
              <w:t xml:space="preserve"> </w:t>
            </w:r>
            <w:r>
              <w:rPr>
                <w:spacing w:val="-4"/>
                <w:sz w:val="18"/>
                <w:szCs w:val="18"/>
              </w:rPr>
              <w:t>离</w:t>
            </w:r>
          </w:p>
        </w:tc>
        <w:tc>
          <w:tcPr>
            <w:tcW w:w="559" w:type="dxa"/>
            <w:textDirection w:val="tbRlV"/>
            <w:vAlign w:val="top"/>
          </w:tcPr>
          <w:p w14:paraId="0C830C35">
            <w:pPr>
              <w:pStyle w:val="6"/>
              <w:spacing w:before="191" w:line="202" w:lineRule="auto"/>
              <w:jc w:val="right"/>
              <w:rPr>
                <w:sz w:val="18"/>
                <w:szCs w:val="18"/>
              </w:rPr>
            </w:pPr>
            <w:r>
              <w:rPr>
                <w:spacing w:val="-5"/>
                <w:sz w:val="18"/>
                <w:szCs w:val="18"/>
              </w:rPr>
              <w:t>场</w:t>
            </w:r>
            <w:r>
              <w:rPr>
                <w:spacing w:val="-17"/>
                <w:sz w:val="18"/>
                <w:szCs w:val="18"/>
              </w:rPr>
              <w:t xml:space="preserve"> </w:t>
            </w:r>
            <w:r>
              <w:rPr>
                <w:spacing w:val="-5"/>
                <w:sz w:val="18"/>
                <w:szCs w:val="18"/>
              </w:rPr>
              <w:t>地</w:t>
            </w:r>
            <w:r>
              <w:rPr>
                <w:spacing w:val="-18"/>
                <w:sz w:val="18"/>
                <w:szCs w:val="18"/>
              </w:rPr>
              <w:t xml:space="preserve"> </w:t>
            </w:r>
            <w:r>
              <w:rPr>
                <w:spacing w:val="-5"/>
                <w:sz w:val="18"/>
                <w:szCs w:val="18"/>
              </w:rPr>
              <w:t>平</w:t>
            </w:r>
            <w:r>
              <w:rPr>
                <w:spacing w:val="-18"/>
                <w:sz w:val="18"/>
                <w:szCs w:val="18"/>
              </w:rPr>
              <w:t xml:space="preserve"> </w:t>
            </w:r>
            <w:r>
              <w:rPr>
                <w:spacing w:val="-5"/>
                <w:sz w:val="18"/>
                <w:szCs w:val="18"/>
              </w:rPr>
              <w:t>整</w:t>
            </w:r>
          </w:p>
        </w:tc>
        <w:tc>
          <w:tcPr>
            <w:tcW w:w="559" w:type="dxa"/>
            <w:textDirection w:val="tbRlV"/>
            <w:vAlign w:val="top"/>
          </w:tcPr>
          <w:p w14:paraId="11E0C56D">
            <w:pPr>
              <w:pStyle w:val="6"/>
              <w:spacing w:before="191" w:line="202" w:lineRule="auto"/>
              <w:jc w:val="right"/>
              <w:rPr>
                <w:sz w:val="18"/>
                <w:szCs w:val="18"/>
              </w:rPr>
            </w:pPr>
            <w:r>
              <w:rPr>
                <w:spacing w:val="-4"/>
                <w:sz w:val="18"/>
                <w:szCs w:val="18"/>
              </w:rPr>
              <w:t>基</w:t>
            </w:r>
            <w:r>
              <w:rPr>
                <w:spacing w:val="-19"/>
                <w:sz w:val="18"/>
                <w:szCs w:val="18"/>
              </w:rPr>
              <w:t xml:space="preserve"> </w:t>
            </w:r>
            <w:r>
              <w:rPr>
                <w:spacing w:val="-4"/>
                <w:sz w:val="18"/>
                <w:szCs w:val="18"/>
              </w:rPr>
              <w:t>础</w:t>
            </w:r>
            <w:r>
              <w:rPr>
                <w:spacing w:val="-20"/>
                <w:sz w:val="18"/>
                <w:szCs w:val="18"/>
              </w:rPr>
              <w:t xml:space="preserve"> </w:t>
            </w:r>
            <w:r>
              <w:rPr>
                <w:spacing w:val="-4"/>
                <w:sz w:val="18"/>
                <w:szCs w:val="18"/>
              </w:rPr>
              <w:t>开</w:t>
            </w:r>
            <w:r>
              <w:rPr>
                <w:spacing w:val="-19"/>
                <w:sz w:val="18"/>
                <w:szCs w:val="18"/>
              </w:rPr>
              <w:t xml:space="preserve"> </w:t>
            </w:r>
            <w:r>
              <w:rPr>
                <w:spacing w:val="-4"/>
                <w:sz w:val="18"/>
                <w:szCs w:val="18"/>
              </w:rPr>
              <w:t>挖</w:t>
            </w:r>
          </w:p>
        </w:tc>
        <w:tc>
          <w:tcPr>
            <w:tcW w:w="539" w:type="dxa"/>
            <w:textDirection w:val="tbRlV"/>
            <w:vAlign w:val="top"/>
          </w:tcPr>
          <w:p w14:paraId="20C896A1">
            <w:pPr>
              <w:pStyle w:val="6"/>
              <w:spacing w:before="179" w:line="202" w:lineRule="auto"/>
              <w:ind w:left="220"/>
              <w:rPr>
                <w:sz w:val="18"/>
                <w:szCs w:val="18"/>
              </w:rPr>
            </w:pPr>
            <w:r>
              <w:rPr>
                <w:sz w:val="18"/>
                <w:szCs w:val="18"/>
              </w:rPr>
              <w:t>小</w:t>
            </w:r>
            <w:r>
              <w:rPr>
                <w:spacing w:val="5"/>
                <w:sz w:val="18"/>
                <w:szCs w:val="18"/>
              </w:rPr>
              <w:t xml:space="preserve"> </w:t>
            </w:r>
            <w:r>
              <w:rPr>
                <w:sz w:val="18"/>
                <w:szCs w:val="18"/>
              </w:rPr>
              <w:t>计</w:t>
            </w:r>
          </w:p>
        </w:tc>
        <w:tc>
          <w:tcPr>
            <w:tcW w:w="579" w:type="dxa"/>
            <w:vAlign w:val="top"/>
          </w:tcPr>
          <w:p w14:paraId="19DAF5FC">
            <w:pPr>
              <w:pStyle w:val="6"/>
              <w:spacing w:before="18" w:line="220" w:lineRule="auto"/>
              <w:ind w:left="108"/>
              <w:rPr>
                <w:sz w:val="18"/>
                <w:szCs w:val="18"/>
              </w:rPr>
            </w:pPr>
            <w:r>
              <w:rPr>
                <w:spacing w:val="-2"/>
                <w:sz w:val="18"/>
                <w:szCs w:val="18"/>
              </w:rPr>
              <w:t>场地</w:t>
            </w:r>
          </w:p>
          <w:p w14:paraId="2CE08EA1">
            <w:pPr>
              <w:pStyle w:val="6"/>
              <w:spacing w:before="17" w:line="222" w:lineRule="auto"/>
              <w:ind w:left="108"/>
              <w:rPr>
                <w:sz w:val="18"/>
                <w:szCs w:val="18"/>
              </w:rPr>
            </w:pPr>
            <w:r>
              <w:rPr>
                <w:spacing w:val="-2"/>
                <w:sz w:val="18"/>
                <w:szCs w:val="18"/>
              </w:rPr>
              <w:t>及基</w:t>
            </w:r>
          </w:p>
          <w:p w14:paraId="5D652407">
            <w:pPr>
              <w:pStyle w:val="6"/>
              <w:spacing w:before="24" w:line="212" w:lineRule="auto"/>
              <w:ind w:left="108"/>
              <w:rPr>
                <w:sz w:val="18"/>
                <w:szCs w:val="18"/>
              </w:rPr>
            </w:pPr>
            <w:r>
              <w:rPr>
                <w:spacing w:val="9"/>
                <w:sz w:val="18"/>
                <w:szCs w:val="18"/>
              </w:rPr>
              <w:t>础回</w:t>
            </w:r>
          </w:p>
          <w:p w14:paraId="721FCEA5">
            <w:pPr>
              <w:pStyle w:val="6"/>
              <w:spacing w:line="214" w:lineRule="auto"/>
              <w:ind w:left="197"/>
              <w:rPr>
                <w:sz w:val="18"/>
                <w:szCs w:val="18"/>
              </w:rPr>
            </w:pPr>
            <w:r>
              <w:rPr>
                <w:sz w:val="18"/>
                <w:szCs w:val="18"/>
              </w:rPr>
              <w:t>填</w:t>
            </w:r>
          </w:p>
        </w:tc>
        <w:tc>
          <w:tcPr>
            <w:tcW w:w="559" w:type="dxa"/>
            <w:textDirection w:val="tbRlV"/>
            <w:vAlign w:val="top"/>
          </w:tcPr>
          <w:p w14:paraId="5611B218">
            <w:pPr>
              <w:pStyle w:val="6"/>
              <w:spacing w:before="186" w:line="201" w:lineRule="auto"/>
              <w:jc w:val="right"/>
              <w:rPr>
                <w:sz w:val="18"/>
                <w:szCs w:val="18"/>
              </w:rPr>
            </w:pPr>
            <w:r>
              <w:rPr>
                <w:spacing w:val="-7"/>
                <w:sz w:val="18"/>
                <w:szCs w:val="18"/>
              </w:rPr>
              <w:t>绿</w:t>
            </w:r>
            <w:r>
              <w:rPr>
                <w:spacing w:val="-14"/>
                <w:sz w:val="18"/>
                <w:szCs w:val="18"/>
              </w:rPr>
              <w:t xml:space="preserve"> </w:t>
            </w:r>
            <w:r>
              <w:rPr>
                <w:spacing w:val="-7"/>
                <w:sz w:val="18"/>
                <w:szCs w:val="18"/>
              </w:rPr>
              <w:t>化</w:t>
            </w:r>
            <w:r>
              <w:rPr>
                <w:spacing w:val="-16"/>
                <w:sz w:val="18"/>
                <w:szCs w:val="18"/>
              </w:rPr>
              <w:t xml:space="preserve"> </w:t>
            </w:r>
            <w:r>
              <w:rPr>
                <w:spacing w:val="-7"/>
                <w:sz w:val="18"/>
                <w:szCs w:val="18"/>
              </w:rPr>
              <w:t>覆</w:t>
            </w:r>
            <w:r>
              <w:rPr>
                <w:spacing w:val="-15"/>
                <w:sz w:val="18"/>
                <w:szCs w:val="18"/>
              </w:rPr>
              <w:t xml:space="preserve"> </w:t>
            </w:r>
            <w:r>
              <w:rPr>
                <w:spacing w:val="-7"/>
                <w:sz w:val="18"/>
                <w:szCs w:val="18"/>
              </w:rPr>
              <w:t>土</w:t>
            </w:r>
          </w:p>
        </w:tc>
        <w:tc>
          <w:tcPr>
            <w:tcW w:w="540" w:type="dxa"/>
            <w:textDirection w:val="tbRlV"/>
            <w:vAlign w:val="top"/>
          </w:tcPr>
          <w:p w14:paraId="41C0E108">
            <w:pPr>
              <w:pStyle w:val="6"/>
              <w:spacing w:before="176" w:line="201" w:lineRule="auto"/>
              <w:ind w:left="262"/>
              <w:rPr>
                <w:sz w:val="18"/>
                <w:szCs w:val="18"/>
              </w:rPr>
            </w:pPr>
            <w:r>
              <w:rPr>
                <w:sz w:val="18"/>
                <w:szCs w:val="18"/>
              </w:rPr>
              <w:t>数量</w:t>
            </w:r>
          </w:p>
        </w:tc>
        <w:tc>
          <w:tcPr>
            <w:tcW w:w="450" w:type="dxa"/>
            <w:textDirection w:val="tbRlV"/>
            <w:vAlign w:val="top"/>
          </w:tcPr>
          <w:p w14:paraId="54F1A2AA">
            <w:pPr>
              <w:pStyle w:val="6"/>
              <w:spacing w:before="131" w:line="195" w:lineRule="auto"/>
              <w:ind w:left="261"/>
              <w:rPr>
                <w:sz w:val="18"/>
                <w:szCs w:val="18"/>
              </w:rPr>
            </w:pPr>
            <w:r>
              <w:rPr>
                <w:sz w:val="18"/>
                <w:szCs w:val="18"/>
              </w:rPr>
              <w:t>去向</w:t>
            </w:r>
          </w:p>
        </w:tc>
        <w:tc>
          <w:tcPr>
            <w:tcW w:w="540" w:type="dxa"/>
            <w:textDirection w:val="tbRlV"/>
            <w:vAlign w:val="top"/>
          </w:tcPr>
          <w:p w14:paraId="378FAA1F">
            <w:pPr>
              <w:pStyle w:val="6"/>
              <w:spacing w:before="176" w:line="201" w:lineRule="auto"/>
              <w:ind w:left="262"/>
              <w:rPr>
                <w:sz w:val="18"/>
                <w:szCs w:val="18"/>
              </w:rPr>
            </w:pPr>
            <w:r>
              <w:rPr>
                <w:sz w:val="18"/>
                <w:szCs w:val="18"/>
              </w:rPr>
              <w:t>数量</w:t>
            </w:r>
          </w:p>
        </w:tc>
        <w:tc>
          <w:tcPr>
            <w:tcW w:w="435" w:type="dxa"/>
            <w:textDirection w:val="tbRlV"/>
            <w:vAlign w:val="top"/>
          </w:tcPr>
          <w:p w14:paraId="54999350">
            <w:pPr>
              <w:pStyle w:val="6"/>
              <w:spacing w:before="152" w:line="201" w:lineRule="auto"/>
              <w:ind w:left="262"/>
              <w:rPr>
                <w:sz w:val="18"/>
                <w:szCs w:val="18"/>
              </w:rPr>
            </w:pPr>
            <w:r>
              <w:rPr>
                <w:sz w:val="18"/>
                <w:szCs w:val="18"/>
              </w:rPr>
              <w:t>来源</w:t>
            </w:r>
          </w:p>
        </w:tc>
      </w:tr>
      <w:tr w14:paraId="59264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trPr>
        <w:tc>
          <w:tcPr>
            <w:tcW w:w="465" w:type="dxa"/>
            <w:vMerge w:val="continue"/>
            <w:tcBorders>
              <w:top w:val="nil"/>
              <w:bottom w:val="nil"/>
            </w:tcBorders>
            <w:vAlign w:val="top"/>
          </w:tcPr>
          <w:p w14:paraId="7F45D39D">
            <w:pPr>
              <w:rPr>
                <w:rFonts w:ascii="Arial"/>
                <w:sz w:val="21"/>
              </w:rPr>
            </w:pPr>
          </w:p>
        </w:tc>
        <w:tc>
          <w:tcPr>
            <w:tcW w:w="639" w:type="dxa"/>
            <w:vAlign w:val="top"/>
          </w:tcPr>
          <w:p w14:paraId="60F6D961">
            <w:pPr>
              <w:spacing w:line="262" w:lineRule="auto"/>
              <w:rPr>
                <w:rFonts w:ascii="Arial"/>
                <w:sz w:val="21"/>
              </w:rPr>
            </w:pPr>
          </w:p>
          <w:p w14:paraId="6DF1343F">
            <w:pPr>
              <w:spacing w:line="262" w:lineRule="auto"/>
              <w:rPr>
                <w:rFonts w:ascii="Arial"/>
                <w:sz w:val="21"/>
              </w:rPr>
            </w:pPr>
          </w:p>
          <w:p w14:paraId="5C9C9173">
            <w:pPr>
              <w:pStyle w:val="6"/>
              <w:spacing w:before="58" w:line="139" w:lineRule="exact"/>
              <w:ind w:left="219"/>
              <w:rPr>
                <w:sz w:val="18"/>
                <w:szCs w:val="18"/>
              </w:rPr>
            </w:pPr>
            <w:r>
              <w:rPr>
                <w:position w:val="-4"/>
                <w:sz w:val="18"/>
                <w:szCs w:val="18"/>
              </w:rPr>
              <w:t>一</w:t>
            </w:r>
          </w:p>
        </w:tc>
        <w:tc>
          <w:tcPr>
            <w:tcW w:w="1918" w:type="dxa"/>
            <w:gridSpan w:val="2"/>
            <w:vAlign w:val="top"/>
          </w:tcPr>
          <w:p w14:paraId="04118D20">
            <w:pPr>
              <w:spacing w:line="440" w:lineRule="auto"/>
              <w:rPr>
                <w:rFonts w:ascii="Arial"/>
                <w:sz w:val="21"/>
              </w:rPr>
            </w:pPr>
          </w:p>
          <w:p w14:paraId="415F4067">
            <w:pPr>
              <w:pStyle w:val="6"/>
              <w:spacing w:before="58" w:line="221" w:lineRule="auto"/>
              <w:ind w:left="590"/>
              <w:rPr>
                <w:sz w:val="18"/>
                <w:szCs w:val="18"/>
              </w:rPr>
            </w:pPr>
            <w:r>
              <w:rPr>
                <w:spacing w:val="3"/>
                <w:sz w:val="18"/>
                <w:szCs w:val="18"/>
              </w:rPr>
              <w:t>升压站区</w:t>
            </w:r>
          </w:p>
        </w:tc>
        <w:tc>
          <w:tcPr>
            <w:tcW w:w="629" w:type="dxa"/>
            <w:vAlign w:val="top"/>
          </w:tcPr>
          <w:p w14:paraId="7D038675">
            <w:pPr>
              <w:spacing w:line="456" w:lineRule="auto"/>
              <w:rPr>
                <w:rFonts w:ascii="Arial"/>
                <w:sz w:val="21"/>
              </w:rPr>
            </w:pPr>
          </w:p>
          <w:p w14:paraId="592C3A8E">
            <w:pPr>
              <w:pStyle w:val="6"/>
              <w:spacing w:before="59" w:line="239" w:lineRule="auto"/>
              <w:ind w:left="122"/>
              <w:rPr>
                <w:sz w:val="18"/>
                <w:szCs w:val="18"/>
              </w:rPr>
            </w:pPr>
            <w:r>
              <w:rPr>
                <w:spacing w:val="-4"/>
                <w:sz w:val="18"/>
                <w:szCs w:val="18"/>
              </w:rPr>
              <w:t>1.88</w:t>
            </w:r>
          </w:p>
        </w:tc>
        <w:tc>
          <w:tcPr>
            <w:tcW w:w="559" w:type="dxa"/>
            <w:vAlign w:val="top"/>
          </w:tcPr>
          <w:p w14:paraId="7A4C522A">
            <w:pPr>
              <w:spacing w:line="456" w:lineRule="auto"/>
              <w:rPr>
                <w:rFonts w:ascii="Arial"/>
                <w:sz w:val="21"/>
              </w:rPr>
            </w:pPr>
          </w:p>
          <w:p w14:paraId="2ECE224F">
            <w:pPr>
              <w:pStyle w:val="6"/>
              <w:spacing w:before="59" w:line="239" w:lineRule="auto"/>
              <w:ind w:left="93"/>
              <w:rPr>
                <w:sz w:val="18"/>
                <w:szCs w:val="18"/>
              </w:rPr>
            </w:pPr>
            <w:r>
              <w:rPr>
                <w:spacing w:val="-2"/>
                <w:sz w:val="18"/>
                <w:szCs w:val="18"/>
              </w:rPr>
              <w:t>0.02</w:t>
            </w:r>
          </w:p>
        </w:tc>
        <w:tc>
          <w:tcPr>
            <w:tcW w:w="559" w:type="dxa"/>
            <w:vAlign w:val="top"/>
          </w:tcPr>
          <w:p w14:paraId="54440128">
            <w:pPr>
              <w:spacing w:line="456" w:lineRule="auto"/>
              <w:rPr>
                <w:rFonts w:ascii="Arial"/>
                <w:sz w:val="21"/>
              </w:rPr>
            </w:pPr>
          </w:p>
          <w:p w14:paraId="7B72C574">
            <w:pPr>
              <w:pStyle w:val="6"/>
              <w:spacing w:before="59" w:line="239" w:lineRule="auto"/>
              <w:ind w:left="94"/>
              <w:rPr>
                <w:sz w:val="18"/>
                <w:szCs w:val="18"/>
              </w:rPr>
            </w:pPr>
            <w:r>
              <w:rPr>
                <w:spacing w:val="-4"/>
                <w:sz w:val="18"/>
                <w:szCs w:val="18"/>
              </w:rPr>
              <w:t>1.68</w:t>
            </w:r>
          </w:p>
        </w:tc>
        <w:tc>
          <w:tcPr>
            <w:tcW w:w="559" w:type="dxa"/>
            <w:vAlign w:val="top"/>
          </w:tcPr>
          <w:p w14:paraId="0735EA9E">
            <w:pPr>
              <w:spacing w:line="456" w:lineRule="auto"/>
              <w:rPr>
                <w:rFonts w:ascii="Arial"/>
                <w:sz w:val="21"/>
              </w:rPr>
            </w:pPr>
          </w:p>
          <w:p w14:paraId="579FDC21">
            <w:pPr>
              <w:pStyle w:val="6"/>
              <w:spacing w:before="59" w:line="239" w:lineRule="auto"/>
              <w:ind w:left="95"/>
              <w:rPr>
                <w:sz w:val="18"/>
                <w:szCs w:val="18"/>
              </w:rPr>
            </w:pPr>
            <w:r>
              <w:rPr>
                <w:spacing w:val="-2"/>
                <w:sz w:val="18"/>
                <w:szCs w:val="18"/>
              </w:rPr>
              <w:t>0.18</w:t>
            </w:r>
          </w:p>
        </w:tc>
        <w:tc>
          <w:tcPr>
            <w:tcW w:w="539" w:type="dxa"/>
            <w:vAlign w:val="top"/>
          </w:tcPr>
          <w:p w14:paraId="28EE4AE6">
            <w:pPr>
              <w:spacing w:line="456" w:lineRule="auto"/>
              <w:rPr>
                <w:rFonts w:ascii="Arial"/>
                <w:sz w:val="21"/>
              </w:rPr>
            </w:pPr>
          </w:p>
          <w:p w14:paraId="0720E004">
            <w:pPr>
              <w:pStyle w:val="6"/>
              <w:spacing w:before="59" w:line="239" w:lineRule="auto"/>
              <w:ind w:left="87"/>
              <w:rPr>
                <w:sz w:val="18"/>
                <w:szCs w:val="18"/>
              </w:rPr>
            </w:pPr>
            <w:r>
              <w:rPr>
                <w:spacing w:val="-2"/>
                <w:sz w:val="18"/>
                <w:szCs w:val="18"/>
              </w:rPr>
              <w:t>0.20</w:t>
            </w:r>
          </w:p>
        </w:tc>
        <w:tc>
          <w:tcPr>
            <w:tcW w:w="579" w:type="dxa"/>
            <w:vAlign w:val="top"/>
          </w:tcPr>
          <w:p w14:paraId="01860866">
            <w:pPr>
              <w:spacing w:line="456" w:lineRule="auto"/>
              <w:rPr>
                <w:rFonts w:ascii="Arial"/>
                <w:sz w:val="21"/>
              </w:rPr>
            </w:pPr>
          </w:p>
          <w:p w14:paraId="4419C7F6">
            <w:pPr>
              <w:pStyle w:val="6"/>
              <w:spacing w:before="59" w:line="239" w:lineRule="auto"/>
              <w:ind w:left="108"/>
              <w:rPr>
                <w:sz w:val="18"/>
                <w:szCs w:val="18"/>
              </w:rPr>
            </w:pPr>
            <w:r>
              <w:rPr>
                <w:spacing w:val="-2"/>
                <w:sz w:val="18"/>
                <w:szCs w:val="18"/>
              </w:rPr>
              <w:t>0.18</w:t>
            </w:r>
          </w:p>
        </w:tc>
        <w:tc>
          <w:tcPr>
            <w:tcW w:w="559" w:type="dxa"/>
            <w:vAlign w:val="top"/>
          </w:tcPr>
          <w:p w14:paraId="0547EE9E">
            <w:pPr>
              <w:spacing w:line="456" w:lineRule="auto"/>
              <w:rPr>
                <w:rFonts w:ascii="Arial"/>
                <w:sz w:val="21"/>
              </w:rPr>
            </w:pPr>
          </w:p>
          <w:p w14:paraId="6E3A7800">
            <w:pPr>
              <w:pStyle w:val="6"/>
              <w:spacing w:before="59" w:line="239" w:lineRule="auto"/>
              <w:ind w:left="98"/>
              <w:rPr>
                <w:sz w:val="18"/>
                <w:szCs w:val="18"/>
              </w:rPr>
            </w:pPr>
            <w:r>
              <w:rPr>
                <w:spacing w:val="-2"/>
                <w:sz w:val="18"/>
                <w:szCs w:val="18"/>
              </w:rPr>
              <w:t>0.02</w:t>
            </w:r>
          </w:p>
        </w:tc>
        <w:tc>
          <w:tcPr>
            <w:tcW w:w="540" w:type="dxa"/>
            <w:vAlign w:val="top"/>
          </w:tcPr>
          <w:p w14:paraId="1EF3878C">
            <w:pPr>
              <w:spacing w:line="456" w:lineRule="auto"/>
              <w:rPr>
                <w:rFonts w:ascii="Arial"/>
                <w:sz w:val="21"/>
              </w:rPr>
            </w:pPr>
          </w:p>
          <w:p w14:paraId="30C3DAF0">
            <w:pPr>
              <w:pStyle w:val="6"/>
              <w:spacing w:before="59" w:line="239" w:lineRule="auto"/>
              <w:ind w:left="89"/>
              <w:rPr>
                <w:sz w:val="18"/>
                <w:szCs w:val="18"/>
              </w:rPr>
            </w:pPr>
            <w:r>
              <w:rPr>
                <w:spacing w:val="-4"/>
                <w:sz w:val="18"/>
                <w:szCs w:val="18"/>
              </w:rPr>
              <w:t>1.68</w:t>
            </w:r>
          </w:p>
        </w:tc>
        <w:tc>
          <w:tcPr>
            <w:tcW w:w="450" w:type="dxa"/>
            <w:textDirection w:val="tbRlV"/>
            <w:vAlign w:val="top"/>
          </w:tcPr>
          <w:p w14:paraId="7F4244B2">
            <w:pPr>
              <w:pStyle w:val="6"/>
              <w:spacing w:before="136" w:line="202" w:lineRule="auto"/>
              <w:ind w:left="4"/>
              <w:rPr>
                <w:sz w:val="18"/>
                <w:szCs w:val="18"/>
              </w:rPr>
            </w:pPr>
            <w:r>
              <w:rPr>
                <w:sz w:val="18"/>
                <w:szCs w:val="18"/>
              </w:rPr>
              <w:t>交</w:t>
            </w:r>
            <w:r>
              <w:rPr>
                <w:spacing w:val="-26"/>
                <w:sz w:val="18"/>
                <w:szCs w:val="18"/>
              </w:rPr>
              <w:t xml:space="preserve"> </w:t>
            </w:r>
            <w:r>
              <w:rPr>
                <w:sz w:val="18"/>
                <w:szCs w:val="18"/>
              </w:rPr>
              <w:t>通</w:t>
            </w:r>
            <w:r>
              <w:rPr>
                <w:spacing w:val="-26"/>
                <w:sz w:val="18"/>
                <w:szCs w:val="18"/>
              </w:rPr>
              <w:t xml:space="preserve"> </w:t>
            </w:r>
            <w:r>
              <w:rPr>
                <w:sz w:val="18"/>
                <w:szCs w:val="18"/>
              </w:rPr>
              <w:t>道</w:t>
            </w:r>
            <w:r>
              <w:rPr>
                <w:spacing w:val="-26"/>
                <w:sz w:val="18"/>
                <w:szCs w:val="18"/>
              </w:rPr>
              <w:t xml:space="preserve"> </w:t>
            </w:r>
            <w:r>
              <w:rPr>
                <w:sz w:val="18"/>
                <w:szCs w:val="18"/>
              </w:rPr>
              <w:t>路</w:t>
            </w:r>
            <w:r>
              <w:rPr>
                <w:spacing w:val="-26"/>
                <w:sz w:val="18"/>
                <w:szCs w:val="18"/>
              </w:rPr>
              <w:t xml:space="preserve"> </w:t>
            </w:r>
            <w:r>
              <w:rPr>
                <w:sz w:val="18"/>
                <w:szCs w:val="18"/>
              </w:rPr>
              <w:t>区</w:t>
            </w:r>
          </w:p>
        </w:tc>
        <w:tc>
          <w:tcPr>
            <w:tcW w:w="540" w:type="dxa"/>
            <w:vAlign w:val="top"/>
          </w:tcPr>
          <w:p w14:paraId="19406C2F">
            <w:pPr>
              <w:rPr>
                <w:rFonts w:ascii="Arial"/>
                <w:sz w:val="21"/>
              </w:rPr>
            </w:pPr>
          </w:p>
        </w:tc>
        <w:tc>
          <w:tcPr>
            <w:tcW w:w="435" w:type="dxa"/>
            <w:vAlign w:val="top"/>
          </w:tcPr>
          <w:p w14:paraId="7D1D914F">
            <w:pPr>
              <w:rPr>
                <w:rFonts w:ascii="Arial"/>
                <w:sz w:val="21"/>
              </w:rPr>
            </w:pPr>
          </w:p>
        </w:tc>
      </w:tr>
      <w:tr w14:paraId="0F2B1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65" w:type="dxa"/>
            <w:vMerge w:val="continue"/>
            <w:tcBorders>
              <w:top w:val="nil"/>
              <w:bottom w:val="nil"/>
            </w:tcBorders>
            <w:vAlign w:val="top"/>
          </w:tcPr>
          <w:p w14:paraId="75B07D0C">
            <w:pPr>
              <w:rPr>
                <w:rFonts w:ascii="Arial"/>
                <w:sz w:val="21"/>
              </w:rPr>
            </w:pPr>
          </w:p>
        </w:tc>
        <w:tc>
          <w:tcPr>
            <w:tcW w:w="639" w:type="dxa"/>
            <w:vMerge w:val="restart"/>
            <w:tcBorders>
              <w:bottom w:val="nil"/>
            </w:tcBorders>
            <w:vAlign w:val="top"/>
          </w:tcPr>
          <w:p w14:paraId="6C505D17">
            <w:pPr>
              <w:spacing w:line="472" w:lineRule="auto"/>
              <w:rPr>
                <w:rFonts w:ascii="Arial"/>
                <w:sz w:val="21"/>
              </w:rPr>
            </w:pPr>
          </w:p>
          <w:p w14:paraId="26F3FA0A">
            <w:pPr>
              <w:pStyle w:val="6"/>
              <w:spacing w:before="81" w:line="178" w:lineRule="auto"/>
              <w:ind w:left="179"/>
              <w:rPr>
                <w:sz w:val="25"/>
                <w:szCs w:val="25"/>
              </w:rPr>
            </w:pPr>
            <w:r>
              <w:rPr>
                <w:sz w:val="25"/>
                <w:szCs w:val="25"/>
              </w:rPr>
              <w:t>二</w:t>
            </w:r>
          </w:p>
        </w:tc>
        <w:tc>
          <w:tcPr>
            <w:tcW w:w="679" w:type="dxa"/>
            <w:vMerge w:val="restart"/>
            <w:tcBorders>
              <w:bottom w:val="nil"/>
            </w:tcBorders>
            <w:vAlign w:val="top"/>
          </w:tcPr>
          <w:p w14:paraId="2C263BA8">
            <w:pPr>
              <w:pStyle w:val="6"/>
              <w:spacing w:before="262" w:line="254" w:lineRule="auto"/>
              <w:ind w:left="150" w:right="142"/>
              <w:jc w:val="both"/>
              <w:rPr>
                <w:sz w:val="18"/>
                <w:szCs w:val="18"/>
              </w:rPr>
            </w:pPr>
            <w:r>
              <w:rPr>
                <w:spacing w:val="-5"/>
                <w:sz w:val="18"/>
                <w:szCs w:val="18"/>
              </w:rPr>
              <w:t>光伏</w:t>
            </w:r>
            <w:r>
              <w:rPr>
                <w:sz w:val="18"/>
                <w:szCs w:val="18"/>
              </w:rPr>
              <w:t xml:space="preserve"> </w:t>
            </w:r>
            <w:r>
              <w:rPr>
                <w:spacing w:val="-4"/>
                <w:sz w:val="18"/>
                <w:szCs w:val="18"/>
              </w:rPr>
              <w:t>板阵</w:t>
            </w:r>
            <w:r>
              <w:rPr>
                <w:sz w:val="18"/>
                <w:szCs w:val="18"/>
              </w:rPr>
              <w:t xml:space="preserve"> </w:t>
            </w:r>
            <w:r>
              <w:rPr>
                <w:spacing w:val="7"/>
                <w:sz w:val="18"/>
                <w:szCs w:val="18"/>
              </w:rPr>
              <w:t>列区</w:t>
            </w:r>
          </w:p>
        </w:tc>
        <w:tc>
          <w:tcPr>
            <w:tcW w:w="1239" w:type="dxa"/>
            <w:vAlign w:val="top"/>
          </w:tcPr>
          <w:p w14:paraId="57E3F9D7">
            <w:pPr>
              <w:pStyle w:val="6"/>
              <w:spacing w:before="22" w:line="224" w:lineRule="auto"/>
              <w:ind w:left="501" w:right="175" w:hanging="340"/>
              <w:rPr>
                <w:sz w:val="18"/>
                <w:szCs w:val="18"/>
              </w:rPr>
            </w:pPr>
            <w:r>
              <w:rPr>
                <w:spacing w:val="-2"/>
                <w:sz w:val="18"/>
                <w:szCs w:val="18"/>
              </w:rPr>
              <w:t>光伏支架基</w:t>
            </w:r>
            <w:r>
              <w:rPr>
                <w:sz w:val="18"/>
                <w:szCs w:val="18"/>
              </w:rPr>
              <w:t xml:space="preserve"> 础</w:t>
            </w:r>
          </w:p>
        </w:tc>
        <w:tc>
          <w:tcPr>
            <w:tcW w:w="629" w:type="dxa"/>
            <w:vAlign w:val="top"/>
          </w:tcPr>
          <w:p w14:paraId="1AAF62BF">
            <w:pPr>
              <w:pStyle w:val="6"/>
              <w:spacing w:before="170" w:line="239" w:lineRule="auto"/>
              <w:ind w:left="122"/>
              <w:rPr>
                <w:sz w:val="18"/>
                <w:szCs w:val="18"/>
              </w:rPr>
            </w:pPr>
            <w:r>
              <w:rPr>
                <w:spacing w:val="-2"/>
                <w:sz w:val="18"/>
                <w:szCs w:val="18"/>
              </w:rPr>
              <w:t>0.75</w:t>
            </w:r>
          </w:p>
        </w:tc>
        <w:tc>
          <w:tcPr>
            <w:tcW w:w="559" w:type="dxa"/>
            <w:vAlign w:val="top"/>
          </w:tcPr>
          <w:p w14:paraId="3E8E7F6D">
            <w:pPr>
              <w:rPr>
                <w:rFonts w:ascii="Arial"/>
                <w:sz w:val="21"/>
              </w:rPr>
            </w:pPr>
          </w:p>
        </w:tc>
        <w:tc>
          <w:tcPr>
            <w:tcW w:w="559" w:type="dxa"/>
            <w:vAlign w:val="top"/>
          </w:tcPr>
          <w:p w14:paraId="5A8497C2">
            <w:pPr>
              <w:rPr>
                <w:rFonts w:ascii="Arial"/>
                <w:sz w:val="21"/>
              </w:rPr>
            </w:pPr>
          </w:p>
        </w:tc>
        <w:tc>
          <w:tcPr>
            <w:tcW w:w="559" w:type="dxa"/>
            <w:vAlign w:val="top"/>
          </w:tcPr>
          <w:p w14:paraId="1DEB047B">
            <w:pPr>
              <w:pStyle w:val="6"/>
              <w:spacing w:before="170" w:line="239" w:lineRule="auto"/>
              <w:ind w:left="95"/>
              <w:rPr>
                <w:sz w:val="18"/>
                <w:szCs w:val="18"/>
              </w:rPr>
            </w:pPr>
            <w:r>
              <w:rPr>
                <w:spacing w:val="-2"/>
                <w:sz w:val="18"/>
                <w:szCs w:val="18"/>
              </w:rPr>
              <w:t>0.75</w:t>
            </w:r>
          </w:p>
        </w:tc>
        <w:tc>
          <w:tcPr>
            <w:tcW w:w="539" w:type="dxa"/>
            <w:vAlign w:val="top"/>
          </w:tcPr>
          <w:p w14:paraId="114C2E2A">
            <w:pPr>
              <w:pStyle w:val="6"/>
              <w:spacing w:before="170" w:line="239" w:lineRule="auto"/>
              <w:ind w:left="87"/>
              <w:rPr>
                <w:sz w:val="18"/>
                <w:szCs w:val="18"/>
              </w:rPr>
            </w:pPr>
            <w:r>
              <w:rPr>
                <w:spacing w:val="-2"/>
                <w:sz w:val="18"/>
                <w:szCs w:val="18"/>
              </w:rPr>
              <w:t>0.75</w:t>
            </w:r>
          </w:p>
        </w:tc>
        <w:tc>
          <w:tcPr>
            <w:tcW w:w="579" w:type="dxa"/>
            <w:vAlign w:val="top"/>
          </w:tcPr>
          <w:p w14:paraId="6359BA30">
            <w:pPr>
              <w:pStyle w:val="6"/>
              <w:spacing w:before="170" w:line="239" w:lineRule="auto"/>
              <w:ind w:left="108"/>
              <w:rPr>
                <w:sz w:val="18"/>
                <w:szCs w:val="18"/>
              </w:rPr>
            </w:pPr>
            <w:r>
              <w:rPr>
                <w:spacing w:val="-2"/>
                <w:sz w:val="18"/>
                <w:szCs w:val="18"/>
              </w:rPr>
              <w:t>0.75</w:t>
            </w:r>
          </w:p>
        </w:tc>
        <w:tc>
          <w:tcPr>
            <w:tcW w:w="559" w:type="dxa"/>
            <w:vAlign w:val="top"/>
          </w:tcPr>
          <w:p w14:paraId="727F8D37">
            <w:pPr>
              <w:rPr>
                <w:rFonts w:ascii="Arial"/>
                <w:sz w:val="21"/>
              </w:rPr>
            </w:pPr>
          </w:p>
        </w:tc>
        <w:tc>
          <w:tcPr>
            <w:tcW w:w="540" w:type="dxa"/>
            <w:vAlign w:val="top"/>
          </w:tcPr>
          <w:p w14:paraId="32A9FDEA">
            <w:pPr>
              <w:rPr>
                <w:rFonts w:ascii="Arial"/>
                <w:sz w:val="21"/>
              </w:rPr>
            </w:pPr>
          </w:p>
        </w:tc>
        <w:tc>
          <w:tcPr>
            <w:tcW w:w="450" w:type="dxa"/>
            <w:vAlign w:val="top"/>
          </w:tcPr>
          <w:p w14:paraId="25792100">
            <w:pPr>
              <w:rPr>
                <w:rFonts w:ascii="Arial"/>
                <w:sz w:val="21"/>
              </w:rPr>
            </w:pPr>
          </w:p>
        </w:tc>
        <w:tc>
          <w:tcPr>
            <w:tcW w:w="540" w:type="dxa"/>
            <w:vAlign w:val="top"/>
          </w:tcPr>
          <w:p w14:paraId="75F69E51">
            <w:pPr>
              <w:rPr>
                <w:rFonts w:ascii="Arial"/>
                <w:sz w:val="21"/>
              </w:rPr>
            </w:pPr>
          </w:p>
        </w:tc>
        <w:tc>
          <w:tcPr>
            <w:tcW w:w="435" w:type="dxa"/>
            <w:vAlign w:val="top"/>
          </w:tcPr>
          <w:p w14:paraId="1351AA17">
            <w:pPr>
              <w:rPr>
                <w:rFonts w:ascii="Arial"/>
                <w:sz w:val="21"/>
              </w:rPr>
            </w:pPr>
          </w:p>
        </w:tc>
      </w:tr>
      <w:tr w14:paraId="6F499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65" w:type="dxa"/>
            <w:vMerge w:val="continue"/>
            <w:tcBorders>
              <w:top w:val="nil"/>
              <w:bottom w:val="nil"/>
            </w:tcBorders>
            <w:vAlign w:val="top"/>
          </w:tcPr>
          <w:p w14:paraId="5FA089B2">
            <w:pPr>
              <w:rPr>
                <w:rFonts w:ascii="Arial"/>
                <w:sz w:val="21"/>
              </w:rPr>
            </w:pPr>
          </w:p>
        </w:tc>
        <w:tc>
          <w:tcPr>
            <w:tcW w:w="639" w:type="dxa"/>
            <w:vMerge w:val="continue"/>
            <w:tcBorders>
              <w:top w:val="nil"/>
              <w:bottom w:val="nil"/>
            </w:tcBorders>
            <w:vAlign w:val="top"/>
          </w:tcPr>
          <w:p w14:paraId="68D818C9">
            <w:pPr>
              <w:rPr>
                <w:rFonts w:ascii="Arial"/>
                <w:sz w:val="21"/>
              </w:rPr>
            </w:pPr>
          </w:p>
        </w:tc>
        <w:tc>
          <w:tcPr>
            <w:tcW w:w="679" w:type="dxa"/>
            <w:vMerge w:val="continue"/>
            <w:tcBorders>
              <w:top w:val="nil"/>
              <w:bottom w:val="nil"/>
            </w:tcBorders>
            <w:vAlign w:val="top"/>
          </w:tcPr>
          <w:p w14:paraId="50E67940">
            <w:pPr>
              <w:rPr>
                <w:rFonts w:ascii="Arial"/>
                <w:sz w:val="21"/>
              </w:rPr>
            </w:pPr>
          </w:p>
        </w:tc>
        <w:tc>
          <w:tcPr>
            <w:tcW w:w="1239" w:type="dxa"/>
            <w:vAlign w:val="top"/>
          </w:tcPr>
          <w:p w14:paraId="5C98C2B1">
            <w:pPr>
              <w:pStyle w:val="6"/>
              <w:spacing w:before="23" w:line="219" w:lineRule="auto"/>
              <w:ind w:left="71"/>
              <w:rPr>
                <w:sz w:val="18"/>
                <w:szCs w:val="18"/>
              </w:rPr>
            </w:pPr>
            <w:r>
              <w:rPr>
                <w:spacing w:val="-2"/>
                <w:sz w:val="18"/>
                <w:szCs w:val="18"/>
              </w:rPr>
              <w:t>箱变、电缆基</w:t>
            </w:r>
          </w:p>
          <w:p w14:paraId="17E5FA74">
            <w:pPr>
              <w:pStyle w:val="6"/>
              <w:spacing w:before="41" w:line="185" w:lineRule="auto"/>
              <w:ind w:left="521"/>
              <w:rPr>
                <w:sz w:val="18"/>
                <w:szCs w:val="18"/>
              </w:rPr>
            </w:pPr>
            <w:r>
              <w:rPr>
                <w:sz w:val="18"/>
                <w:szCs w:val="18"/>
              </w:rPr>
              <w:t>础</w:t>
            </w:r>
          </w:p>
        </w:tc>
        <w:tc>
          <w:tcPr>
            <w:tcW w:w="629" w:type="dxa"/>
            <w:vAlign w:val="top"/>
          </w:tcPr>
          <w:p w14:paraId="2B211CDB">
            <w:pPr>
              <w:pStyle w:val="6"/>
              <w:spacing w:before="171" w:line="239" w:lineRule="auto"/>
              <w:ind w:left="122"/>
              <w:rPr>
                <w:sz w:val="18"/>
                <w:szCs w:val="18"/>
              </w:rPr>
            </w:pPr>
            <w:r>
              <w:rPr>
                <w:spacing w:val="-2"/>
                <w:sz w:val="18"/>
                <w:szCs w:val="18"/>
              </w:rPr>
              <w:t>0.15</w:t>
            </w:r>
          </w:p>
        </w:tc>
        <w:tc>
          <w:tcPr>
            <w:tcW w:w="559" w:type="dxa"/>
            <w:vAlign w:val="top"/>
          </w:tcPr>
          <w:p w14:paraId="098D38CD">
            <w:pPr>
              <w:rPr>
                <w:rFonts w:ascii="Arial"/>
                <w:sz w:val="21"/>
              </w:rPr>
            </w:pPr>
          </w:p>
        </w:tc>
        <w:tc>
          <w:tcPr>
            <w:tcW w:w="559" w:type="dxa"/>
            <w:vAlign w:val="top"/>
          </w:tcPr>
          <w:p w14:paraId="1E4125C8">
            <w:pPr>
              <w:rPr>
                <w:rFonts w:ascii="Arial"/>
                <w:sz w:val="21"/>
              </w:rPr>
            </w:pPr>
          </w:p>
        </w:tc>
        <w:tc>
          <w:tcPr>
            <w:tcW w:w="559" w:type="dxa"/>
            <w:vAlign w:val="top"/>
          </w:tcPr>
          <w:p w14:paraId="00991F38">
            <w:pPr>
              <w:pStyle w:val="6"/>
              <w:spacing w:before="171" w:line="239" w:lineRule="auto"/>
              <w:ind w:left="95"/>
              <w:rPr>
                <w:sz w:val="18"/>
                <w:szCs w:val="18"/>
              </w:rPr>
            </w:pPr>
            <w:r>
              <w:rPr>
                <w:spacing w:val="-2"/>
                <w:sz w:val="18"/>
                <w:szCs w:val="18"/>
              </w:rPr>
              <w:t>0.15</w:t>
            </w:r>
          </w:p>
        </w:tc>
        <w:tc>
          <w:tcPr>
            <w:tcW w:w="539" w:type="dxa"/>
            <w:vAlign w:val="top"/>
          </w:tcPr>
          <w:p w14:paraId="330680AF">
            <w:pPr>
              <w:pStyle w:val="6"/>
              <w:spacing w:before="171" w:line="239" w:lineRule="auto"/>
              <w:ind w:left="87"/>
              <w:rPr>
                <w:sz w:val="18"/>
                <w:szCs w:val="18"/>
              </w:rPr>
            </w:pPr>
            <w:r>
              <w:rPr>
                <w:spacing w:val="-2"/>
                <w:sz w:val="18"/>
                <w:szCs w:val="18"/>
              </w:rPr>
              <w:t>0.15</w:t>
            </w:r>
          </w:p>
        </w:tc>
        <w:tc>
          <w:tcPr>
            <w:tcW w:w="579" w:type="dxa"/>
            <w:vAlign w:val="top"/>
          </w:tcPr>
          <w:p w14:paraId="431E59A7">
            <w:pPr>
              <w:pStyle w:val="6"/>
              <w:spacing w:before="171" w:line="239" w:lineRule="auto"/>
              <w:ind w:left="108"/>
              <w:rPr>
                <w:sz w:val="18"/>
                <w:szCs w:val="18"/>
              </w:rPr>
            </w:pPr>
            <w:r>
              <w:rPr>
                <w:spacing w:val="-2"/>
                <w:sz w:val="18"/>
                <w:szCs w:val="18"/>
              </w:rPr>
              <w:t>0.15</w:t>
            </w:r>
          </w:p>
        </w:tc>
        <w:tc>
          <w:tcPr>
            <w:tcW w:w="559" w:type="dxa"/>
            <w:vAlign w:val="top"/>
          </w:tcPr>
          <w:p w14:paraId="4F0E7B14">
            <w:pPr>
              <w:rPr>
                <w:rFonts w:ascii="Arial"/>
                <w:sz w:val="21"/>
              </w:rPr>
            </w:pPr>
          </w:p>
        </w:tc>
        <w:tc>
          <w:tcPr>
            <w:tcW w:w="540" w:type="dxa"/>
            <w:vAlign w:val="top"/>
          </w:tcPr>
          <w:p w14:paraId="1B3DA791">
            <w:pPr>
              <w:rPr>
                <w:rFonts w:ascii="Arial"/>
                <w:sz w:val="21"/>
              </w:rPr>
            </w:pPr>
          </w:p>
        </w:tc>
        <w:tc>
          <w:tcPr>
            <w:tcW w:w="450" w:type="dxa"/>
            <w:vAlign w:val="top"/>
          </w:tcPr>
          <w:p w14:paraId="00017626">
            <w:pPr>
              <w:rPr>
                <w:rFonts w:ascii="Arial"/>
                <w:sz w:val="21"/>
              </w:rPr>
            </w:pPr>
          </w:p>
        </w:tc>
        <w:tc>
          <w:tcPr>
            <w:tcW w:w="540" w:type="dxa"/>
            <w:vAlign w:val="top"/>
          </w:tcPr>
          <w:p w14:paraId="75B9B2A9">
            <w:pPr>
              <w:rPr>
                <w:rFonts w:ascii="Arial"/>
                <w:sz w:val="21"/>
              </w:rPr>
            </w:pPr>
          </w:p>
        </w:tc>
        <w:tc>
          <w:tcPr>
            <w:tcW w:w="435" w:type="dxa"/>
            <w:vAlign w:val="top"/>
          </w:tcPr>
          <w:p w14:paraId="6B859DE3">
            <w:pPr>
              <w:rPr>
                <w:rFonts w:ascii="Arial"/>
                <w:sz w:val="21"/>
              </w:rPr>
            </w:pPr>
          </w:p>
        </w:tc>
      </w:tr>
      <w:tr w14:paraId="12B18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465" w:type="dxa"/>
            <w:vMerge w:val="continue"/>
            <w:tcBorders>
              <w:top w:val="nil"/>
              <w:bottom w:val="nil"/>
            </w:tcBorders>
            <w:vAlign w:val="top"/>
          </w:tcPr>
          <w:p w14:paraId="09440BC8">
            <w:pPr>
              <w:rPr>
                <w:rFonts w:ascii="Arial"/>
                <w:sz w:val="21"/>
              </w:rPr>
            </w:pPr>
          </w:p>
        </w:tc>
        <w:tc>
          <w:tcPr>
            <w:tcW w:w="639" w:type="dxa"/>
            <w:vMerge w:val="continue"/>
            <w:tcBorders>
              <w:top w:val="nil"/>
            </w:tcBorders>
            <w:vAlign w:val="top"/>
          </w:tcPr>
          <w:p w14:paraId="45FAF0B8">
            <w:pPr>
              <w:rPr>
                <w:rFonts w:ascii="Arial"/>
                <w:sz w:val="21"/>
              </w:rPr>
            </w:pPr>
          </w:p>
        </w:tc>
        <w:tc>
          <w:tcPr>
            <w:tcW w:w="679" w:type="dxa"/>
            <w:vMerge w:val="continue"/>
            <w:tcBorders>
              <w:top w:val="nil"/>
            </w:tcBorders>
            <w:vAlign w:val="top"/>
          </w:tcPr>
          <w:p w14:paraId="38A58599">
            <w:pPr>
              <w:rPr>
                <w:rFonts w:ascii="Arial"/>
                <w:sz w:val="21"/>
              </w:rPr>
            </w:pPr>
          </w:p>
        </w:tc>
        <w:tc>
          <w:tcPr>
            <w:tcW w:w="1239" w:type="dxa"/>
            <w:vAlign w:val="top"/>
          </w:tcPr>
          <w:p w14:paraId="1D990BA6">
            <w:pPr>
              <w:pStyle w:val="6"/>
              <w:spacing w:before="35" w:line="199" w:lineRule="auto"/>
              <w:ind w:left="431"/>
              <w:rPr>
                <w:sz w:val="18"/>
                <w:szCs w:val="18"/>
              </w:rPr>
            </w:pPr>
            <w:r>
              <w:rPr>
                <w:spacing w:val="-3"/>
                <w:sz w:val="18"/>
                <w:szCs w:val="18"/>
              </w:rPr>
              <w:t>小计</w:t>
            </w:r>
          </w:p>
        </w:tc>
        <w:tc>
          <w:tcPr>
            <w:tcW w:w="629" w:type="dxa"/>
            <w:vAlign w:val="top"/>
          </w:tcPr>
          <w:p w14:paraId="013C76A5">
            <w:pPr>
              <w:pStyle w:val="6"/>
              <w:spacing w:before="52" w:line="182" w:lineRule="auto"/>
              <w:ind w:left="122"/>
              <w:rPr>
                <w:sz w:val="18"/>
                <w:szCs w:val="18"/>
              </w:rPr>
            </w:pPr>
            <w:r>
              <w:rPr>
                <w:spacing w:val="-2"/>
                <w:sz w:val="18"/>
                <w:szCs w:val="18"/>
              </w:rPr>
              <w:t>0.90</w:t>
            </w:r>
          </w:p>
        </w:tc>
        <w:tc>
          <w:tcPr>
            <w:tcW w:w="559" w:type="dxa"/>
            <w:vAlign w:val="top"/>
          </w:tcPr>
          <w:p w14:paraId="26A6DBEC">
            <w:pPr>
              <w:spacing w:line="230" w:lineRule="exact"/>
              <w:rPr>
                <w:rFonts w:ascii="Arial"/>
                <w:sz w:val="20"/>
              </w:rPr>
            </w:pPr>
          </w:p>
        </w:tc>
        <w:tc>
          <w:tcPr>
            <w:tcW w:w="559" w:type="dxa"/>
            <w:vAlign w:val="top"/>
          </w:tcPr>
          <w:p w14:paraId="221E303E">
            <w:pPr>
              <w:spacing w:line="230" w:lineRule="exact"/>
              <w:rPr>
                <w:rFonts w:ascii="Arial"/>
                <w:sz w:val="20"/>
              </w:rPr>
            </w:pPr>
          </w:p>
        </w:tc>
        <w:tc>
          <w:tcPr>
            <w:tcW w:w="559" w:type="dxa"/>
            <w:vAlign w:val="top"/>
          </w:tcPr>
          <w:p w14:paraId="4BE25E9D">
            <w:pPr>
              <w:pStyle w:val="6"/>
              <w:spacing w:before="52" w:line="182" w:lineRule="auto"/>
              <w:ind w:left="95"/>
              <w:rPr>
                <w:sz w:val="18"/>
                <w:szCs w:val="18"/>
              </w:rPr>
            </w:pPr>
            <w:r>
              <w:rPr>
                <w:spacing w:val="-2"/>
                <w:sz w:val="18"/>
                <w:szCs w:val="18"/>
              </w:rPr>
              <w:t>0.90</w:t>
            </w:r>
          </w:p>
        </w:tc>
        <w:tc>
          <w:tcPr>
            <w:tcW w:w="539" w:type="dxa"/>
            <w:vAlign w:val="top"/>
          </w:tcPr>
          <w:p w14:paraId="68CBA691">
            <w:pPr>
              <w:pStyle w:val="6"/>
              <w:spacing w:before="52" w:line="182" w:lineRule="auto"/>
              <w:ind w:left="87"/>
              <w:rPr>
                <w:sz w:val="18"/>
                <w:szCs w:val="18"/>
              </w:rPr>
            </w:pPr>
            <w:r>
              <w:rPr>
                <w:spacing w:val="-2"/>
                <w:sz w:val="18"/>
                <w:szCs w:val="18"/>
              </w:rPr>
              <w:t>0.90</w:t>
            </w:r>
          </w:p>
        </w:tc>
        <w:tc>
          <w:tcPr>
            <w:tcW w:w="579" w:type="dxa"/>
            <w:vAlign w:val="top"/>
          </w:tcPr>
          <w:p w14:paraId="7E2C12EC">
            <w:pPr>
              <w:pStyle w:val="6"/>
              <w:spacing w:before="52" w:line="182" w:lineRule="auto"/>
              <w:ind w:left="108"/>
              <w:rPr>
                <w:sz w:val="18"/>
                <w:szCs w:val="18"/>
              </w:rPr>
            </w:pPr>
            <w:r>
              <w:rPr>
                <w:spacing w:val="-2"/>
                <w:sz w:val="18"/>
                <w:szCs w:val="18"/>
              </w:rPr>
              <w:t>0.90</w:t>
            </w:r>
          </w:p>
        </w:tc>
        <w:tc>
          <w:tcPr>
            <w:tcW w:w="559" w:type="dxa"/>
            <w:vAlign w:val="top"/>
          </w:tcPr>
          <w:p w14:paraId="4E18B8DC">
            <w:pPr>
              <w:spacing w:line="230" w:lineRule="exact"/>
              <w:rPr>
                <w:rFonts w:ascii="Arial"/>
                <w:sz w:val="20"/>
              </w:rPr>
            </w:pPr>
          </w:p>
        </w:tc>
        <w:tc>
          <w:tcPr>
            <w:tcW w:w="540" w:type="dxa"/>
            <w:vAlign w:val="top"/>
          </w:tcPr>
          <w:p w14:paraId="47A69940">
            <w:pPr>
              <w:spacing w:line="230" w:lineRule="exact"/>
              <w:rPr>
                <w:rFonts w:ascii="Arial"/>
                <w:sz w:val="20"/>
              </w:rPr>
            </w:pPr>
          </w:p>
        </w:tc>
        <w:tc>
          <w:tcPr>
            <w:tcW w:w="450" w:type="dxa"/>
            <w:vAlign w:val="top"/>
          </w:tcPr>
          <w:p w14:paraId="6783BA70">
            <w:pPr>
              <w:spacing w:line="230" w:lineRule="exact"/>
              <w:rPr>
                <w:rFonts w:ascii="Arial"/>
                <w:sz w:val="20"/>
              </w:rPr>
            </w:pPr>
          </w:p>
        </w:tc>
        <w:tc>
          <w:tcPr>
            <w:tcW w:w="540" w:type="dxa"/>
            <w:vAlign w:val="top"/>
          </w:tcPr>
          <w:p w14:paraId="6EBEF5FB">
            <w:pPr>
              <w:spacing w:line="230" w:lineRule="exact"/>
              <w:rPr>
                <w:rFonts w:ascii="Arial"/>
                <w:sz w:val="20"/>
              </w:rPr>
            </w:pPr>
          </w:p>
        </w:tc>
        <w:tc>
          <w:tcPr>
            <w:tcW w:w="435" w:type="dxa"/>
            <w:vAlign w:val="top"/>
          </w:tcPr>
          <w:p w14:paraId="126D0644">
            <w:pPr>
              <w:spacing w:line="230" w:lineRule="exact"/>
              <w:rPr>
                <w:rFonts w:ascii="Arial"/>
                <w:sz w:val="20"/>
              </w:rPr>
            </w:pPr>
          </w:p>
        </w:tc>
      </w:tr>
      <w:tr w14:paraId="7EEAF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465" w:type="dxa"/>
            <w:vMerge w:val="continue"/>
            <w:tcBorders>
              <w:top w:val="nil"/>
              <w:bottom w:val="nil"/>
            </w:tcBorders>
            <w:vAlign w:val="top"/>
          </w:tcPr>
          <w:p w14:paraId="755D42F9">
            <w:pPr>
              <w:rPr>
                <w:rFonts w:ascii="Arial"/>
                <w:sz w:val="21"/>
              </w:rPr>
            </w:pPr>
          </w:p>
        </w:tc>
        <w:tc>
          <w:tcPr>
            <w:tcW w:w="639" w:type="dxa"/>
            <w:vMerge w:val="restart"/>
            <w:tcBorders>
              <w:bottom w:val="nil"/>
            </w:tcBorders>
            <w:vAlign w:val="top"/>
          </w:tcPr>
          <w:p w14:paraId="106C47DA">
            <w:pPr>
              <w:pStyle w:val="6"/>
              <w:spacing w:before="261" w:line="237" w:lineRule="auto"/>
              <w:ind w:left="179"/>
              <w:rPr>
                <w:sz w:val="26"/>
                <w:szCs w:val="26"/>
              </w:rPr>
            </w:pPr>
            <w:r>
              <w:rPr>
                <w:sz w:val="26"/>
                <w:szCs w:val="26"/>
              </w:rPr>
              <w:t>三</w:t>
            </w:r>
          </w:p>
        </w:tc>
        <w:tc>
          <w:tcPr>
            <w:tcW w:w="679" w:type="dxa"/>
            <w:vMerge w:val="restart"/>
            <w:tcBorders>
              <w:bottom w:val="nil"/>
            </w:tcBorders>
            <w:vAlign w:val="top"/>
          </w:tcPr>
          <w:p w14:paraId="4213F1A8">
            <w:pPr>
              <w:pStyle w:val="6"/>
              <w:spacing w:before="24" w:line="219" w:lineRule="auto"/>
              <w:ind w:left="150"/>
              <w:rPr>
                <w:sz w:val="18"/>
                <w:szCs w:val="18"/>
              </w:rPr>
            </w:pPr>
            <w:r>
              <w:rPr>
                <w:spacing w:val="-2"/>
                <w:sz w:val="18"/>
                <w:szCs w:val="18"/>
              </w:rPr>
              <w:t>集电</w:t>
            </w:r>
          </w:p>
          <w:p w14:paraId="60C5A13A">
            <w:pPr>
              <w:pStyle w:val="6"/>
              <w:spacing w:before="36" w:line="217" w:lineRule="auto"/>
              <w:ind w:left="240" w:right="167" w:hanging="90"/>
              <w:rPr>
                <w:sz w:val="18"/>
                <w:szCs w:val="18"/>
              </w:rPr>
            </w:pPr>
            <w:r>
              <w:rPr>
                <w:spacing w:val="-5"/>
                <w:sz w:val="18"/>
                <w:szCs w:val="18"/>
              </w:rPr>
              <w:t>线路</w:t>
            </w:r>
            <w:r>
              <w:rPr>
                <w:sz w:val="18"/>
                <w:szCs w:val="18"/>
              </w:rPr>
              <w:t xml:space="preserve"> 区</w:t>
            </w:r>
          </w:p>
        </w:tc>
        <w:tc>
          <w:tcPr>
            <w:tcW w:w="1239" w:type="dxa"/>
            <w:vAlign w:val="top"/>
          </w:tcPr>
          <w:p w14:paraId="08F1C8E5">
            <w:pPr>
              <w:pStyle w:val="6"/>
              <w:spacing w:before="23" w:line="191" w:lineRule="auto"/>
              <w:ind w:left="161"/>
              <w:rPr>
                <w:sz w:val="18"/>
                <w:szCs w:val="18"/>
              </w:rPr>
            </w:pPr>
            <w:r>
              <w:rPr>
                <w:spacing w:val="3"/>
                <w:sz w:val="18"/>
                <w:szCs w:val="18"/>
              </w:rPr>
              <w:t>直埋线路区</w:t>
            </w:r>
          </w:p>
        </w:tc>
        <w:tc>
          <w:tcPr>
            <w:tcW w:w="629" w:type="dxa"/>
            <w:vAlign w:val="top"/>
          </w:tcPr>
          <w:p w14:paraId="6589E21E">
            <w:pPr>
              <w:pStyle w:val="6"/>
              <w:spacing w:before="42" w:line="172" w:lineRule="auto"/>
              <w:ind w:left="122"/>
              <w:rPr>
                <w:sz w:val="18"/>
                <w:szCs w:val="18"/>
              </w:rPr>
            </w:pPr>
            <w:r>
              <w:rPr>
                <w:spacing w:val="-2"/>
                <w:sz w:val="18"/>
                <w:szCs w:val="18"/>
              </w:rPr>
              <w:t>2.28</w:t>
            </w:r>
          </w:p>
        </w:tc>
        <w:tc>
          <w:tcPr>
            <w:tcW w:w="559" w:type="dxa"/>
            <w:vAlign w:val="top"/>
          </w:tcPr>
          <w:p w14:paraId="22C36DA0">
            <w:pPr>
              <w:pStyle w:val="6"/>
              <w:spacing w:before="42" w:line="172" w:lineRule="auto"/>
              <w:ind w:left="93"/>
              <w:rPr>
                <w:sz w:val="18"/>
                <w:szCs w:val="18"/>
              </w:rPr>
            </w:pPr>
            <w:r>
              <w:rPr>
                <w:spacing w:val="-2"/>
                <w:sz w:val="18"/>
                <w:szCs w:val="18"/>
              </w:rPr>
              <w:t>0.70</w:t>
            </w:r>
          </w:p>
        </w:tc>
        <w:tc>
          <w:tcPr>
            <w:tcW w:w="559" w:type="dxa"/>
            <w:vAlign w:val="top"/>
          </w:tcPr>
          <w:p w14:paraId="61B832D9">
            <w:pPr>
              <w:spacing w:line="210" w:lineRule="exact"/>
              <w:rPr>
                <w:rFonts w:ascii="Arial"/>
                <w:sz w:val="18"/>
              </w:rPr>
            </w:pPr>
          </w:p>
        </w:tc>
        <w:tc>
          <w:tcPr>
            <w:tcW w:w="559" w:type="dxa"/>
            <w:vAlign w:val="top"/>
          </w:tcPr>
          <w:p w14:paraId="5384B354">
            <w:pPr>
              <w:pStyle w:val="6"/>
              <w:spacing w:before="42" w:line="172" w:lineRule="auto"/>
              <w:ind w:left="95"/>
              <w:rPr>
                <w:sz w:val="18"/>
                <w:szCs w:val="18"/>
              </w:rPr>
            </w:pPr>
            <w:r>
              <w:rPr>
                <w:spacing w:val="-4"/>
                <w:sz w:val="18"/>
                <w:szCs w:val="18"/>
              </w:rPr>
              <w:t>1.58</w:t>
            </w:r>
          </w:p>
        </w:tc>
        <w:tc>
          <w:tcPr>
            <w:tcW w:w="539" w:type="dxa"/>
            <w:vAlign w:val="top"/>
          </w:tcPr>
          <w:p w14:paraId="608B7A0C">
            <w:pPr>
              <w:pStyle w:val="6"/>
              <w:spacing w:before="42" w:line="172" w:lineRule="auto"/>
              <w:ind w:left="87"/>
              <w:rPr>
                <w:sz w:val="18"/>
                <w:szCs w:val="18"/>
              </w:rPr>
            </w:pPr>
            <w:r>
              <w:rPr>
                <w:spacing w:val="-2"/>
                <w:sz w:val="18"/>
                <w:szCs w:val="18"/>
              </w:rPr>
              <w:t>2.28</w:t>
            </w:r>
          </w:p>
        </w:tc>
        <w:tc>
          <w:tcPr>
            <w:tcW w:w="579" w:type="dxa"/>
            <w:vAlign w:val="top"/>
          </w:tcPr>
          <w:p w14:paraId="2A36BD38">
            <w:pPr>
              <w:pStyle w:val="6"/>
              <w:spacing w:before="42" w:line="172" w:lineRule="auto"/>
              <w:ind w:left="108"/>
              <w:rPr>
                <w:sz w:val="18"/>
                <w:szCs w:val="18"/>
              </w:rPr>
            </w:pPr>
            <w:r>
              <w:rPr>
                <w:spacing w:val="-4"/>
                <w:sz w:val="18"/>
                <w:szCs w:val="18"/>
              </w:rPr>
              <w:t>1.58</w:t>
            </w:r>
          </w:p>
        </w:tc>
        <w:tc>
          <w:tcPr>
            <w:tcW w:w="559" w:type="dxa"/>
            <w:vAlign w:val="top"/>
          </w:tcPr>
          <w:p w14:paraId="1CE4DAA3">
            <w:pPr>
              <w:pStyle w:val="6"/>
              <w:spacing w:before="42" w:line="172" w:lineRule="auto"/>
              <w:ind w:left="98"/>
              <w:rPr>
                <w:sz w:val="18"/>
                <w:szCs w:val="18"/>
              </w:rPr>
            </w:pPr>
            <w:r>
              <w:rPr>
                <w:spacing w:val="-2"/>
                <w:sz w:val="18"/>
                <w:szCs w:val="18"/>
              </w:rPr>
              <w:t>0.70</w:t>
            </w:r>
          </w:p>
        </w:tc>
        <w:tc>
          <w:tcPr>
            <w:tcW w:w="540" w:type="dxa"/>
            <w:vAlign w:val="top"/>
          </w:tcPr>
          <w:p w14:paraId="5A89E4DE">
            <w:pPr>
              <w:spacing w:line="210" w:lineRule="exact"/>
              <w:rPr>
                <w:rFonts w:ascii="Arial"/>
                <w:sz w:val="18"/>
              </w:rPr>
            </w:pPr>
          </w:p>
        </w:tc>
        <w:tc>
          <w:tcPr>
            <w:tcW w:w="450" w:type="dxa"/>
            <w:vAlign w:val="top"/>
          </w:tcPr>
          <w:p w14:paraId="2628819B">
            <w:pPr>
              <w:spacing w:line="210" w:lineRule="exact"/>
              <w:rPr>
                <w:rFonts w:ascii="Arial"/>
                <w:sz w:val="18"/>
              </w:rPr>
            </w:pPr>
          </w:p>
        </w:tc>
        <w:tc>
          <w:tcPr>
            <w:tcW w:w="540" w:type="dxa"/>
            <w:vAlign w:val="top"/>
          </w:tcPr>
          <w:p w14:paraId="6A31CE66">
            <w:pPr>
              <w:spacing w:line="210" w:lineRule="exact"/>
              <w:rPr>
                <w:rFonts w:ascii="Arial"/>
                <w:sz w:val="18"/>
              </w:rPr>
            </w:pPr>
          </w:p>
        </w:tc>
        <w:tc>
          <w:tcPr>
            <w:tcW w:w="435" w:type="dxa"/>
            <w:vAlign w:val="top"/>
          </w:tcPr>
          <w:p w14:paraId="27B51BF0">
            <w:pPr>
              <w:spacing w:line="210" w:lineRule="exact"/>
              <w:rPr>
                <w:rFonts w:ascii="Arial"/>
                <w:sz w:val="18"/>
              </w:rPr>
            </w:pPr>
          </w:p>
        </w:tc>
      </w:tr>
      <w:tr w14:paraId="1B243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465" w:type="dxa"/>
            <w:vMerge w:val="continue"/>
            <w:tcBorders>
              <w:top w:val="nil"/>
              <w:bottom w:val="nil"/>
            </w:tcBorders>
            <w:vAlign w:val="top"/>
          </w:tcPr>
          <w:p w14:paraId="590DD9CE">
            <w:pPr>
              <w:rPr>
                <w:rFonts w:ascii="Arial"/>
                <w:sz w:val="21"/>
              </w:rPr>
            </w:pPr>
          </w:p>
        </w:tc>
        <w:tc>
          <w:tcPr>
            <w:tcW w:w="639" w:type="dxa"/>
            <w:vMerge w:val="continue"/>
            <w:tcBorders>
              <w:top w:val="nil"/>
              <w:bottom w:val="nil"/>
            </w:tcBorders>
            <w:vAlign w:val="top"/>
          </w:tcPr>
          <w:p w14:paraId="29C430FC">
            <w:pPr>
              <w:rPr>
                <w:rFonts w:ascii="Arial"/>
                <w:sz w:val="21"/>
              </w:rPr>
            </w:pPr>
          </w:p>
        </w:tc>
        <w:tc>
          <w:tcPr>
            <w:tcW w:w="679" w:type="dxa"/>
            <w:vMerge w:val="continue"/>
            <w:tcBorders>
              <w:top w:val="nil"/>
              <w:bottom w:val="nil"/>
            </w:tcBorders>
            <w:vAlign w:val="top"/>
          </w:tcPr>
          <w:p w14:paraId="58FDA78F">
            <w:pPr>
              <w:rPr>
                <w:rFonts w:ascii="Arial"/>
                <w:sz w:val="21"/>
              </w:rPr>
            </w:pPr>
          </w:p>
        </w:tc>
        <w:tc>
          <w:tcPr>
            <w:tcW w:w="1239" w:type="dxa"/>
            <w:vAlign w:val="top"/>
          </w:tcPr>
          <w:p w14:paraId="0B674960">
            <w:pPr>
              <w:pStyle w:val="6"/>
              <w:spacing w:before="44" w:line="200" w:lineRule="auto"/>
              <w:ind w:left="161"/>
              <w:rPr>
                <w:sz w:val="18"/>
                <w:szCs w:val="18"/>
              </w:rPr>
            </w:pPr>
            <w:r>
              <w:rPr>
                <w:spacing w:val="3"/>
                <w:sz w:val="18"/>
                <w:szCs w:val="18"/>
              </w:rPr>
              <w:t>架空线路区</w:t>
            </w:r>
          </w:p>
        </w:tc>
        <w:tc>
          <w:tcPr>
            <w:tcW w:w="629" w:type="dxa"/>
            <w:vAlign w:val="top"/>
          </w:tcPr>
          <w:p w14:paraId="35D1124F">
            <w:pPr>
              <w:pStyle w:val="6"/>
              <w:spacing w:before="62" w:line="181" w:lineRule="auto"/>
              <w:ind w:left="122"/>
              <w:rPr>
                <w:sz w:val="18"/>
                <w:szCs w:val="18"/>
              </w:rPr>
            </w:pPr>
            <w:r>
              <w:rPr>
                <w:spacing w:val="-4"/>
                <w:sz w:val="18"/>
                <w:szCs w:val="18"/>
              </w:rPr>
              <w:t>1.83</w:t>
            </w:r>
          </w:p>
        </w:tc>
        <w:tc>
          <w:tcPr>
            <w:tcW w:w="559" w:type="dxa"/>
            <w:vAlign w:val="top"/>
          </w:tcPr>
          <w:p w14:paraId="13765286">
            <w:pPr>
              <w:spacing w:line="239" w:lineRule="exact"/>
              <w:rPr>
                <w:rFonts w:ascii="Arial"/>
                <w:sz w:val="20"/>
              </w:rPr>
            </w:pPr>
          </w:p>
        </w:tc>
        <w:tc>
          <w:tcPr>
            <w:tcW w:w="559" w:type="dxa"/>
            <w:vAlign w:val="top"/>
          </w:tcPr>
          <w:p w14:paraId="3A45456D">
            <w:pPr>
              <w:spacing w:line="239" w:lineRule="exact"/>
              <w:rPr>
                <w:rFonts w:ascii="Arial"/>
                <w:sz w:val="20"/>
              </w:rPr>
            </w:pPr>
          </w:p>
        </w:tc>
        <w:tc>
          <w:tcPr>
            <w:tcW w:w="559" w:type="dxa"/>
            <w:vAlign w:val="top"/>
          </w:tcPr>
          <w:p w14:paraId="5CD09122">
            <w:pPr>
              <w:pStyle w:val="6"/>
              <w:spacing w:before="62" w:line="181" w:lineRule="auto"/>
              <w:ind w:left="95"/>
              <w:rPr>
                <w:sz w:val="18"/>
                <w:szCs w:val="18"/>
              </w:rPr>
            </w:pPr>
            <w:r>
              <w:rPr>
                <w:spacing w:val="-4"/>
                <w:sz w:val="18"/>
                <w:szCs w:val="18"/>
              </w:rPr>
              <w:t>1.83</w:t>
            </w:r>
          </w:p>
        </w:tc>
        <w:tc>
          <w:tcPr>
            <w:tcW w:w="539" w:type="dxa"/>
            <w:vAlign w:val="top"/>
          </w:tcPr>
          <w:p w14:paraId="7F70A65F">
            <w:pPr>
              <w:pStyle w:val="6"/>
              <w:spacing w:before="62" w:line="181" w:lineRule="auto"/>
              <w:ind w:left="87"/>
              <w:rPr>
                <w:sz w:val="18"/>
                <w:szCs w:val="18"/>
              </w:rPr>
            </w:pPr>
            <w:r>
              <w:rPr>
                <w:spacing w:val="-4"/>
                <w:sz w:val="18"/>
                <w:szCs w:val="18"/>
              </w:rPr>
              <w:t>1.83</w:t>
            </w:r>
          </w:p>
        </w:tc>
        <w:tc>
          <w:tcPr>
            <w:tcW w:w="579" w:type="dxa"/>
            <w:vAlign w:val="top"/>
          </w:tcPr>
          <w:p w14:paraId="3DDFE0E3">
            <w:pPr>
              <w:pStyle w:val="6"/>
              <w:spacing w:before="62" w:line="181" w:lineRule="auto"/>
              <w:ind w:left="108"/>
              <w:rPr>
                <w:sz w:val="18"/>
                <w:szCs w:val="18"/>
              </w:rPr>
            </w:pPr>
            <w:r>
              <w:rPr>
                <w:spacing w:val="-4"/>
                <w:sz w:val="18"/>
                <w:szCs w:val="18"/>
              </w:rPr>
              <w:t>1.83</w:t>
            </w:r>
          </w:p>
        </w:tc>
        <w:tc>
          <w:tcPr>
            <w:tcW w:w="559" w:type="dxa"/>
            <w:vAlign w:val="top"/>
          </w:tcPr>
          <w:p w14:paraId="49FD6678">
            <w:pPr>
              <w:spacing w:line="239" w:lineRule="exact"/>
              <w:rPr>
                <w:rFonts w:ascii="Arial"/>
                <w:sz w:val="20"/>
              </w:rPr>
            </w:pPr>
          </w:p>
        </w:tc>
        <w:tc>
          <w:tcPr>
            <w:tcW w:w="540" w:type="dxa"/>
            <w:vAlign w:val="top"/>
          </w:tcPr>
          <w:p w14:paraId="3DD52A36">
            <w:pPr>
              <w:spacing w:line="239" w:lineRule="exact"/>
              <w:rPr>
                <w:rFonts w:ascii="Arial"/>
                <w:sz w:val="20"/>
              </w:rPr>
            </w:pPr>
          </w:p>
        </w:tc>
        <w:tc>
          <w:tcPr>
            <w:tcW w:w="450" w:type="dxa"/>
            <w:vAlign w:val="top"/>
          </w:tcPr>
          <w:p w14:paraId="382070B7">
            <w:pPr>
              <w:spacing w:line="239" w:lineRule="exact"/>
              <w:rPr>
                <w:rFonts w:ascii="Arial"/>
                <w:sz w:val="20"/>
              </w:rPr>
            </w:pPr>
          </w:p>
        </w:tc>
        <w:tc>
          <w:tcPr>
            <w:tcW w:w="540" w:type="dxa"/>
            <w:vAlign w:val="top"/>
          </w:tcPr>
          <w:p w14:paraId="16CFEBD6">
            <w:pPr>
              <w:spacing w:line="239" w:lineRule="exact"/>
              <w:rPr>
                <w:rFonts w:ascii="Arial"/>
                <w:sz w:val="20"/>
              </w:rPr>
            </w:pPr>
          </w:p>
        </w:tc>
        <w:tc>
          <w:tcPr>
            <w:tcW w:w="435" w:type="dxa"/>
            <w:vAlign w:val="top"/>
          </w:tcPr>
          <w:p w14:paraId="110B8FF4">
            <w:pPr>
              <w:spacing w:line="239" w:lineRule="exact"/>
              <w:rPr>
                <w:rFonts w:ascii="Arial"/>
                <w:sz w:val="20"/>
              </w:rPr>
            </w:pPr>
          </w:p>
        </w:tc>
      </w:tr>
      <w:tr w14:paraId="2D74C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465" w:type="dxa"/>
            <w:vMerge w:val="continue"/>
            <w:tcBorders>
              <w:top w:val="nil"/>
              <w:bottom w:val="nil"/>
            </w:tcBorders>
            <w:vAlign w:val="top"/>
          </w:tcPr>
          <w:p w14:paraId="44B8774A">
            <w:pPr>
              <w:rPr>
                <w:rFonts w:ascii="Arial"/>
                <w:sz w:val="21"/>
              </w:rPr>
            </w:pPr>
          </w:p>
        </w:tc>
        <w:tc>
          <w:tcPr>
            <w:tcW w:w="639" w:type="dxa"/>
            <w:vMerge w:val="continue"/>
            <w:tcBorders>
              <w:top w:val="nil"/>
            </w:tcBorders>
            <w:vAlign w:val="top"/>
          </w:tcPr>
          <w:p w14:paraId="0D462480">
            <w:pPr>
              <w:rPr>
                <w:rFonts w:ascii="Arial"/>
                <w:sz w:val="21"/>
              </w:rPr>
            </w:pPr>
          </w:p>
        </w:tc>
        <w:tc>
          <w:tcPr>
            <w:tcW w:w="679" w:type="dxa"/>
            <w:vMerge w:val="continue"/>
            <w:tcBorders>
              <w:top w:val="nil"/>
            </w:tcBorders>
            <w:vAlign w:val="top"/>
          </w:tcPr>
          <w:p w14:paraId="4E713D67">
            <w:pPr>
              <w:rPr>
                <w:rFonts w:ascii="Arial"/>
                <w:sz w:val="21"/>
              </w:rPr>
            </w:pPr>
          </w:p>
        </w:tc>
        <w:tc>
          <w:tcPr>
            <w:tcW w:w="1239" w:type="dxa"/>
            <w:vAlign w:val="top"/>
          </w:tcPr>
          <w:p w14:paraId="59D63BA5">
            <w:pPr>
              <w:pStyle w:val="6"/>
              <w:spacing w:before="26" w:line="187" w:lineRule="auto"/>
              <w:ind w:left="431"/>
              <w:rPr>
                <w:sz w:val="18"/>
                <w:szCs w:val="18"/>
              </w:rPr>
            </w:pPr>
            <w:r>
              <w:rPr>
                <w:spacing w:val="-3"/>
                <w:sz w:val="18"/>
                <w:szCs w:val="18"/>
              </w:rPr>
              <w:t>小计</w:t>
            </w:r>
          </w:p>
        </w:tc>
        <w:tc>
          <w:tcPr>
            <w:tcW w:w="629" w:type="dxa"/>
            <w:vAlign w:val="top"/>
          </w:tcPr>
          <w:p w14:paraId="52EB3390">
            <w:pPr>
              <w:pStyle w:val="6"/>
              <w:spacing w:before="43" w:line="170" w:lineRule="auto"/>
              <w:ind w:left="122"/>
              <w:rPr>
                <w:sz w:val="18"/>
                <w:szCs w:val="18"/>
              </w:rPr>
            </w:pPr>
            <w:r>
              <w:rPr>
                <w:spacing w:val="-2"/>
                <w:sz w:val="18"/>
                <w:szCs w:val="18"/>
              </w:rPr>
              <w:t>4.11</w:t>
            </w:r>
          </w:p>
        </w:tc>
        <w:tc>
          <w:tcPr>
            <w:tcW w:w="559" w:type="dxa"/>
            <w:vAlign w:val="top"/>
          </w:tcPr>
          <w:p w14:paraId="53419F38">
            <w:pPr>
              <w:pStyle w:val="6"/>
              <w:spacing w:before="43" w:line="170" w:lineRule="auto"/>
              <w:ind w:left="93"/>
              <w:rPr>
                <w:sz w:val="18"/>
                <w:szCs w:val="18"/>
              </w:rPr>
            </w:pPr>
            <w:r>
              <w:rPr>
                <w:spacing w:val="-2"/>
                <w:sz w:val="18"/>
                <w:szCs w:val="18"/>
              </w:rPr>
              <w:t>0.70</w:t>
            </w:r>
          </w:p>
        </w:tc>
        <w:tc>
          <w:tcPr>
            <w:tcW w:w="559" w:type="dxa"/>
            <w:vAlign w:val="top"/>
          </w:tcPr>
          <w:p w14:paraId="5AC0CB93">
            <w:pPr>
              <w:spacing w:line="209" w:lineRule="exact"/>
              <w:rPr>
                <w:rFonts w:ascii="Arial"/>
                <w:sz w:val="18"/>
              </w:rPr>
            </w:pPr>
          </w:p>
        </w:tc>
        <w:tc>
          <w:tcPr>
            <w:tcW w:w="559" w:type="dxa"/>
            <w:vAlign w:val="top"/>
          </w:tcPr>
          <w:p w14:paraId="5EA70ED4">
            <w:pPr>
              <w:pStyle w:val="6"/>
              <w:spacing w:before="43" w:line="170" w:lineRule="auto"/>
              <w:ind w:left="95"/>
              <w:rPr>
                <w:sz w:val="18"/>
                <w:szCs w:val="18"/>
              </w:rPr>
            </w:pPr>
            <w:r>
              <w:rPr>
                <w:spacing w:val="-2"/>
                <w:sz w:val="18"/>
                <w:szCs w:val="18"/>
              </w:rPr>
              <w:t>3.41</w:t>
            </w:r>
          </w:p>
        </w:tc>
        <w:tc>
          <w:tcPr>
            <w:tcW w:w="539" w:type="dxa"/>
            <w:vAlign w:val="top"/>
          </w:tcPr>
          <w:p w14:paraId="4D599B8B">
            <w:pPr>
              <w:pStyle w:val="6"/>
              <w:spacing w:before="43" w:line="170" w:lineRule="auto"/>
              <w:ind w:left="87"/>
              <w:rPr>
                <w:sz w:val="18"/>
                <w:szCs w:val="18"/>
              </w:rPr>
            </w:pPr>
            <w:r>
              <w:rPr>
                <w:spacing w:val="-2"/>
                <w:sz w:val="18"/>
                <w:szCs w:val="18"/>
              </w:rPr>
              <w:t>4.11</w:t>
            </w:r>
          </w:p>
        </w:tc>
        <w:tc>
          <w:tcPr>
            <w:tcW w:w="579" w:type="dxa"/>
            <w:vAlign w:val="top"/>
          </w:tcPr>
          <w:p w14:paraId="2ADBF577">
            <w:pPr>
              <w:pStyle w:val="6"/>
              <w:spacing w:before="43" w:line="170" w:lineRule="auto"/>
              <w:ind w:left="108"/>
              <w:rPr>
                <w:sz w:val="18"/>
                <w:szCs w:val="18"/>
              </w:rPr>
            </w:pPr>
            <w:r>
              <w:rPr>
                <w:spacing w:val="-2"/>
                <w:sz w:val="18"/>
                <w:szCs w:val="18"/>
              </w:rPr>
              <w:t>3.41</w:t>
            </w:r>
          </w:p>
        </w:tc>
        <w:tc>
          <w:tcPr>
            <w:tcW w:w="559" w:type="dxa"/>
            <w:vAlign w:val="top"/>
          </w:tcPr>
          <w:p w14:paraId="496E6A21">
            <w:pPr>
              <w:pStyle w:val="6"/>
              <w:spacing w:before="43" w:line="170" w:lineRule="auto"/>
              <w:ind w:left="98"/>
              <w:rPr>
                <w:sz w:val="18"/>
                <w:szCs w:val="18"/>
              </w:rPr>
            </w:pPr>
            <w:r>
              <w:rPr>
                <w:spacing w:val="-2"/>
                <w:sz w:val="18"/>
                <w:szCs w:val="18"/>
              </w:rPr>
              <w:t>0.70</w:t>
            </w:r>
          </w:p>
        </w:tc>
        <w:tc>
          <w:tcPr>
            <w:tcW w:w="540" w:type="dxa"/>
            <w:vAlign w:val="top"/>
          </w:tcPr>
          <w:p w14:paraId="72829A15">
            <w:pPr>
              <w:spacing w:line="209" w:lineRule="exact"/>
              <w:rPr>
                <w:rFonts w:ascii="Arial"/>
                <w:sz w:val="18"/>
              </w:rPr>
            </w:pPr>
          </w:p>
        </w:tc>
        <w:tc>
          <w:tcPr>
            <w:tcW w:w="450" w:type="dxa"/>
            <w:vAlign w:val="top"/>
          </w:tcPr>
          <w:p w14:paraId="0324F249">
            <w:pPr>
              <w:spacing w:line="209" w:lineRule="exact"/>
              <w:rPr>
                <w:rFonts w:ascii="Arial"/>
                <w:sz w:val="18"/>
              </w:rPr>
            </w:pPr>
          </w:p>
        </w:tc>
        <w:tc>
          <w:tcPr>
            <w:tcW w:w="540" w:type="dxa"/>
            <w:vAlign w:val="top"/>
          </w:tcPr>
          <w:p w14:paraId="7B461883">
            <w:pPr>
              <w:spacing w:line="209" w:lineRule="exact"/>
              <w:rPr>
                <w:rFonts w:ascii="Arial"/>
                <w:sz w:val="18"/>
              </w:rPr>
            </w:pPr>
          </w:p>
        </w:tc>
        <w:tc>
          <w:tcPr>
            <w:tcW w:w="435" w:type="dxa"/>
            <w:vAlign w:val="top"/>
          </w:tcPr>
          <w:p w14:paraId="68073F70">
            <w:pPr>
              <w:spacing w:line="209" w:lineRule="exact"/>
              <w:rPr>
                <w:rFonts w:ascii="Arial"/>
                <w:sz w:val="18"/>
              </w:rPr>
            </w:pPr>
          </w:p>
        </w:tc>
      </w:tr>
      <w:tr w14:paraId="288C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465" w:type="dxa"/>
            <w:vMerge w:val="continue"/>
            <w:tcBorders>
              <w:top w:val="nil"/>
              <w:bottom w:val="nil"/>
            </w:tcBorders>
            <w:vAlign w:val="top"/>
          </w:tcPr>
          <w:p w14:paraId="447CEA78">
            <w:pPr>
              <w:rPr>
                <w:rFonts w:ascii="Arial"/>
                <w:sz w:val="21"/>
              </w:rPr>
            </w:pPr>
          </w:p>
        </w:tc>
        <w:tc>
          <w:tcPr>
            <w:tcW w:w="639" w:type="dxa"/>
            <w:vAlign w:val="top"/>
          </w:tcPr>
          <w:p w14:paraId="666D147E">
            <w:pPr>
              <w:spacing w:line="269" w:lineRule="auto"/>
              <w:rPr>
                <w:rFonts w:ascii="Arial"/>
                <w:sz w:val="21"/>
              </w:rPr>
            </w:pPr>
          </w:p>
          <w:p w14:paraId="6B29E9D5">
            <w:pPr>
              <w:pStyle w:val="6"/>
              <w:spacing w:before="58" w:line="222" w:lineRule="auto"/>
              <w:ind w:left="219"/>
              <w:rPr>
                <w:sz w:val="18"/>
                <w:szCs w:val="18"/>
              </w:rPr>
            </w:pPr>
            <w:r>
              <w:rPr>
                <w:sz w:val="18"/>
                <w:szCs w:val="18"/>
              </w:rPr>
              <w:t>四</w:t>
            </w:r>
          </w:p>
        </w:tc>
        <w:tc>
          <w:tcPr>
            <w:tcW w:w="679" w:type="dxa"/>
            <w:vAlign w:val="top"/>
          </w:tcPr>
          <w:p w14:paraId="44142E98">
            <w:pPr>
              <w:pStyle w:val="6"/>
              <w:spacing w:before="107" w:line="221" w:lineRule="auto"/>
              <w:ind w:left="150"/>
              <w:rPr>
                <w:sz w:val="18"/>
                <w:szCs w:val="18"/>
              </w:rPr>
            </w:pPr>
            <w:r>
              <w:rPr>
                <w:spacing w:val="-3"/>
                <w:sz w:val="18"/>
                <w:szCs w:val="18"/>
              </w:rPr>
              <w:t>交通</w:t>
            </w:r>
          </w:p>
          <w:p w14:paraId="72785A5A">
            <w:pPr>
              <w:pStyle w:val="6"/>
              <w:spacing w:before="13" w:line="225" w:lineRule="auto"/>
              <w:ind w:left="240" w:right="164" w:hanging="90"/>
              <w:rPr>
                <w:sz w:val="18"/>
                <w:szCs w:val="18"/>
              </w:rPr>
            </w:pPr>
            <w:r>
              <w:rPr>
                <w:spacing w:val="-4"/>
                <w:sz w:val="18"/>
                <w:szCs w:val="18"/>
              </w:rPr>
              <w:t>道路</w:t>
            </w:r>
            <w:r>
              <w:rPr>
                <w:sz w:val="18"/>
                <w:szCs w:val="18"/>
              </w:rPr>
              <w:t xml:space="preserve"> 区</w:t>
            </w:r>
          </w:p>
        </w:tc>
        <w:tc>
          <w:tcPr>
            <w:tcW w:w="1239" w:type="dxa"/>
            <w:vAlign w:val="top"/>
          </w:tcPr>
          <w:p w14:paraId="575C31F5">
            <w:pPr>
              <w:pStyle w:val="6"/>
              <w:spacing w:before="215" w:line="236" w:lineRule="auto"/>
              <w:ind w:left="521" w:right="160" w:hanging="360"/>
              <w:rPr>
                <w:sz w:val="18"/>
                <w:szCs w:val="18"/>
              </w:rPr>
            </w:pPr>
            <w:r>
              <w:rPr>
                <w:spacing w:val="1"/>
                <w:sz w:val="18"/>
                <w:szCs w:val="18"/>
              </w:rPr>
              <w:t xml:space="preserve">改扩建道路 </w:t>
            </w:r>
            <w:r>
              <w:rPr>
                <w:sz w:val="18"/>
                <w:szCs w:val="18"/>
              </w:rPr>
              <w:t>区</w:t>
            </w:r>
          </w:p>
        </w:tc>
        <w:tc>
          <w:tcPr>
            <w:tcW w:w="629" w:type="dxa"/>
            <w:vAlign w:val="top"/>
          </w:tcPr>
          <w:p w14:paraId="0986BE1E">
            <w:pPr>
              <w:spacing w:line="283" w:lineRule="auto"/>
              <w:rPr>
                <w:rFonts w:ascii="Arial"/>
                <w:sz w:val="21"/>
              </w:rPr>
            </w:pPr>
          </w:p>
          <w:p w14:paraId="1CAFF92E">
            <w:pPr>
              <w:pStyle w:val="6"/>
              <w:spacing w:before="59" w:line="239" w:lineRule="auto"/>
              <w:ind w:left="122"/>
              <w:rPr>
                <w:sz w:val="18"/>
                <w:szCs w:val="18"/>
              </w:rPr>
            </w:pPr>
            <w:r>
              <w:rPr>
                <w:spacing w:val="-2"/>
                <w:sz w:val="18"/>
                <w:szCs w:val="18"/>
              </w:rPr>
              <w:t>4.34</w:t>
            </w:r>
          </w:p>
        </w:tc>
        <w:tc>
          <w:tcPr>
            <w:tcW w:w="559" w:type="dxa"/>
            <w:vAlign w:val="top"/>
          </w:tcPr>
          <w:p w14:paraId="7B5C953E">
            <w:pPr>
              <w:spacing w:line="283" w:lineRule="auto"/>
              <w:rPr>
                <w:rFonts w:ascii="Arial"/>
                <w:sz w:val="21"/>
              </w:rPr>
            </w:pPr>
          </w:p>
          <w:p w14:paraId="56A82DDF">
            <w:pPr>
              <w:pStyle w:val="6"/>
              <w:spacing w:before="59" w:line="239" w:lineRule="auto"/>
              <w:ind w:left="134"/>
              <w:rPr>
                <w:sz w:val="18"/>
                <w:szCs w:val="18"/>
              </w:rPr>
            </w:pPr>
            <w:r>
              <w:rPr>
                <w:spacing w:val="-2"/>
                <w:sz w:val="18"/>
                <w:szCs w:val="18"/>
              </w:rPr>
              <w:t>0.9</w:t>
            </w:r>
          </w:p>
        </w:tc>
        <w:tc>
          <w:tcPr>
            <w:tcW w:w="559" w:type="dxa"/>
            <w:vAlign w:val="top"/>
          </w:tcPr>
          <w:p w14:paraId="7320C2F8">
            <w:pPr>
              <w:spacing w:line="283" w:lineRule="auto"/>
              <w:rPr>
                <w:rFonts w:ascii="Arial"/>
                <w:sz w:val="21"/>
              </w:rPr>
            </w:pPr>
          </w:p>
          <w:p w14:paraId="642729ED">
            <w:pPr>
              <w:pStyle w:val="6"/>
              <w:spacing w:before="59" w:line="239" w:lineRule="auto"/>
              <w:ind w:left="94"/>
              <w:rPr>
                <w:sz w:val="18"/>
                <w:szCs w:val="18"/>
              </w:rPr>
            </w:pPr>
            <w:r>
              <w:rPr>
                <w:spacing w:val="-4"/>
                <w:sz w:val="18"/>
                <w:szCs w:val="18"/>
              </w:rPr>
              <w:t>1.56</w:t>
            </w:r>
          </w:p>
        </w:tc>
        <w:tc>
          <w:tcPr>
            <w:tcW w:w="559" w:type="dxa"/>
            <w:vAlign w:val="top"/>
          </w:tcPr>
          <w:p w14:paraId="3E71CBE5">
            <w:pPr>
              <w:spacing w:line="283" w:lineRule="auto"/>
              <w:rPr>
                <w:rFonts w:ascii="Arial"/>
                <w:sz w:val="21"/>
              </w:rPr>
            </w:pPr>
          </w:p>
          <w:p w14:paraId="2A260DC5">
            <w:pPr>
              <w:pStyle w:val="6"/>
              <w:spacing w:before="59" w:line="239" w:lineRule="auto"/>
              <w:ind w:left="95"/>
              <w:rPr>
                <w:sz w:val="18"/>
                <w:szCs w:val="18"/>
              </w:rPr>
            </w:pPr>
            <w:r>
              <w:rPr>
                <w:spacing w:val="-4"/>
                <w:sz w:val="18"/>
                <w:szCs w:val="18"/>
              </w:rPr>
              <w:t>1.88</w:t>
            </w:r>
          </w:p>
        </w:tc>
        <w:tc>
          <w:tcPr>
            <w:tcW w:w="539" w:type="dxa"/>
            <w:vAlign w:val="top"/>
          </w:tcPr>
          <w:p w14:paraId="2C2F19BE">
            <w:pPr>
              <w:spacing w:line="283" w:lineRule="auto"/>
              <w:rPr>
                <w:rFonts w:ascii="Arial"/>
                <w:sz w:val="21"/>
              </w:rPr>
            </w:pPr>
          </w:p>
          <w:p w14:paraId="1008229C">
            <w:pPr>
              <w:pStyle w:val="6"/>
              <w:spacing w:before="59" w:line="239" w:lineRule="auto"/>
              <w:ind w:left="87"/>
              <w:rPr>
                <w:sz w:val="18"/>
                <w:szCs w:val="18"/>
              </w:rPr>
            </w:pPr>
            <w:r>
              <w:rPr>
                <w:spacing w:val="-2"/>
                <w:sz w:val="18"/>
                <w:szCs w:val="18"/>
              </w:rPr>
              <w:t>4.34</w:t>
            </w:r>
          </w:p>
        </w:tc>
        <w:tc>
          <w:tcPr>
            <w:tcW w:w="579" w:type="dxa"/>
            <w:vAlign w:val="top"/>
          </w:tcPr>
          <w:p w14:paraId="527D3D27">
            <w:pPr>
              <w:spacing w:line="283" w:lineRule="auto"/>
              <w:rPr>
                <w:rFonts w:ascii="Arial"/>
                <w:sz w:val="21"/>
              </w:rPr>
            </w:pPr>
          </w:p>
          <w:p w14:paraId="69957B15">
            <w:pPr>
              <w:pStyle w:val="6"/>
              <w:spacing w:before="59" w:line="239" w:lineRule="auto"/>
              <w:ind w:left="108"/>
              <w:rPr>
                <w:sz w:val="18"/>
                <w:szCs w:val="18"/>
              </w:rPr>
            </w:pPr>
            <w:r>
              <w:rPr>
                <w:spacing w:val="-2"/>
                <w:sz w:val="18"/>
                <w:szCs w:val="18"/>
              </w:rPr>
              <w:t>5.12</w:t>
            </w:r>
          </w:p>
        </w:tc>
        <w:tc>
          <w:tcPr>
            <w:tcW w:w="559" w:type="dxa"/>
            <w:vAlign w:val="top"/>
          </w:tcPr>
          <w:p w14:paraId="524DA371">
            <w:pPr>
              <w:spacing w:line="283" w:lineRule="auto"/>
              <w:rPr>
                <w:rFonts w:ascii="Arial"/>
                <w:sz w:val="21"/>
              </w:rPr>
            </w:pPr>
          </w:p>
          <w:p w14:paraId="2AC7B3AC">
            <w:pPr>
              <w:pStyle w:val="6"/>
              <w:spacing w:before="59" w:line="239" w:lineRule="auto"/>
              <w:ind w:left="138"/>
              <w:rPr>
                <w:sz w:val="18"/>
                <w:szCs w:val="18"/>
              </w:rPr>
            </w:pPr>
            <w:r>
              <w:rPr>
                <w:spacing w:val="-2"/>
                <w:sz w:val="18"/>
                <w:szCs w:val="18"/>
              </w:rPr>
              <w:t>0.9</w:t>
            </w:r>
          </w:p>
        </w:tc>
        <w:tc>
          <w:tcPr>
            <w:tcW w:w="540" w:type="dxa"/>
            <w:vAlign w:val="top"/>
          </w:tcPr>
          <w:p w14:paraId="6374FFD7">
            <w:pPr>
              <w:rPr>
                <w:rFonts w:ascii="Arial"/>
                <w:sz w:val="21"/>
              </w:rPr>
            </w:pPr>
          </w:p>
        </w:tc>
        <w:tc>
          <w:tcPr>
            <w:tcW w:w="450" w:type="dxa"/>
            <w:vAlign w:val="top"/>
          </w:tcPr>
          <w:p w14:paraId="18F320A0">
            <w:pPr>
              <w:rPr>
                <w:rFonts w:ascii="Arial"/>
                <w:sz w:val="21"/>
              </w:rPr>
            </w:pPr>
          </w:p>
        </w:tc>
        <w:tc>
          <w:tcPr>
            <w:tcW w:w="540" w:type="dxa"/>
            <w:vAlign w:val="top"/>
          </w:tcPr>
          <w:p w14:paraId="2BC32B78">
            <w:pPr>
              <w:spacing w:line="283" w:lineRule="auto"/>
              <w:rPr>
                <w:rFonts w:ascii="Arial"/>
                <w:sz w:val="21"/>
              </w:rPr>
            </w:pPr>
          </w:p>
          <w:p w14:paraId="5CFD9157">
            <w:pPr>
              <w:pStyle w:val="6"/>
              <w:spacing w:before="59" w:line="239" w:lineRule="auto"/>
              <w:ind w:left="89"/>
              <w:rPr>
                <w:sz w:val="18"/>
                <w:szCs w:val="18"/>
              </w:rPr>
            </w:pPr>
            <w:r>
              <w:rPr>
                <w:spacing w:val="-4"/>
                <w:sz w:val="18"/>
                <w:szCs w:val="18"/>
              </w:rPr>
              <w:t>1.68</w:t>
            </w:r>
          </w:p>
        </w:tc>
        <w:tc>
          <w:tcPr>
            <w:tcW w:w="435" w:type="dxa"/>
            <w:textDirection w:val="tbRlV"/>
            <w:vAlign w:val="top"/>
          </w:tcPr>
          <w:p w14:paraId="26C8BD9E">
            <w:pPr>
              <w:pStyle w:val="6"/>
              <w:spacing w:before="163" w:line="200" w:lineRule="auto"/>
              <w:ind w:left="57"/>
              <w:rPr>
                <w:sz w:val="18"/>
                <w:szCs w:val="18"/>
              </w:rPr>
            </w:pPr>
            <w:r>
              <w:rPr>
                <w:sz w:val="18"/>
                <w:szCs w:val="18"/>
              </w:rPr>
              <w:t>升</w:t>
            </w:r>
            <w:r>
              <w:rPr>
                <w:spacing w:val="-12"/>
                <w:sz w:val="18"/>
                <w:szCs w:val="18"/>
              </w:rPr>
              <w:t xml:space="preserve"> </w:t>
            </w:r>
            <w:r>
              <w:rPr>
                <w:sz w:val="18"/>
                <w:szCs w:val="18"/>
              </w:rPr>
              <w:t>压</w:t>
            </w:r>
            <w:r>
              <w:rPr>
                <w:spacing w:val="-12"/>
                <w:sz w:val="18"/>
                <w:szCs w:val="18"/>
              </w:rPr>
              <w:t xml:space="preserve"> </w:t>
            </w:r>
            <w:r>
              <w:rPr>
                <w:sz w:val="18"/>
                <w:szCs w:val="18"/>
              </w:rPr>
              <w:t>站</w:t>
            </w:r>
          </w:p>
        </w:tc>
      </w:tr>
      <w:tr w14:paraId="7F70C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465" w:type="dxa"/>
            <w:vMerge w:val="continue"/>
            <w:tcBorders>
              <w:top w:val="nil"/>
              <w:bottom w:val="nil"/>
            </w:tcBorders>
            <w:vAlign w:val="top"/>
          </w:tcPr>
          <w:p w14:paraId="77C858E1">
            <w:pPr>
              <w:rPr>
                <w:rFonts w:ascii="Arial"/>
                <w:sz w:val="21"/>
              </w:rPr>
            </w:pPr>
          </w:p>
        </w:tc>
        <w:tc>
          <w:tcPr>
            <w:tcW w:w="2557" w:type="dxa"/>
            <w:gridSpan w:val="3"/>
            <w:vAlign w:val="top"/>
          </w:tcPr>
          <w:p w14:paraId="390C988D">
            <w:pPr>
              <w:pStyle w:val="6"/>
              <w:spacing w:before="38" w:line="196" w:lineRule="auto"/>
              <w:ind w:left="1079"/>
              <w:rPr>
                <w:sz w:val="18"/>
                <w:szCs w:val="18"/>
              </w:rPr>
            </w:pPr>
            <w:r>
              <w:rPr>
                <w:spacing w:val="-2"/>
                <w:sz w:val="18"/>
                <w:szCs w:val="18"/>
              </w:rPr>
              <w:t>合计</w:t>
            </w:r>
          </w:p>
        </w:tc>
        <w:tc>
          <w:tcPr>
            <w:tcW w:w="629" w:type="dxa"/>
            <w:vAlign w:val="top"/>
          </w:tcPr>
          <w:p w14:paraId="2183C2DF">
            <w:pPr>
              <w:pStyle w:val="6"/>
              <w:spacing w:before="55" w:line="179" w:lineRule="auto"/>
              <w:ind w:left="82"/>
              <w:rPr>
                <w:sz w:val="18"/>
                <w:szCs w:val="18"/>
              </w:rPr>
            </w:pPr>
            <w:r>
              <w:rPr>
                <w:spacing w:val="-4"/>
                <w:sz w:val="18"/>
                <w:szCs w:val="18"/>
              </w:rPr>
              <w:t>11.23</w:t>
            </w:r>
          </w:p>
        </w:tc>
        <w:tc>
          <w:tcPr>
            <w:tcW w:w="559" w:type="dxa"/>
            <w:vAlign w:val="top"/>
          </w:tcPr>
          <w:p w14:paraId="55F4B6C4">
            <w:pPr>
              <w:pStyle w:val="6"/>
              <w:spacing w:before="55" w:line="179" w:lineRule="auto"/>
              <w:ind w:left="93"/>
              <w:rPr>
                <w:sz w:val="18"/>
                <w:szCs w:val="18"/>
              </w:rPr>
            </w:pPr>
            <w:r>
              <w:rPr>
                <w:spacing w:val="-2"/>
                <w:sz w:val="18"/>
                <w:szCs w:val="18"/>
              </w:rPr>
              <w:t>2.32</w:t>
            </w:r>
          </w:p>
        </w:tc>
        <w:tc>
          <w:tcPr>
            <w:tcW w:w="559" w:type="dxa"/>
            <w:vAlign w:val="top"/>
          </w:tcPr>
          <w:p w14:paraId="3C46F631">
            <w:pPr>
              <w:pStyle w:val="6"/>
              <w:spacing w:before="55" w:line="179" w:lineRule="auto"/>
              <w:ind w:left="94"/>
              <w:rPr>
                <w:sz w:val="18"/>
                <w:szCs w:val="18"/>
              </w:rPr>
            </w:pPr>
            <w:r>
              <w:rPr>
                <w:spacing w:val="-2"/>
                <w:sz w:val="18"/>
                <w:szCs w:val="18"/>
              </w:rPr>
              <w:t>3.24</w:t>
            </w:r>
          </w:p>
        </w:tc>
        <w:tc>
          <w:tcPr>
            <w:tcW w:w="559" w:type="dxa"/>
            <w:vAlign w:val="top"/>
          </w:tcPr>
          <w:p w14:paraId="6854B22C">
            <w:pPr>
              <w:pStyle w:val="6"/>
              <w:spacing w:before="55" w:line="179" w:lineRule="auto"/>
              <w:ind w:left="95"/>
              <w:rPr>
                <w:sz w:val="18"/>
                <w:szCs w:val="18"/>
              </w:rPr>
            </w:pPr>
            <w:r>
              <w:rPr>
                <w:spacing w:val="-2"/>
                <w:sz w:val="18"/>
                <w:szCs w:val="18"/>
              </w:rPr>
              <w:t>6.37</w:t>
            </w:r>
          </w:p>
        </w:tc>
        <w:tc>
          <w:tcPr>
            <w:tcW w:w="539" w:type="dxa"/>
            <w:vAlign w:val="top"/>
          </w:tcPr>
          <w:p w14:paraId="391E04A1">
            <w:pPr>
              <w:pStyle w:val="6"/>
              <w:spacing w:before="55" w:line="179" w:lineRule="auto"/>
              <w:ind w:left="87"/>
              <w:rPr>
                <w:sz w:val="18"/>
                <w:szCs w:val="18"/>
              </w:rPr>
            </w:pPr>
            <w:r>
              <w:rPr>
                <w:spacing w:val="-2"/>
                <w:sz w:val="18"/>
                <w:szCs w:val="18"/>
              </w:rPr>
              <w:t>9.55</w:t>
            </w:r>
          </w:p>
        </w:tc>
        <w:tc>
          <w:tcPr>
            <w:tcW w:w="579" w:type="dxa"/>
            <w:vAlign w:val="top"/>
          </w:tcPr>
          <w:p w14:paraId="5B706D4F">
            <w:pPr>
              <w:pStyle w:val="6"/>
              <w:spacing w:before="55" w:line="179" w:lineRule="auto"/>
              <w:ind w:left="108"/>
              <w:rPr>
                <w:sz w:val="18"/>
                <w:szCs w:val="18"/>
              </w:rPr>
            </w:pPr>
            <w:r>
              <w:rPr>
                <w:spacing w:val="-2"/>
                <w:sz w:val="18"/>
                <w:szCs w:val="18"/>
              </w:rPr>
              <w:t>9.61</w:t>
            </w:r>
          </w:p>
        </w:tc>
        <w:tc>
          <w:tcPr>
            <w:tcW w:w="559" w:type="dxa"/>
            <w:vAlign w:val="top"/>
          </w:tcPr>
          <w:p w14:paraId="62176F11">
            <w:pPr>
              <w:pStyle w:val="6"/>
              <w:spacing w:before="55" w:line="179" w:lineRule="auto"/>
              <w:ind w:left="98"/>
              <w:rPr>
                <w:sz w:val="18"/>
                <w:szCs w:val="18"/>
              </w:rPr>
            </w:pPr>
            <w:r>
              <w:rPr>
                <w:spacing w:val="-2"/>
                <w:sz w:val="18"/>
                <w:szCs w:val="18"/>
              </w:rPr>
              <w:t>2.32</w:t>
            </w:r>
          </w:p>
        </w:tc>
        <w:tc>
          <w:tcPr>
            <w:tcW w:w="540" w:type="dxa"/>
            <w:vAlign w:val="top"/>
          </w:tcPr>
          <w:p w14:paraId="657FD204">
            <w:pPr>
              <w:pStyle w:val="6"/>
              <w:spacing w:before="55" w:line="179" w:lineRule="auto"/>
              <w:ind w:left="89"/>
              <w:rPr>
                <w:sz w:val="18"/>
                <w:szCs w:val="18"/>
              </w:rPr>
            </w:pPr>
            <w:r>
              <w:rPr>
                <w:spacing w:val="-4"/>
                <w:sz w:val="18"/>
                <w:szCs w:val="18"/>
              </w:rPr>
              <w:t>1.68</w:t>
            </w:r>
          </w:p>
        </w:tc>
        <w:tc>
          <w:tcPr>
            <w:tcW w:w="450" w:type="dxa"/>
            <w:vAlign w:val="top"/>
          </w:tcPr>
          <w:p w14:paraId="63247327">
            <w:pPr>
              <w:spacing w:line="230" w:lineRule="exact"/>
              <w:rPr>
                <w:rFonts w:ascii="Arial"/>
                <w:sz w:val="20"/>
              </w:rPr>
            </w:pPr>
          </w:p>
        </w:tc>
        <w:tc>
          <w:tcPr>
            <w:tcW w:w="540" w:type="dxa"/>
            <w:vAlign w:val="top"/>
          </w:tcPr>
          <w:p w14:paraId="1245D4CC">
            <w:pPr>
              <w:pStyle w:val="6"/>
              <w:spacing w:before="55" w:line="179" w:lineRule="auto"/>
              <w:ind w:left="89"/>
              <w:rPr>
                <w:sz w:val="18"/>
                <w:szCs w:val="18"/>
              </w:rPr>
            </w:pPr>
            <w:r>
              <w:rPr>
                <w:spacing w:val="-4"/>
                <w:sz w:val="18"/>
                <w:szCs w:val="18"/>
              </w:rPr>
              <w:t>1.68</w:t>
            </w:r>
          </w:p>
        </w:tc>
        <w:tc>
          <w:tcPr>
            <w:tcW w:w="435" w:type="dxa"/>
            <w:vAlign w:val="top"/>
          </w:tcPr>
          <w:p w14:paraId="05180BD6">
            <w:pPr>
              <w:spacing w:line="230" w:lineRule="exact"/>
              <w:rPr>
                <w:rFonts w:ascii="Arial"/>
                <w:sz w:val="20"/>
              </w:rPr>
            </w:pPr>
          </w:p>
        </w:tc>
      </w:tr>
      <w:tr w14:paraId="0A7FE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465" w:type="dxa"/>
            <w:vMerge w:val="continue"/>
            <w:tcBorders>
              <w:top w:val="nil"/>
            </w:tcBorders>
            <w:vAlign w:val="top"/>
          </w:tcPr>
          <w:p w14:paraId="6A10760A">
            <w:pPr>
              <w:rPr>
                <w:rFonts w:ascii="Arial"/>
                <w:sz w:val="21"/>
              </w:rPr>
            </w:pPr>
          </w:p>
        </w:tc>
        <w:tc>
          <w:tcPr>
            <w:tcW w:w="8505" w:type="dxa"/>
            <w:gridSpan w:val="14"/>
            <w:vAlign w:val="top"/>
          </w:tcPr>
          <w:p w14:paraId="728A5990">
            <w:pPr>
              <w:spacing w:line="115" w:lineRule="exact"/>
              <w:rPr>
                <w:rFonts w:ascii="Arial"/>
                <w:sz w:val="10"/>
              </w:rPr>
            </w:pPr>
          </w:p>
        </w:tc>
      </w:tr>
    </w:tbl>
    <w:p w14:paraId="05AEF534">
      <w:pPr>
        <w:spacing w:before="103" w:line="219" w:lineRule="auto"/>
        <w:ind w:left="550"/>
        <w:rPr>
          <w:rFonts w:ascii="宋体" w:hAnsi="宋体" w:eastAsia="宋体" w:cs="宋体"/>
          <w:sz w:val="20"/>
          <w:szCs w:val="20"/>
        </w:rPr>
      </w:pPr>
      <w:r>
        <w:rPr>
          <w:rFonts w:ascii="宋体" w:hAnsi="宋体" w:eastAsia="宋体" w:cs="宋体"/>
          <w:spacing w:val="11"/>
          <w:sz w:val="20"/>
          <w:szCs w:val="20"/>
        </w:rPr>
        <w:t>注：开挖+调入+外购=回填+调出+弃渣。</w:t>
      </w:r>
    </w:p>
    <w:p w14:paraId="410DE7C5">
      <w:pPr>
        <w:spacing w:before="249" w:line="219" w:lineRule="auto"/>
        <w:ind w:left="2969"/>
        <w:rPr>
          <w:rFonts w:ascii="Times New Roman" w:hAnsi="Times New Roman" w:eastAsia="Times New Roman" w:cs="Times New Roman"/>
          <w:sz w:val="13"/>
          <w:szCs w:val="13"/>
        </w:rPr>
      </w:pPr>
      <w:r>
        <w:rPr>
          <w:rFonts w:ascii="宋体" w:hAnsi="宋体" w:eastAsia="宋体" w:cs="宋体"/>
          <w:spacing w:val="-2"/>
          <w:sz w:val="13"/>
          <w:szCs w:val="13"/>
        </w:rPr>
        <w:t>总开挖13.55万</w:t>
      </w:r>
      <w:r>
        <w:rPr>
          <w:rFonts w:ascii="Times New Roman" w:hAnsi="Times New Roman" w:eastAsia="Times New Roman" w:cs="Times New Roman"/>
          <w:spacing w:val="-2"/>
          <w:sz w:val="13"/>
          <w:szCs w:val="13"/>
        </w:rPr>
        <w:t xml:space="preserve">m³ </w:t>
      </w:r>
      <w:r>
        <w:rPr>
          <w:rFonts w:ascii="宋体" w:hAnsi="宋体" w:eastAsia="宋体" w:cs="宋体"/>
          <w:spacing w:val="-2"/>
          <w:sz w:val="13"/>
          <w:szCs w:val="13"/>
        </w:rPr>
        <w:t>总回填13.55万</w:t>
      </w:r>
      <w:r>
        <w:rPr>
          <w:rFonts w:ascii="Times New Roman" w:hAnsi="Times New Roman" w:eastAsia="Times New Roman" w:cs="Times New Roman"/>
          <w:spacing w:val="-2"/>
          <w:sz w:val="13"/>
          <w:szCs w:val="13"/>
        </w:rPr>
        <w:t>m³</w:t>
      </w:r>
      <w:r>
        <w:rPr>
          <w:rFonts w:ascii="Times New Roman" w:hAnsi="Times New Roman" w:eastAsia="Times New Roman" w:cs="Times New Roman"/>
          <w:spacing w:val="19"/>
          <w:w w:val="101"/>
          <w:sz w:val="13"/>
          <w:szCs w:val="13"/>
        </w:rPr>
        <w:t xml:space="preserve"> </w:t>
      </w:r>
      <w:r>
        <w:rPr>
          <w:rFonts w:ascii="宋体" w:hAnsi="宋体" w:eastAsia="宋体" w:cs="宋体"/>
          <w:spacing w:val="-2"/>
          <w:sz w:val="13"/>
          <w:szCs w:val="13"/>
        </w:rPr>
        <w:t>内部调运1</w:t>
      </w:r>
      <w:r>
        <w:rPr>
          <w:rFonts w:ascii="宋体" w:hAnsi="宋体" w:eastAsia="宋体" w:cs="宋体"/>
          <w:spacing w:val="-3"/>
          <w:sz w:val="13"/>
          <w:szCs w:val="13"/>
        </w:rPr>
        <w:t>.68万</w:t>
      </w:r>
      <w:r>
        <w:rPr>
          <w:rFonts w:ascii="Times New Roman" w:hAnsi="Times New Roman" w:eastAsia="Times New Roman" w:cs="Times New Roman"/>
          <w:spacing w:val="-3"/>
          <w:sz w:val="13"/>
          <w:szCs w:val="13"/>
        </w:rPr>
        <w:t>m³</w:t>
      </w:r>
    </w:p>
    <w:p w14:paraId="1F831C4F">
      <w:pPr>
        <w:pStyle w:val="2"/>
        <w:spacing w:line="348" w:lineRule="auto"/>
      </w:pPr>
    </w:p>
    <w:p w14:paraId="5E1B39E5">
      <w:pPr>
        <w:pStyle w:val="2"/>
        <w:spacing w:line="5640" w:lineRule="exact"/>
        <w:ind w:firstLine="449"/>
      </w:pPr>
      <w:r>
        <w:pict>
          <v:shape id="_x0000_s1063" o:spid="_x0000_s1063" o:spt="202" type="#_x0000_t202" style="position:absolute;left:0pt;margin-left:415.95pt;margin-top:194.25pt;height:9.75pt;width:26.95pt;z-index:251682816;mso-width-relative:page;mso-height-relative:page;" filled="f" stroked="f" coordsize="21600,21600">
            <v:path/>
            <v:fill on="f" focussize="0,0"/>
            <v:stroke on="f"/>
            <v:imagedata o:title=""/>
            <o:lock v:ext="edit" aspectratio="f"/>
            <v:textbox inset="0mm,0mm,0mm,0mm">
              <w:txbxContent>
                <w:p w14:paraId="5764BA11">
                  <w:pPr>
                    <w:spacing w:before="20" w:line="220" w:lineRule="auto"/>
                    <w:ind w:left="20"/>
                    <w:rPr>
                      <w:rFonts w:ascii="Times New Roman" w:hAnsi="Times New Roman" w:eastAsia="Times New Roman" w:cs="Times New Roman"/>
                      <w:sz w:val="13"/>
                      <w:szCs w:val="13"/>
                    </w:rPr>
                  </w:pPr>
                  <w:r>
                    <w:rPr>
                      <w:rFonts w:ascii="宋体" w:hAnsi="宋体" w:eastAsia="宋体" w:cs="宋体"/>
                      <w:spacing w:val="-4"/>
                      <w:sz w:val="13"/>
                      <w:szCs w:val="13"/>
                    </w:rPr>
                    <w:t>1.68万</w:t>
                  </w:r>
                  <w:r>
                    <w:rPr>
                      <w:rFonts w:ascii="Times New Roman" w:hAnsi="Times New Roman" w:eastAsia="Times New Roman" w:cs="Times New Roman"/>
                      <w:spacing w:val="-4"/>
                      <w:sz w:val="13"/>
                      <w:szCs w:val="13"/>
                    </w:rPr>
                    <w:t>m³</w:t>
                  </w:r>
                </w:p>
              </w:txbxContent>
            </v:textbox>
          </v:shape>
        </w:pict>
      </w:r>
      <w:r>
        <w:rPr>
          <w:position w:val="-112"/>
        </w:rPr>
        <w:pict>
          <v:group id="_x0000_s1064" o:spid="_x0000_s1064" o:spt="203" style="height:282pt;width:390.5pt;" coordsize="7810,5640">
            <o:lock v:ext="edit"/>
            <v:shape id="_x0000_s1065" o:spid="_x0000_s1065" o:spt="75" type="#_x0000_t75" style="position:absolute;left:0;top:0;height:5440;width:7810;" filled="f" stroked="f" coordsize="21600,21600">
              <v:path/>
              <v:fill on="f" focussize="0,0"/>
              <v:stroke on="f"/>
              <v:imagedata r:id="rId196" o:title=""/>
              <o:lock v:ext="edit" aspectratio="t"/>
            </v:shape>
            <v:shape id="_x0000_s1066" o:spid="_x0000_s1066" o:spt="202" type="#_x0000_t202" style="position:absolute;left:1579;top:105;height:5555;width:5249;" filled="f" stroked="f" coordsize="21600,21600">
              <v:path/>
              <v:fill on="f" focussize="0,0"/>
              <v:stroke on="f"/>
              <v:imagedata o:title=""/>
              <o:lock v:ext="edit" aspectratio="f"/>
              <v:textbox inset="0mm,0mm,0mm,0mm">
                <w:txbxContent>
                  <w:p w14:paraId="63B44CD6">
                    <w:pPr>
                      <w:spacing w:before="20" w:line="220" w:lineRule="auto"/>
                      <w:ind w:left="3799"/>
                      <w:rPr>
                        <w:rFonts w:ascii="Times New Roman" w:hAnsi="Times New Roman" w:eastAsia="Times New Roman" w:cs="Times New Roman"/>
                        <w:sz w:val="13"/>
                        <w:szCs w:val="13"/>
                      </w:rPr>
                    </w:pPr>
                    <w:r>
                      <w:rPr>
                        <w:rFonts w:ascii="宋体" w:hAnsi="宋体" w:eastAsia="宋体" w:cs="宋体"/>
                        <w:spacing w:val="-1"/>
                        <w:sz w:val="13"/>
                        <w:szCs w:val="13"/>
                      </w:rPr>
                      <w:t>场地及基础回填0.9万</w:t>
                    </w:r>
                    <w:r>
                      <w:rPr>
                        <w:rFonts w:ascii="Times New Roman" w:hAnsi="Times New Roman" w:eastAsia="Times New Roman" w:cs="Times New Roman"/>
                        <w:spacing w:val="-1"/>
                        <w:sz w:val="13"/>
                        <w:szCs w:val="13"/>
                      </w:rPr>
                      <w:t>m³</w:t>
                    </w:r>
                  </w:p>
                  <w:p w14:paraId="2DF419FE">
                    <w:pPr>
                      <w:spacing w:line="479" w:lineRule="auto"/>
                      <w:rPr>
                        <w:rFonts w:ascii="Arial"/>
                        <w:sz w:val="21"/>
                      </w:rPr>
                    </w:pPr>
                  </w:p>
                  <w:p w14:paraId="60B0D28A">
                    <w:pPr>
                      <w:spacing w:before="43" w:line="220" w:lineRule="auto"/>
                      <w:ind w:left="4019"/>
                      <w:rPr>
                        <w:rFonts w:ascii="Times New Roman" w:hAnsi="Times New Roman" w:eastAsia="Times New Roman" w:cs="Times New Roman"/>
                        <w:sz w:val="13"/>
                        <w:szCs w:val="13"/>
                      </w:rPr>
                    </w:pPr>
                    <w:r>
                      <w:rPr>
                        <w:rFonts w:ascii="宋体" w:hAnsi="宋体" w:eastAsia="宋体" w:cs="宋体"/>
                        <w:spacing w:val="-2"/>
                        <w:sz w:val="13"/>
                        <w:szCs w:val="13"/>
                      </w:rPr>
                      <w:t>绿化覆土0.7万</w:t>
                    </w:r>
                    <w:r>
                      <w:rPr>
                        <w:rFonts w:ascii="Times New Roman" w:hAnsi="Times New Roman" w:eastAsia="Times New Roman" w:cs="Times New Roman"/>
                        <w:spacing w:val="-2"/>
                        <w:sz w:val="13"/>
                        <w:szCs w:val="13"/>
                      </w:rPr>
                      <w:t>m³</w:t>
                    </w:r>
                  </w:p>
                  <w:p w14:paraId="1BF9E519">
                    <w:pPr>
                      <w:spacing w:before="134" w:line="219" w:lineRule="auto"/>
                      <w:ind w:left="20"/>
                      <w:rPr>
                        <w:rFonts w:ascii="宋体" w:hAnsi="宋体" w:eastAsia="宋体" w:cs="宋体"/>
                        <w:sz w:val="13"/>
                        <w:szCs w:val="13"/>
                      </w:rPr>
                    </w:pPr>
                    <w:r>
                      <w:rPr>
                        <w:rFonts w:ascii="宋体" w:hAnsi="宋体" w:eastAsia="宋体" w:cs="宋体"/>
                        <w:spacing w:val="-1"/>
                        <w:sz w:val="13"/>
                        <w:szCs w:val="13"/>
                      </w:rPr>
                      <w:t>集电线路区</w:t>
                    </w:r>
                  </w:p>
                  <w:p w14:paraId="601FB534">
                    <w:pPr>
                      <w:spacing w:before="206" w:line="220" w:lineRule="auto"/>
                      <w:ind w:right="18"/>
                      <w:jc w:val="right"/>
                      <w:rPr>
                        <w:rFonts w:ascii="Times New Roman" w:hAnsi="Times New Roman" w:eastAsia="Times New Roman" w:cs="Times New Roman"/>
                        <w:sz w:val="13"/>
                        <w:szCs w:val="13"/>
                      </w:rPr>
                    </w:pPr>
                    <w:r>
                      <w:rPr>
                        <w:rFonts w:ascii="宋体" w:hAnsi="宋体" w:eastAsia="宋体" w:cs="宋体"/>
                        <w:spacing w:val="-1"/>
                        <w:sz w:val="13"/>
                        <w:szCs w:val="13"/>
                      </w:rPr>
                      <w:t>场地及基础回填3.41万</w:t>
                    </w:r>
                    <w:r>
                      <w:rPr>
                        <w:rFonts w:ascii="Times New Roman" w:hAnsi="Times New Roman" w:eastAsia="Times New Roman" w:cs="Times New Roman"/>
                        <w:spacing w:val="-1"/>
                        <w:sz w:val="13"/>
                        <w:szCs w:val="13"/>
                      </w:rPr>
                      <w:t>m³</w:t>
                    </w:r>
                  </w:p>
                  <w:p w14:paraId="70D4F6AA">
                    <w:pPr>
                      <w:spacing w:line="410" w:lineRule="auto"/>
                      <w:rPr>
                        <w:rFonts w:ascii="Arial"/>
                        <w:sz w:val="21"/>
                      </w:rPr>
                    </w:pPr>
                  </w:p>
                  <w:p w14:paraId="7179F714">
                    <w:pPr>
                      <w:spacing w:before="42" w:line="220" w:lineRule="auto"/>
                      <w:ind w:left="3990"/>
                      <w:rPr>
                        <w:rFonts w:ascii="Times New Roman" w:hAnsi="Times New Roman" w:eastAsia="Times New Roman" w:cs="Times New Roman"/>
                        <w:sz w:val="13"/>
                        <w:szCs w:val="13"/>
                      </w:rPr>
                    </w:pPr>
                    <w:r>
                      <w:rPr>
                        <w:rFonts w:ascii="宋体" w:hAnsi="宋体" w:eastAsia="宋体" w:cs="宋体"/>
                        <w:spacing w:val="-2"/>
                        <w:sz w:val="13"/>
                        <w:szCs w:val="13"/>
                      </w:rPr>
                      <w:t>绿化覆土0.02万</w:t>
                    </w:r>
                    <w:r>
                      <w:rPr>
                        <w:rFonts w:ascii="Times New Roman" w:hAnsi="Times New Roman" w:eastAsia="Times New Roman" w:cs="Times New Roman"/>
                        <w:spacing w:val="-2"/>
                        <w:sz w:val="13"/>
                        <w:szCs w:val="13"/>
                      </w:rPr>
                      <w:t>m³</w:t>
                    </w:r>
                  </w:p>
                  <w:p w14:paraId="365816CF">
                    <w:pPr>
                      <w:spacing w:line="249" w:lineRule="auto"/>
                      <w:rPr>
                        <w:rFonts w:ascii="Arial"/>
                        <w:sz w:val="21"/>
                      </w:rPr>
                    </w:pPr>
                  </w:p>
                  <w:p w14:paraId="4FCB4A14">
                    <w:pPr>
                      <w:spacing w:before="43" w:line="215" w:lineRule="auto"/>
                      <w:ind w:left="81"/>
                      <w:rPr>
                        <w:rFonts w:ascii="宋体" w:hAnsi="宋体" w:eastAsia="宋体" w:cs="宋体"/>
                        <w:sz w:val="13"/>
                        <w:szCs w:val="13"/>
                      </w:rPr>
                    </w:pPr>
                    <w:r>
                      <w:rPr>
                        <w:rFonts w:ascii="宋体" w:hAnsi="宋体" w:eastAsia="宋体" w:cs="宋体"/>
                        <w:b/>
                        <w:bCs/>
                        <w:spacing w:val="-3"/>
                        <w:sz w:val="13"/>
                        <w:szCs w:val="13"/>
                      </w:rPr>
                      <w:t>升压站区</w:t>
                    </w:r>
                  </w:p>
                  <w:p w14:paraId="058F2A93">
                    <w:pPr>
                      <w:spacing w:line="220" w:lineRule="auto"/>
                      <w:ind w:left="1740"/>
                      <w:rPr>
                        <w:rFonts w:ascii="Times New Roman" w:hAnsi="Times New Roman" w:eastAsia="Times New Roman" w:cs="Times New Roman"/>
                        <w:sz w:val="13"/>
                        <w:szCs w:val="13"/>
                      </w:rPr>
                    </w:pPr>
                    <w:r>
                      <w:rPr>
                        <w:rFonts w:ascii="宋体" w:hAnsi="宋体" w:eastAsia="宋体" w:cs="宋体"/>
                        <w:spacing w:val="-3"/>
                        <w:sz w:val="13"/>
                        <w:szCs w:val="13"/>
                      </w:rPr>
                      <w:t>场地平整1.68万</w:t>
                    </w:r>
                    <w:r>
                      <w:rPr>
                        <w:rFonts w:ascii="Times New Roman" w:hAnsi="Times New Roman" w:eastAsia="Times New Roman" w:cs="Times New Roman"/>
                        <w:spacing w:val="-3"/>
                        <w:sz w:val="13"/>
                        <w:szCs w:val="13"/>
                      </w:rPr>
                      <w:t>m³</w:t>
                    </w:r>
                  </w:p>
                  <w:p w14:paraId="0A6ACEBB">
                    <w:pPr>
                      <w:spacing w:before="145" w:line="220" w:lineRule="auto"/>
                      <w:ind w:right="18"/>
                      <w:jc w:val="right"/>
                      <w:rPr>
                        <w:rFonts w:ascii="Times New Roman" w:hAnsi="Times New Roman" w:eastAsia="Times New Roman" w:cs="Times New Roman"/>
                        <w:sz w:val="13"/>
                        <w:szCs w:val="13"/>
                      </w:rPr>
                    </w:pPr>
                    <w:r>
                      <w:rPr>
                        <w:rFonts w:ascii="宋体" w:hAnsi="宋体" w:eastAsia="宋体" w:cs="宋体"/>
                        <w:spacing w:val="-1"/>
                        <w:sz w:val="13"/>
                        <w:szCs w:val="13"/>
                      </w:rPr>
                      <w:t>场地及基础回填0.18万</w:t>
                    </w:r>
                    <w:r>
                      <w:rPr>
                        <w:rFonts w:ascii="Times New Roman" w:hAnsi="Times New Roman" w:eastAsia="Times New Roman" w:cs="Times New Roman"/>
                        <w:spacing w:val="-1"/>
                        <w:sz w:val="13"/>
                        <w:szCs w:val="13"/>
                      </w:rPr>
                      <w:t>m³</w:t>
                    </w:r>
                  </w:p>
                  <w:p w14:paraId="3A045B27">
                    <w:pPr>
                      <w:spacing w:before="164" w:line="220" w:lineRule="auto"/>
                      <w:ind w:left="1740"/>
                      <w:rPr>
                        <w:rFonts w:ascii="Times New Roman" w:hAnsi="Times New Roman" w:eastAsia="Times New Roman" w:cs="Times New Roman"/>
                        <w:sz w:val="11"/>
                        <w:szCs w:val="11"/>
                      </w:rPr>
                    </w:pPr>
                    <w:r>
                      <w:rPr>
                        <w:rFonts w:ascii="宋体" w:hAnsi="宋体" w:eastAsia="宋体" w:cs="宋体"/>
                        <w:spacing w:val="5"/>
                        <w:sz w:val="11"/>
                        <w:szCs w:val="11"/>
                      </w:rPr>
                      <w:t>基础开挖0</w:t>
                    </w:r>
                    <w:r>
                      <w:rPr>
                        <w:rFonts w:ascii="宋体" w:hAnsi="宋体" w:eastAsia="宋体" w:cs="宋体"/>
                        <w:spacing w:val="-26"/>
                        <w:sz w:val="11"/>
                        <w:szCs w:val="11"/>
                      </w:rPr>
                      <w:t xml:space="preserve"> </w:t>
                    </w:r>
                    <w:r>
                      <w:rPr>
                        <w:rFonts w:ascii="宋体" w:hAnsi="宋体" w:eastAsia="宋体" w:cs="宋体"/>
                        <w:spacing w:val="5"/>
                        <w:sz w:val="11"/>
                        <w:szCs w:val="11"/>
                      </w:rPr>
                      <w:t>.</w:t>
                    </w:r>
                    <w:r>
                      <w:rPr>
                        <w:rFonts w:ascii="宋体" w:hAnsi="宋体" w:eastAsia="宋体" w:cs="宋体"/>
                        <w:spacing w:val="-27"/>
                        <w:sz w:val="11"/>
                        <w:szCs w:val="11"/>
                      </w:rPr>
                      <w:t xml:space="preserve"> </w:t>
                    </w:r>
                    <w:r>
                      <w:rPr>
                        <w:rFonts w:ascii="宋体" w:hAnsi="宋体" w:eastAsia="宋体" w:cs="宋体"/>
                        <w:spacing w:val="5"/>
                        <w:sz w:val="11"/>
                        <w:szCs w:val="11"/>
                      </w:rPr>
                      <w:t>18万</w:t>
                    </w:r>
                    <w:r>
                      <w:rPr>
                        <w:rFonts w:ascii="Times New Roman" w:hAnsi="Times New Roman" w:eastAsia="Times New Roman" w:cs="Times New Roman"/>
                        <w:spacing w:val="5"/>
                        <w:sz w:val="11"/>
                        <w:szCs w:val="11"/>
                      </w:rPr>
                      <w:t>m³</w:t>
                    </w:r>
                  </w:p>
                  <w:p w14:paraId="72233462">
                    <w:pPr>
                      <w:spacing w:line="474" w:lineRule="auto"/>
                      <w:rPr>
                        <w:rFonts w:ascii="Arial"/>
                        <w:sz w:val="21"/>
                      </w:rPr>
                    </w:pPr>
                  </w:p>
                  <w:p w14:paraId="1D5D4238">
                    <w:pPr>
                      <w:spacing w:before="42" w:line="220" w:lineRule="auto"/>
                      <w:ind w:left="4019"/>
                      <w:rPr>
                        <w:rFonts w:ascii="Times New Roman" w:hAnsi="Times New Roman" w:eastAsia="Times New Roman" w:cs="Times New Roman"/>
                        <w:sz w:val="13"/>
                        <w:szCs w:val="13"/>
                      </w:rPr>
                    </w:pPr>
                    <w:r>
                      <w:rPr>
                        <w:rFonts w:ascii="宋体" w:hAnsi="宋体" w:eastAsia="宋体" w:cs="宋体"/>
                        <w:spacing w:val="-2"/>
                        <w:sz w:val="13"/>
                        <w:szCs w:val="13"/>
                      </w:rPr>
                      <w:t>绿化覆土0.9万</w:t>
                    </w:r>
                    <w:r>
                      <w:rPr>
                        <w:rFonts w:ascii="Times New Roman" w:hAnsi="Times New Roman" w:eastAsia="Times New Roman" w:cs="Times New Roman"/>
                        <w:spacing w:val="-2"/>
                        <w:sz w:val="13"/>
                        <w:szCs w:val="13"/>
                      </w:rPr>
                      <w:t>m³</w:t>
                    </w:r>
                  </w:p>
                  <w:p w14:paraId="6BEC36B0">
                    <w:pPr>
                      <w:spacing w:before="55" w:line="219" w:lineRule="auto"/>
                      <w:ind w:left="20"/>
                      <w:rPr>
                        <w:rFonts w:ascii="宋体" w:hAnsi="宋体" w:eastAsia="宋体" w:cs="宋体"/>
                        <w:sz w:val="13"/>
                        <w:szCs w:val="13"/>
                      </w:rPr>
                    </w:pPr>
                    <w:r>
                      <w:rPr>
                        <w:rFonts w:ascii="宋体" w:hAnsi="宋体" w:eastAsia="宋体" w:cs="宋体"/>
                        <w:spacing w:val="-2"/>
                        <w:sz w:val="13"/>
                        <w:szCs w:val="13"/>
                      </w:rPr>
                      <w:t>交通道路区</w:t>
                    </w:r>
                  </w:p>
                  <w:p w14:paraId="4CCDDBA9">
                    <w:pPr>
                      <w:spacing w:before="236" w:line="220" w:lineRule="auto"/>
                      <w:ind w:left="1740"/>
                      <w:rPr>
                        <w:rFonts w:ascii="Times New Roman" w:hAnsi="Times New Roman" w:eastAsia="Times New Roman" w:cs="Times New Roman"/>
                        <w:sz w:val="13"/>
                        <w:szCs w:val="13"/>
                      </w:rPr>
                    </w:pPr>
                    <w:r>
                      <w:rPr>
                        <w:rFonts w:ascii="宋体" w:hAnsi="宋体" w:eastAsia="宋体" w:cs="宋体"/>
                        <w:spacing w:val="-3"/>
                        <w:sz w:val="13"/>
                        <w:szCs w:val="13"/>
                      </w:rPr>
                      <w:t>场地平整1.56万</w:t>
                    </w:r>
                    <w:r>
                      <w:rPr>
                        <w:rFonts w:ascii="Times New Roman" w:hAnsi="Times New Roman" w:eastAsia="Times New Roman" w:cs="Times New Roman"/>
                        <w:spacing w:val="-3"/>
                        <w:sz w:val="13"/>
                        <w:szCs w:val="13"/>
                      </w:rPr>
                      <w:t>m³</w:t>
                    </w:r>
                  </w:p>
                  <w:p w14:paraId="4BD33E9F">
                    <w:pPr>
                      <w:spacing w:before="155" w:line="220" w:lineRule="auto"/>
                      <w:ind w:right="18"/>
                      <w:jc w:val="right"/>
                      <w:rPr>
                        <w:rFonts w:ascii="Times New Roman" w:hAnsi="Times New Roman" w:eastAsia="Times New Roman" w:cs="Times New Roman"/>
                        <w:sz w:val="13"/>
                        <w:szCs w:val="13"/>
                      </w:rPr>
                    </w:pPr>
                    <w:r>
                      <w:rPr>
                        <w:rFonts w:ascii="宋体" w:hAnsi="宋体" w:eastAsia="宋体" w:cs="宋体"/>
                        <w:spacing w:val="-1"/>
                        <w:sz w:val="13"/>
                        <w:szCs w:val="13"/>
                      </w:rPr>
                      <w:t>场地及基础回填5.12万</w:t>
                    </w:r>
                    <w:r>
                      <w:rPr>
                        <w:rFonts w:ascii="Times New Roman" w:hAnsi="Times New Roman" w:eastAsia="Times New Roman" w:cs="Times New Roman"/>
                        <w:spacing w:val="-1"/>
                        <w:sz w:val="13"/>
                        <w:szCs w:val="13"/>
                      </w:rPr>
                      <w:t>m³</w:t>
                    </w:r>
                  </w:p>
                  <w:p w14:paraId="3F4F3FD7">
                    <w:pPr>
                      <w:spacing w:before="145" w:line="220" w:lineRule="auto"/>
                      <w:ind w:left="1740"/>
                      <w:rPr>
                        <w:rFonts w:ascii="Times New Roman" w:hAnsi="Times New Roman" w:eastAsia="Times New Roman" w:cs="Times New Roman"/>
                        <w:sz w:val="13"/>
                        <w:szCs w:val="13"/>
                      </w:rPr>
                    </w:pPr>
                    <w:r>
                      <w:rPr>
                        <w:rFonts w:ascii="宋体" w:hAnsi="宋体" w:eastAsia="宋体" w:cs="宋体"/>
                        <w:spacing w:val="-3"/>
                        <w:sz w:val="13"/>
                        <w:szCs w:val="13"/>
                      </w:rPr>
                      <w:t>基础开挖1.88万</w:t>
                    </w:r>
                    <w:r>
                      <w:rPr>
                        <w:rFonts w:ascii="Times New Roman" w:hAnsi="Times New Roman" w:eastAsia="Times New Roman" w:cs="Times New Roman"/>
                        <w:spacing w:val="-3"/>
                        <w:sz w:val="13"/>
                        <w:szCs w:val="13"/>
                      </w:rPr>
                      <w:t>m³</w:t>
                    </w:r>
                  </w:p>
                  <w:p w14:paraId="2E95C07A">
                    <w:pPr>
                      <w:spacing w:before="73" w:line="212" w:lineRule="auto"/>
                      <w:ind w:left="80"/>
                      <w:rPr>
                        <w:rFonts w:ascii="宋体" w:hAnsi="宋体" w:eastAsia="宋体" w:cs="宋体"/>
                        <w:sz w:val="26"/>
                        <w:szCs w:val="26"/>
                      </w:rPr>
                    </w:pPr>
                    <w:r>
                      <w:rPr>
                        <w:rFonts w:ascii="宋体" w:hAnsi="宋体" w:eastAsia="宋体" w:cs="宋体"/>
                        <w:spacing w:val="-5"/>
                        <w:sz w:val="26"/>
                        <w:szCs w:val="26"/>
                      </w:rPr>
                      <w:t>图4-1</w:t>
                    </w:r>
                    <w:r>
                      <w:rPr>
                        <w:rFonts w:ascii="宋体" w:hAnsi="宋体" w:eastAsia="宋体" w:cs="宋体"/>
                        <w:spacing w:val="49"/>
                        <w:sz w:val="26"/>
                        <w:szCs w:val="26"/>
                      </w:rPr>
                      <w:t xml:space="preserve">  </w:t>
                    </w:r>
                    <w:r>
                      <w:rPr>
                        <w:rFonts w:ascii="宋体" w:hAnsi="宋体" w:eastAsia="宋体" w:cs="宋体"/>
                        <w:spacing w:val="-5"/>
                        <w:sz w:val="26"/>
                        <w:szCs w:val="26"/>
                      </w:rPr>
                      <w:t>土石方流向图(单位：万</w:t>
                    </w:r>
                    <w:r>
                      <w:rPr>
                        <w:rFonts w:ascii="Times New Roman" w:hAnsi="Times New Roman" w:eastAsia="Times New Roman" w:cs="Times New Roman"/>
                        <w:spacing w:val="-5"/>
                        <w:sz w:val="26"/>
                        <w:szCs w:val="26"/>
                      </w:rPr>
                      <w:t xml:space="preserve">m³,   </w:t>
                    </w:r>
                    <w:r>
                      <w:rPr>
                        <w:rFonts w:ascii="宋体" w:hAnsi="宋体" w:eastAsia="宋体" w:cs="宋体"/>
                        <w:spacing w:val="-5"/>
                        <w:sz w:val="26"/>
                        <w:szCs w:val="26"/>
                      </w:rPr>
                      <w:t>自然方)</w:t>
                    </w:r>
                  </w:p>
                </w:txbxContent>
              </v:textbox>
            </v:shape>
            <v:shape id="_x0000_s1067" o:spid="_x0000_s1067" o:spt="202" type="#_x0000_t202" style="position:absolute;left:189;top:942;height:1250;width:151;" filled="f" stroked="f" coordsize="21600,21600">
              <v:path/>
              <v:fill on="f" focussize="0,0"/>
              <v:stroke on="f"/>
              <v:imagedata o:title=""/>
              <o:lock v:ext="edit" aspectratio="f"/>
              <v:textbox inset="0mm,0mm,0mm,0mm" style="layout-flow:vertical-ideographic;">
                <w:txbxContent>
                  <w:p w14:paraId="4CBC03EC">
                    <w:pPr>
                      <w:spacing w:before="20" w:line="202" w:lineRule="auto"/>
                      <w:ind w:left="20"/>
                      <w:rPr>
                        <w:rFonts w:ascii="宋体" w:hAnsi="宋体" w:eastAsia="宋体" w:cs="宋体"/>
                        <w:sz w:val="12"/>
                        <w:szCs w:val="12"/>
                      </w:rPr>
                    </w:pPr>
                    <w:r>
                      <w:rPr>
                        <w:rFonts w:ascii="宋体" w:hAnsi="宋体" w:eastAsia="宋体" w:cs="宋体"/>
                        <w:spacing w:val="12"/>
                        <w:w w:val="116"/>
                        <w:sz w:val="12"/>
                        <w:szCs w:val="12"/>
                      </w:rPr>
                      <w:t>土石方平衡流线图</w:t>
                    </w:r>
                  </w:p>
                </w:txbxContent>
              </v:textbox>
            </v:shape>
            <v:shape id="_x0000_s1068" o:spid="_x0000_s1068" o:spt="202" type="#_x0000_t202" style="position:absolute;left:3301;top:2043;height:170;width:1060;" filled="f" stroked="f" coordsize="21600,21600">
              <v:path/>
              <v:fill on="f" focussize="0,0"/>
              <v:stroke on="f"/>
              <v:imagedata o:title=""/>
              <o:lock v:ext="edit" aspectratio="f"/>
              <v:textbox inset="0mm,0mm,0mm,0mm">
                <w:txbxContent>
                  <w:p w14:paraId="51D61C3F">
                    <w:pPr>
                      <w:spacing w:before="20" w:line="220" w:lineRule="auto"/>
                      <w:ind w:left="20"/>
                      <w:rPr>
                        <w:rFonts w:ascii="Times New Roman" w:hAnsi="Times New Roman" w:eastAsia="Times New Roman" w:cs="Times New Roman"/>
                        <w:sz w:val="13"/>
                        <w:szCs w:val="13"/>
                      </w:rPr>
                    </w:pPr>
                    <w:r>
                      <w:rPr>
                        <w:rFonts w:ascii="宋体" w:hAnsi="宋体" w:eastAsia="宋体" w:cs="宋体"/>
                        <w:b/>
                        <w:bCs/>
                        <w:spacing w:val="-4"/>
                        <w:sz w:val="13"/>
                        <w:szCs w:val="13"/>
                      </w:rPr>
                      <w:t>表土剥离0.02万</w:t>
                    </w:r>
                    <w:r>
                      <w:rPr>
                        <w:rFonts w:ascii="Times New Roman" w:hAnsi="Times New Roman" w:eastAsia="Times New Roman" w:cs="Times New Roman"/>
                        <w:b/>
                        <w:bCs/>
                        <w:spacing w:val="-4"/>
                        <w:sz w:val="13"/>
                        <w:szCs w:val="13"/>
                      </w:rPr>
                      <w:t>m³</w:t>
                    </w:r>
                  </w:p>
                </w:txbxContent>
              </v:textbox>
            </v:shape>
            <v:shape id="_x0000_s1069" o:spid="_x0000_s1069" o:spt="202" type="#_x0000_t202" style="position:absolute;left:3300;top:1435;height:170;width:1059;" filled="f" stroked="f" coordsize="21600,21600">
              <v:path/>
              <v:fill on="f" focussize="0,0"/>
              <v:stroke on="f"/>
              <v:imagedata o:title=""/>
              <o:lock v:ext="edit" aspectratio="f"/>
              <v:textbox inset="0mm,0mm,0mm,0mm">
                <w:txbxContent>
                  <w:p w14:paraId="1C6C8096">
                    <w:pPr>
                      <w:spacing w:before="20" w:line="220" w:lineRule="auto"/>
                      <w:ind w:left="20"/>
                      <w:rPr>
                        <w:rFonts w:ascii="Times New Roman" w:hAnsi="Times New Roman" w:eastAsia="Times New Roman" w:cs="Times New Roman"/>
                        <w:sz w:val="13"/>
                        <w:szCs w:val="13"/>
                      </w:rPr>
                    </w:pPr>
                    <w:r>
                      <w:rPr>
                        <w:rFonts w:ascii="宋体" w:hAnsi="宋体" w:eastAsia="宋体" w:cs="宋体"/>
                        <w:spacing w:val="-3"/>
                        <w:sz w:val="13"/>
                        <w:szCs w:val="13"/>
                      </w:rPr>
                      <w:t>基础开挖3.41万</w:t>
                    </w:r>
                    <w:r>
                      <w:rPr>
                        <w:rFonts w:ascii="Times New Roman" w:hAnsi="Times New Roman" w:eastAsia="Times New Roman" w:cs="Times New Roman"/>
                        <w:spacing w:val="-3"/>
                        <w:sz w:val="13"/>
                        <w:szCs w:val="13"/>
                      </w:rPr>
                      <w:t>m³</w:t>
                    </w:r>
                  </w:p>
                </w:txbxContent>
              </v:textbox>
            </v:shape>
            <v:shape id="_x0000_s1070" o:spid="_x0000_s1070" o:spt="202" type="#_x0000_t202" style="position:absolute;left:3300;top:3905;height:170;width:999;" filled="f" stroked="f" coordsize="21600,21600">
              <v:path/>
              <v:fill on="f" focussize="0,0"/>
              <v:stroke on="f"/>
              <v:imagedata o:title=""/>
              <o:lock v:ext="edit" aspectratio="f"/>
              <v:textbox inset="0mm,0mm,0mm,0mm">
                <w:txbxContent>
                  <w:p w14:paraId="5267B22D">
                    <w:pPr>
                      <w:spacing w:before="20" w:line="220" w:lineRule="auto"/>
                      <w:ind w:left="20"/>
                      <w:rPr>
                        <w:rFonts w:ascii="Times New Roman" w:hAnsi="Times New Roman" w:eastAsia="Times New Roman" w:cs="Times New Roman"/>
                        <w:sz w:val="13"/>
                        <w:szCs w:val="13"/>
                      </w:rPr>
                    </w:pPr>
                    <w:r>
                      <w:rPr>
                        <w:rFonts w:ascii="宋体" w:hAnsi="宋体" w:eastAsia="宋体" w:cs="宋体"/>
                        <w:spacing w:val="-3"/>
                        <w:sz w:val="13"/>
                        <w:szCs w:val="13"/>
                      </w:rPr>
                      <w:t>表土剥离0.9万</w:t>
                    </w:r>
                    <w:r>
                      <w:rPr>
                        <w:rFonts w:ascii="Times New Roman" w:hAnsi="Times New Roman" w:eastAsia="Times New Roman" w:cs="Times New Roman"/>
                        <w:spacing w:val="-3"/>
                        <w:sz w:val="13"/>
                        <w:szCs w:val="13"/>
                      </w:rPr>
                      <w:t>m³</w:t>
                    </w:r>
                  </w:p>
                </w:txbxContent>
              </v:textbox>
            </v:shape>
            <v:shape id="_x0000_s1071" o:spid="_x0000_s1071" o:spt="202" type="#_x0000_t202" style="position:absolute;left:3300;top:775;height:170;width:985;" filled="f" stroked="f" coordsize="21600,21600">
              <v:path/>
              <v:fill on="f" focussize="0,0"/>
              <v:stroke on="f"/>
              <v:imagedata o:title=""/>
              <o:lock v:ext="edit" aspectratio="f"/>
              <v:textbox inset="0mm,0mm,0mm,0mm">
                <w:txbxContent>
                  <w:p w14:paraId="7BF5C0C2">
                    <w:pPr>
                      <w:spacing w:before="20" w:line="220" w:lineRule="auto"/>
                      <w:ind w:left="20"/>
                      <w:rPr>
                        <w:rFonts w:ascii="Times New Roman" w:hAnsi="Times New Roman" w:eastAsia="Times New Roman" w:cs="Times New Roman"/>
                        <w:sz w:val="13"/>
                        <w:szCs w:val="13"/>
                      </w:rPr>
                    </w:pPr>
                    <w:r>
                      <w:rPr>
                        <w:rFonts w:ascii="宋体" w:hAnsi="宋体" w:eastAsia="宋体" w:cs="宋体"/>
                        <w:spacing w:val="-4"/>
                        <w:sz w:val="13"/>
                        <w:szCs w:val="13"/>
                      </w:rPr>
                      <w:t>表土剥离0.7万</w:t>
                    </w:r>
                    <w:r>
                      <w:rPr>
                        <w:rFonts w:ascii="Times New Roman" w:hAnsi="Times New Roman" w:eastAsia="Times New Roman" w:cs="Times New Roman"/>
                        <w:spacing w:val="-4"/>
                        <w:sz w:val="13"/>
                        <w:szCs w:val="13"/>
                      </w:rPr>
                      <w:t>m³</w:t>
                    </w:r>
                  </w:p>
                </w:txbxContent>
              </v:textbox>
            </v:shape>
            <v:shape id="_x0000_s1072" o:spid="_x0000_s1072" o:spt="202" type="#_x0000_t202" style="position:absolute;left:3301;top:103;height:170;width:983;" filled="f" stroked="f" coordsize="21600,21600">
              <v:path/>
              <v:fill on="f" focussize="0,0"/>
              <v:stroke on="f"/>
              <v:imagedata o:title=""/>
              <o:lock v:ext="edit" aspectratio="f"/>
              <v:textbox inset="0mm,0mm,0mm,0mm">
                <w:txbxContent>
                  <w:p w14:paraId="5903B1D1">
                    <w:pPr>
                      <w:spacing w:before="20" w:line="220" w:lineRule="auto"/>
                      <w:ind w:left="20"/>
                      <w:rPr>
                        <w:rFonts w:ascii="Times New Roman" w:hAnsi="Times New Roman" w:eastAsia="Times New Roman" w:cs="Times New Roman"/>
                        <w:sz w:val="13"/>
                        <w:szCs w:val="13"/>
                      </w:rPr>
                    </w:pPr>
                    <w:r>
                      <w:rPr>
                        <w:rFonts w:ascii="宋体" w:hAnsi="宋体" w:eastAsia="宋体" w:cs="宋体"/>
                        <w:b/>
                        <w:bCs/>
                        <w:spacing w:val="-5"/>
                        <w:sz w:val="13"/>
                        <w:szCs w:val="13"/>
                      </w:rPr>
                      <w:t>基础开挖0.9万</w:t>
                    </w:r>
                    <w:r>
                      <w:rPr>
                        <w:rFonts w:ascii="Times New Roman" w:hAnsi="Times New Roman" w:eastAsia="Times New Roman" w:cs="Times New Roman"/>
                        <w:spacing w:val="-5"/>
                        <w:sz w:val="13"/>
                        <w:szCs w:val="13"/>
                      </w:rPr>
                      <w:t>m³</w:t>
                    </w:r>
                  </w:p>
                </w:txbxContent>
              </v:textbox>
            </v:shape>
            <v:shape id="_x0000_s1073" o:spid="_x0000_s1073" o:spt="202" type="#_x0000_t202" style="position:absolute;left:1579;top:104;height:170;width:684;" filled="f" stroked="f" coordsize="21600,21600">
              <v:path/>
              <v:fill on="f" focussize="0,0"/>
              <v:stroke on="f"/>
              <v:imagedata o:title=""/>
              <o:lock v:ext="edit" aspectratio="f"/>
              <v:textbox inset="0mm,0mm,0mm,0mm">
                <w:txbxContent>
                  <w:p w14:paraId="49FDD693">
                    <w:pPr>
                      <w:spacing w:before="19" w:line="219" w:lineRule="auto"/>
                      <w:ind w:left="20"/>
                      <w:rPr>
                        <w:rFonts w:ascii="宋体" w:hAnsi="宋体" w:eastAsia="宋体" w:cs="宋体"/>
                        <w:sz w:val="13"/>
                        <w:szCs w:val="13"/>
                      </w:rPr>
                    </w:pPr>
                    <w:r>
                      <w:rPr>
                        <w:rFonts w:ascii="宋体" w:hAnsi="宋体" w:eastAsia="宋体" w:cs="宋体"/>
                        <w:spacing w:val="-1"/>
                        <w:sz w:val="13"/>
                        <w:szCs w:val="13"/>
                      </w:rPr>
                      <w:t>光伏阵列区</w:t>
                    </w:r>
                  </w:p>
                </w:txbxContent>
              </v:textbox>
            </v:shape>
            <w10:wrap type="none"/>
            <w10:anchorlock/>
          </v:group>
        </w:pict>
      </w:r>
    </w:p>
    <w:p w14:paraId="329CE86A">
      <w:pPr>
        <w:spacing w:before="270" w:line="220" w:lineRule="auto"/>
        <w:ind w:left="1160"/>
        <w:rPr>
          <w:rFonts w:ascii="宋体" w:hAnsi="宋体" w:eastAsia="宋体" w:cs="宋体"/>
          <w:sz w:val="24"/>
          <w:szCs w:val="24"/>
        </w:rPr>
      </w:pPr>
      <w:r>
        <w:drawing>
          <wp:anchor distT="0" distB="0" distL="0" distR="0" simplePos="0" relativeHeight="251681792" behindDoc="0" locked="0" layoutInCell="1" allowOverlap="1">
            <wp:simplePos x="0" y="0"/>
            <wp:positionH relativeFrom="column">
              <wp:posOffset>0</wp:posOffset>
            </wp:positionH>
            <wp:positionV relativeFrom="paragraph">
              <wp:posOffset>438150</wp:posOffset>
            </wp:positionV>
            <wp:extent cx="5734050" cy="635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97"/>
                    <a:stretch>
                      <a:fillRect/>
                    </a:stretch>
                  </pic:blipFill>
                  <pic:spPr>
                    <a:xfrm>
                      <a:off x="0" y="0"/>
                      <a:ext cx="5734002" cy="6350"/>
                    </a:xfrm>
                    <a:prstGeom prst="rect">
                      <a:avLst/>
                    </a:prstGeom>
                  </pic:spPr>
                </pic:pic>
              </a:graphicData>
            </a:graphic>
          </wp:anchor>
        </w:drawing>
      </w:r>
      <w:r>
        <w:rPr>
          <w:rFonts w:ascii="宋体" w:hAnsi="宋体" w:eastAsia="宋体" w:cs="宋体"/>
          <w:spacing w:val="15"/>
          <w:sz w:val="24"/>
          <w:szCs w:val="24"/>
        </w:rPr>
        <w:t>(2)建筑垃圾</w:t>
      </w:r>
    </w:p>
    <w:p w14:paraId="188CB299">
      <w:pPr>
        <w:spacing w:line="220" w:lineRule="auto"/>
        <w:rPr>
          <w:rFonts w:ascii="宋体" w:hAnsi="宋体" w:eastAsia="宋体" w:cs="宋体"/>
          <w:sz w:val="24"/>
          <w:szCs w:val="24"/>
        </w:rPr>
        <w:sectPr>
          <w:footerReference r:id="rId92" w:type="default"/>
          <w:pgSz w:w="11910" w:h="16840"/>
          <w:pgMar w:top="1431" w:right="1470" w:bottom="1255" w:left="1410" w:header="0" w:footer="1093" w:gutter="0"/>
          <w:cols w:space="720" w:num="1"/>
        </w:sectPr>
      </w:pPr>
    </w:p>
    <w:p w14:paraId="1A18CE15">
      <w:pPr>
        <w:spacing w:line="103" w:lineRule="exact"/>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8585"/>
      </w:tblGrid>
      <w:tr w14:paraId="67B50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1" w:hRule="atLeast"/>
        </w:trPr>
        <w:tc>
          <w:tcPr>
            <w:tcW w:w="384" w:type="dxa"/>
            <w:vAlign w:val="top"/>
          </w:tcPr>
          <w:p w14:paraId="39226EC0">
            <w:pPr>
              <w:rPr>
                <w:rFonts w:ascii="Arial"/>
                <w:sz w:val="21"/>
              </w:rPr>
            </w:pPr>
          </w:p>
        </w:tc>
        <w:tc>
          <w:tcPr>
            <w:tcW w:w="8585" w:type="dxa"/>
            <w:vAlign w:val="top"/>
          </w:tcPr>
          <w:p w14:paraId="074A6053">
            <w:pPr>
              <w:pStyle w:val="6"/>
              <w:spacing w:before="21" w:line="359" w:lineRule="auto"/>
              <w:ind w:left="120" w:firstLine="561"/>
            </w:pPr>
            <w:r>
              <w:rPr>
                <w:spacing w:val="-3"/>
              </w:rPr>
              <w:t>建筑垃圾主要由废弃混凝土、废碎砖瓦砾、废电缆、废木材以</w:t>
            </w:r>
            <w:r>
              <w:rPr>
                <w:spacing w:val="-4"/>
              </w:rPr>
              <w:t>及装修过程</w:t>
            </w:r>
            <w:r>
              <w:t xml:space="preserve">   </w:t>
            </w:r>
            <w:r>
              <w:rPr>
                <w:spacing w:val="-5"/>
              </w:rPr>
              <w:t>中产生的废弃瓷砖、石块、玻璃、涂料、包装材料等组成。根据可</w:t>
            </w:r>
            <w:r>
              <w:rPr>
                <w:spacing w:val="-6"/>
              </w:rPr>
              <w:t>研及设计资料，</w:t>
            </w:r>
            <w:r>
              <w:t xml:space="preserve"> </w:t>
            </w:r>
            <w:r>
              <w:rPr>
                <w:spacing w:val="-3"/>
              </w:rPr>
              <w:t>项目施工期建筑垃圾产生量为2t。施工建筑垃圾大部分为可回收利用物，应尽量</w:t>
            </w:r>
            <w:r>
              <w:rPr>
                <w:spacing w:val="3"/>
              </w:rPr>
              <w:t xml:space="preserve">  </w:t>
            </w:r>
            <w:r>
              <w:rPr>
                <w:spacing w:val="-2"/>
              </w:rPr>
              <w:t>分拣出后回收利用或外售给废品回收站，少量不可回收部分如碎砖、渣</w:t>
            </w:r>
            <w:r>
              <w:rPr>
                <w:spacing w:val="-3"/>
              </w:rPr>
              <w:t>等，集中</w:t>
            </w:r>
            <w:r>
              <w:t xml:space="preserve">  </w:t>
            </w:r>
            <w:r>
              <w:rPr>
                <w:spacing w:val="-4"/>
              </w:rPr>
              <w:t>收集后送当地建筑垃圾消纳场处置。</w:t>
            </w:r>
          </w:p>
          <w:p w14:paraId="6A332235">
            <w:pPr>
              <w:pStyle w:val="6"/>
              <w:spacing w:before="20" w:line="220" w:lineRule="auto"/>
              <w:ind w:left="730"/>
            </w:pPr>
            <w:r>
              <w:rPr>
                <w:spacing w:val="1"/>
              </w:rPr>
              <w:t>(3)生活垃圾</w:t>
            </w:r>
          </w:p>
          <w:p w14:paraId="64CF2DF8">
            <w:pPr>
              <w:pStyle w:val="6"/>
              <w:spacing w:before="164" w:line="214" w:lineRule="auto"/>
              <w:ind w:left="600"/>
            </w:pPr>
            <w:r>
              <w:rPr>
                <w:spacing w:val="-1"/>
              </w:rPr>
              <w:t>拟建项目建筑施工人员每天平均100人，生活垃圾产生量按0.5kg/(人</w:t>
            </w:r>
            <w:r>
              <w:rPr>
                <w:spacing w:val="-24"/>
              </w:rPr>
              <w:t xml:space="preserve"> </w:t>
            </w:r>
            <w:r>
              <w:rPr>
                <w:spacing w:val="-1"/>
              </w:rPr>
              <w:t>·d)</w:t>
            </w:r>
          </w:p>
          <w:p w14:paraId="3C987124">
            <w:pPr>
              <w:pStyle w:val="6"/>
              <w:spacing w:before="182" w:line="360" w:lineRule="auto"/>
              <w:ind w:left="129" w:hanging="9"/>
            </w:pPr>
            <w:r>
              <w:rPr>
                <w:spacing w:val="-2"/>
              </w:rPr>
              <w:t>计算，施工人员产生的生活垃圾为50kg/d,施工人员生活垃圾主要成分为塑料袋、</w:t>
            </w:r>
            <w:r>
              <w:rPr>
                <w:spacing w:val="11"/>
              </w:rPr>
              <w:t xml:space="preserve"> </w:t>
            </w:r>
            <w:r>
              <w:rPr>
                <w:spacing w:val="-4"/>
              </w:rPr>
              <w:t>废纸等。区内设置若干垃圾桶，产生的垃圾集中收集后定期清运至附近乡村垃圾</w:t>
            </w:r>
            <w:r>
              <w:rPr>
                <w:spacing w:val="8"/>
              </w:rPr>
              <w:t xml:space="preserve">  </w:t>
            </w:r>
            <w:r>
              <w:rPr>
                <w:spacing w:val="-4"/>
              </w:rPr>
              <w:t>处理点集中处理。化粪池定期清掏用作农肥。</w:t>
            </w:r>
          </w:p>
          <w:p w14:paraId="5C8C7CBC">
            <w:pPr>
              <w:pStyle w:val="6"/>
              <w:spacing w:before="1" w:line="338" w:lineRule="auto"/>
              <w:ind w:left="120" w:right="401" w:firstLine="469"/>
            </w:pPr>
            <w:r>
              <w:rPr>
                <w:spacing w:val="1"/>
              </w:rPr>
              <w:t>综上，项目施工期产生的固体废物均得到有效收</w:t>
            </w:r>
            <w:r>
              <w:t>集，处置率100%,对周围 的环境影响较小。</w:t>
            </w:r>
          </w:p>
        </w:tc>
      </w:tr>
      <w:tr w14:paraId="140DD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384" w:type="dxa"/>
            <w:tcBorders>
              <w:bottom w:val="nil"/>
            </w:tcBorders>
            <w:vAlign w:val="top"/>
          </w:tcPr>
          <w:p w14:paraId="5C7BA85C">
            <w:pPr>
              <w:rPr>
                <w:rFonts w:ascii="Arial"/>
                <w:sz w:val="21"/>
              </w:rPr>
            </w:pPr>
          </w:p>
        </w:tc>
        <w:tc>
          <w:tcPr>
            <w:tcW w:w="8585" w:type="dxa"/>
            <w:tcBorders>
              <w:bottom w:val="nil"/>
            </w:tcBorders>
            <w:vAlign w:val="top"/>
          </w:tcPr>
          <w:p w14:paraId="497AA614">
            <w:pPr>
              <w:pStyle w:val="6"/>
              <w:spacing w:before="50" w:line="219" w:lineRule="auto"/>
              <w:ind w:left="114"/>
              <w:rPr>
                <w:sz w:val="22"/>
                <w:szCs w:val="22"/>
              </w:rPr>
            </w:pPr>
            <w:r>
              <w:rPr>
                <w:b/>
                <w:bCs/>
                <w:spacing w:val="-4"/>
                <w:sz w:val="22"/>
                <w:szCs w:val="22"/>
              </w:rPr>
              <w:t>一、运营期环境影响因素分析</w:t>
            </w:r>
          </w:p>
          <w:p w14:paraId="44BDB396">
            <w:pPr>
              <w:pStyle w:val="6"/>
              <w:spacing w:before="210" w:line="385" w:lineRule="auto"/>
              <w:ind w:left="120" w:right="745" w:firstLine="479"/>
              <w:rPr>
                <w:sz w:val="22"/>
                <w:szCs w:val="22"/>
              </w:rPr>
            </w:pPr>
            <w:r>
              <w:rPr>
                <w:sz w:val="22"/>
                <w:szCs w:val="22"/>
              </w:rPr>
              <w:t>光伏发电的原理是使用物理学的光生伏特效应，直接将太阳光能转变为电</w:t>
            </w:r>
            <w:r>
              <w:rPr>
                <w:spacing w:val="6"/>
                <w:sz w:val="22"/>
                <w:szCs w:val="22"/>
              </w:rPr>
              <w:t xml:space="preserve">  </w:t>
            </w:r>
            <w:r>
              <w:rPr>
                <w:sz w:val="22"/>
                <w:szCs w:val="22"/>
              </w:rPr>
              <w:t>能，属清洁能源利用工程。工程运行过程中主要影响来自光伏组件清洗维护及运</w:t>
            </w:r>
            <w:r>
              <w:rPr>
                <w:spacing w:val="7"/>
                <w:sz w:val="22"/>
                <w:szCs w:val="22"/>
              </w:rPr>
              <w:t xml:space="preserve"> </w:t>
            </w:r>
            <w:r>
              <w:rPr>
                <w:sz w:val="22"/>
                <w:szCs w:val="22"/>
              </w:rPr>
              <w:t>维管理人员产生的生活垃圾和生活废水等。运营期产污节点图详见图4-2。</w:t>
            </w:r>
          </w:p>
        </w:tc>
      </w:tr>
      <w:tr w14:paraId="1965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8" w:hRule="atLeast"/>
        </w:trPr>
        <w:tc>
          <w:tcPr>
            <w:tcW w:w="384" w:type="dxa"/>
            <w:tcBorders>
              <w:top w:val="nil"/>
              <w:bottom w:val="nil"/>
            </w:tcBorders>
            <w:textDirection w:val="tbRlV"/>
            <w:vAlign w:val="top"/>
          </w:tcPr>
          <w:p w14:paraId="69CE439D">
            <w:pPr>
              <w:pStyle w:val="6"/>
              <w:spacing w:before="127" w:line="202" w:lineRule="auto"/>
              <w:ind w:left="434"/>
            </w:pPr>
            <w:r>
              <w:t>运</w:t>
            </w:r>
            <w:r>
              <w:rPr>
                <w:spacing w:val="-42"/>
              </w:rPr>
              <w:t xml:space="preserve"> </w:t>
            </w:r>
            <w:r>
              <w:t>营</w:t>
            </w:r>
            <w:r>
              <w:rPr>
                <w:spacing w:val="-42"/>
              </w:rPr>
              <w:t xml:space="preserve"> </w:t>
            </w:r>
            <w:r>
              <w:t>期</w:t>
            </w:r>
            <w:r>
              <w:rPr>
                <w:spacing w:val="-41"/>
              </w:rPr>
              <w:t xml:space="preserve"> </w:t>
            </w:r>
            <w:r>
              <w:t>生</w:t>
            </w:r>
            <w:r>
              <w:rPr>
                <w:spacing w:val="-42"/>
              </w:rPr>
              <w:t xml:space="preserve"> </w:t>
            </w:r>
            <w:r>
              <w:t>态</w:t>
            </w:r>
            <w:r>
              <w:rPr>
                <w:spacing w:val="-41"/>
              </w:rPr>
              <w:t xml:space="preserve"> </w:t>
            </w:r>
            <w:r>
              <w:t>环</w:t>
            </w:r>
            <w:r>
              <w:rPr>
                <w:spacing w:val="-41"/>
              </w:rPr>
              <w:t xml:space="preserve"> </w:t>
            </w:r>
            <w:r>
              <w:t>境</w:t>
            </w:r>
            <w:r>
              <w:rPr>
                <w:spacing w:val="-41"/>
              </w:rPr>
              <w:t xml:space="preserve"> </w:t>
            </w:r>
            <w:r>
              <w:t>影</w:t>
            </w:r>
          </w:p>
        </w:tc>
        <w:tc>
          <w:tcPr>
            <w:tcW w:w="8585" w:type="dxa"/>
            <w:tcBorders>
              <w:top w:val="nil"/>
              <w:bottom w:val="nil"/>
            </w:tcBorders>
            <w:vAlign w:val="top"/>
          </w:tcPr>
          <w:p w14:paraId="6EA5D49E">
            <w:pPr>
              <w:pStyle w:val="6"/>
              <w:spacing w:before="43" w:line="219" w:lineRule="auto"/>
              <w:ind w:left="441"/>
              <w:rPr>
                <w:sz w:val="17"/>
                <w:szCs w:val="17"/>
              </w:rPr>
            </w:pPr>
            <w:r>
              <w:drawing>
                <wp:anchor distT="0" distB="0" distL="0" distR="0" simplePos="0" relativeHeight="251683840" behindDoc="1" locked="0" layoutInCell="1" allowOverlap="1">
                  <wp:simplePos x="0" y="0"/>
                  <wp:positionH relativeFrom="column">
                    <wp:posOffset>102235</wp:posOffset>
                  </wp:positionH>
                  <wp:positionV relativeFrom="paragraph">
                    <wp:posOffset>3810</wp:posOffset>
                  </wp:positionV>
                  <wp:extent cx="5207000" cy="187960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98"/>
                          <a:stretch>
                            <a:fillRect/>
                          </a:stretch>
                        </pic:blipFill>
                        <pic:spPr>
                          <a:xfrm>
                            <a:off x="0" y="0"/>
                            <a:ext cx="5206946" cy="1879579"/>
                          </a:xfrm>
                          <a:prstGeom prst="rect">
                            <a:avLst/>
                          </a:prstGeom>
                        </pic:spPr>
                      </pic:pic>
                    </a:graphicData>
                  </a:graphic>
                </wp:anchor>
              </w:drawing>
            </w:r>
            <w:r>
              <w:rPr>
                <w:spacing w:val="-2"/>
                <w:sz w:val="17"/>
                <w:szCs w:val="17"/>
              </w:rPr>
              <w:t>厂家回收</w:t>
            </w:r>
          </w:p>
          <w:p w14:paraId="50A0F4DC">
            <w:pPr>
              <w:spacing w:line="310" w:lineRule="auto"/>
              <w:rPr>
                <w:rFonts w:ascii="Arial"/>
                <w:sz w:val="21"/>
              </w:rPr>
            </w:pPr>
          </w:p>
          <w:p w14:paraId="2AC6D65D">
            <w:pPr>
              <w:pStyle w:val="6"/>
              <w:spacing w:before="55" w:line="231" w:lineRule="auto"/>
              <w:ind w:left="360"/>
              <w:rPr>
                <w:sz w:val="17"/>
                <w:szCs w:val="17"/>
              </w:rPr>
            </w:pPr>
            <w:r>
              <w:rPr>
                <w:spacing w:val="2"/>
                <w:sz w:val="17"/>
                <w:szCs w:val="17"/>
              </w:rPr>
              <w:t>废光伏</w:t>
            </w:r>
            <w:r>
              <w:rPr>
                <w:spacing w:val="2"/>
                <w:sz w:val="17"/>
                <w:szCs w:val="17"/>
                <w:u w:val="single" w:color="auto"/>
              </w:rPr>
              <w:t>组</w:t>
            </w:r>
            <w:r>
              <w:rPr>
                <w:spacing w:val="2"/>
                <w:sz w:val="17"/>
                <w:szCs w:val="17"/>
              </w:rPr>
              <w:t>件</w:t>
            </w:r>
            <w:r>
              <w:rPr>
                <w:spacing w:val="7"/>
                <w:sz w:val="17"/>
                <w:szCs w:val="17"/>
              </w:rPr>
              <w:t xml:space="preserve">           </w:t>
            </w:r>
            <w:r>
              <w:rPr>
                <w:spacing w:val="2"/>
                <w:sz w:val="17"/>
                <w:szCs w:val="17"/>
              </w:rPr>
              <w:t>噪声</w:t>
            </w:r>
            <w:r>
              <w:rPr>
                <w:sz w:val="17"/>
                <w:szCs w:val="17"/>
              </w:rPr>
              <w:t xml:space="preserve">              </w:t>
            </w:r>
            <w:r>
              <w:rPr>
                <w:spacing w:val="2"/>
                <w:sz w:val="17"/>
                <w:szCs w:val="17"/>
              </w:rPr>
              <w:t xml:space="preserve">噪声                   噪声   </w:t>
            </w:r>
            <w:r>
              <w:rPr>
                <w:spacing w:val="1"/>
                <w:sz w:val="17"/>
                <w:szCs w:val="17"/>
              </w:rPr>
              <w:t>电磁辐射</w:t>
            </w:r>
          </w:p>
          <w:p w14:paraId="028CD987">
            <w:pPr>
              <w:spacing w:line="360" w:lineRule="auto"/>
              <w:rPr>
                <w:rFonts w:ascii="Arial"/>
                <w:sz w:val="21"/>
              </w:rPr>
            </w:pPr>
          </w:p>
          <w:p w14:paraId="40CB61DF">
            <w:pPr>
              <w:pStyle w:val="6"/>
              <w:spacing w:before="56" w:line="232" w:lineRule="auto"/>
              <w:ind w:left="320"/>
              <w:rPr>
                <w:sz w:val="17"/>
                <w:szCs w:val="17"/>
              </w:rPr>
            </w:pPr>
            <w:r>
              <w:pict>
                <v:shape id="_x0000_s1074" o:spid="_x0000_s1074" o:spt="202" type="#_x0000_t202" style="position:absolute;left:0pt;margin-left:67pt;margin-top:-3.5pt;height:11.4pt;width:106pt;z-index:251684864;mso-width-relative:page;mso-height-relative:page;" filled="f" stroked="f" coordsize="21600,21600">
                  <v:path/>
                  <v:fill on="f" focussize="0,0"/>
                  <v:stroke on="f"/>
                  <v:imagedata o:title=""/>
                  <o:lock v:ext="edit" aspectratio="f"/>
                  <v:textbox inset="0mm,0mm,0mm,0mm">
                    <w:txbxContent>
                      <w:p w14:paraId="7CAD8166">
                        <w:pPr>
                          <w:pStyle w:val="6"/>
                          <w:spacing w:before="19" w:line="204" w:lineRule="auto"/>
                          <w:ind w:left="20"/>
                          <w:rPr>
                            <w:sz w:val="17"/>
                            <w:szCs w:val="17"/>
                          </w:rPr>
                        </w:pPr>
                        <w:r>
                          <w:rPr>
                            <w:sz w:val="17"/>
                            <w:szCs w:val="17"/>
                            <w:u w:val="single" w:color="auto"/>
                          </w:rPr>
                          <w:t>直流电</w:t>
                        </w:r>
                        <w:r>
                          <w:rPr>
                            <w:spacing w:val="2"/>
                            <w:sz w:val="17"/>
                            <w:szCs w:val="17"/>
                          </w:rPr>
                          <w:t xml:space="preserve">            </w:t>
                        </w:r>
                        <w:r>
                          <w:rPr>
                            <w:spacing w:val="-71"/>
                            <w:sz w:val="17"/>
                            <w:szCs w:val="17"/>
                            <w:u w:val="single" w:color="auto"/>
                          </w:rPr>
                          <w:t xml:space="preserve"> </w:t>
                        </w:r>
                        <w:r>
                          <w:rPr>
                            <w:sz w:val="17"/>
                            <w:szCs w:val="17"/>
                            <w:u w:val="single" w:color="auto"/>
                          </w:rPr>
                          <w:t>交流电</w:t>
                        </w:r>
                      </w:p>
                    </w:txbxContent>
                  </v:textbox>
                </v:shape>
              </w:pict>
            </w:r>
            <w:r>
              <w:rPr>
                <w:position w:val="1"/>
                <w:sz w:val="17"/>
                <w:szCs w:val="17"/>
                <w:u w:val="single" w:color="auto"/>
              </w:rPr>
              <w:t>太阳能组件</w:t>
            </w:r>
            <w:r>
              <w:rPr>
                <w:position w:val="1"/>
                <w:sz w:val="17"/>
                <w:szCs w:val="17"/>
              </w:rPr>
              <w:t xml:space="preserve">           </w:t>
            </w:r>
            <w:r>
              <w:rPr>
                <w:spacing w:val="-80"/>
                <w:sz w:val="17"/>
                <w:szCs w:val="17"/>
                <w:u w:val="single" w:color="auto"/>
              </w:rPr>
              <w:t xml:space="preserve"> </w:t>
            </w:r>
            <w:r>
              <w:rPr>
                <w:sz w:val="17"/>
                <w:szCs w:val="17"/>
                <w:u w:val="single" w:color="auto"/>
              </w:rPr>
              <w:t>逆变器</w:t>
            </w:r>
            <w:r>
              <w:rPr>
                <w:sz w:val="17"/>
                <w:szCs w:val="17"/>
              </w:rPr>
              <w:t xml:space="preserve">          </w:t>
            </w:r>
            <w:r>
              <w:rPr>
                <w:position w:val="-1"/>
                <w:sz w:val="17"/>
                <w:szCs w:val="17"/>
                <w:u w:val="single" w:color="auto"/>
              </w:rPr>
              <w:t xml:space="preserve"> </w:t>
            </w:r>
            <w:r>
              <w:rPr>
                <w:spacing w:val="-1"/>
                <w:position w:val="-1"/>
                <w:sz w:val="17"/>
                <w:szCs w:val="17"/>
                <w:u w:val="single" w:color="auto"/>
              </w:rPr>
              <w:t xml:space="preserve">  箱变</w:t>
            </w:r>
            <w:r>
              <w:rPr>
                <w:spacing w:val="-76"/>
                <w:position w:val="-1"/>
                <w:sz w:val="17"/>
                <w:szCs w:val="17"/>
              </w:rPr>
              <w:t xml:space="preserve"> </w:t>
            </w:r>
            <w:r>
              <w:rPr>
                <w:spacing w:val="35"/>
                <w:position w:val="-1"/>
                <w:sz w:val="17"/>
                <w:szCs w:val="17"/>
                <w:u w:val="single" w:color="auto"/>
              </w:rPr>
              <w:t xml:space="preserve">  </w:t>
            </w:r>
            <w:r>
              <w:rPr>
                <w:spacing w:val="10"/>
                <w:position w:val="-1"/>
                <w:sz w:val="17"/>
                <w:szCs w:val="17"/>
              </w:rPr>
              <w:t xml:space="preserve">    </w:t>
            </w:r>
            <w:r>
              <w:rPr>
                <w:spacing w:val="-75"/>
                <w:sz w:val="17"/>
                <w:szCs w:val="17"/>
                <w:u w:val="single" w:color="auto"/>
              </w:rPr>
              <w:t xml:space="preserve"> </w:t>
            </w:r>
            <w:r>
              <w:rPr>
                <w:spacing w:val="-1"/>
                <w:sz w:val="17"/>
                <w:szCs w:val="17"/>
                <w:u w:val="single" w:color="auto"/>
              </w:rPr>
              <w:t>集电线路</w:t>
            </w:r>
            <w:r>
              <w:rPr>
                <w:spacing w:val="3"/>
                <w:sz w:val="17"/>
                <w:szCs w:val="17"/>
              </w:rPr>
              <w:t xml:space="preserve">       </w:t>
            </w:r>
            <w:r>
              <w:rPr>
                <w:spacing w:val="-75"/>
                <w:sz w:val="17"/>
                <w:szCs w:val="17"/>
                <w:u w:val="single" w:color="auto"/>
              </w:rPr>
              <w:t xml:space="preserve"> </w:t>
            </w:r>
            <w:r>
              <w:rPr>
                <w:spacing w:val="-1"/>
                <w:sz w:val="17"/>
                <w:szCs w:val="17"/>
                <w:u w:val="single" w:color="auto"/>
              </w:rPr>
              <w:t>升压站</w:t>
            </w:r>
            <w:r>
              <w:rPr>
                <w:spacing w:val="-1"/>
                <w:sz w:val="17"/>
                <w:szCs w:val="17"/>
              </w:rPr>
              <w:t xml:space="preserve">        </w:t>
            </w:r>
            <w:r>
              <w:rPr>
                <w:spacing w:val="-1"/>
                <w:position w:val="-1"/>
                <w:sz w:val="17"/>
                <w:szCs w:val="17"/>
              </w:rPr>
              <w:t>送出接入电网</w:t>
            </w:r>
          </w:p>
          <w:p w14:paraId="66FCA343">
            <w:pPr>
              <w:spacing w:line="339" w:lineRule="auto"/>
              <w:rPr>
                <w:rFonts w:ascii="Arial"/>
                <w:sz w:val="21"/>
              </w:rPr>
            </w:pPr>
          </w:p>
          <w:p w14:paraId="49014C20">
            <w:pPr>
              <w:pStyle w:val="6"/>
              <w:spacing w:before="55" w:line="168" w:lineRule="auto"/>
              <w:ind w:left="6770"/>
              <w:rPr>
                <w:sz w:val="17"/>
                <w:szCs w:val="17"/>
              </w:rPr>
            </w:pPr>
            <w:r>
              <w:rPr>
                <w:spacing w:val="-1"/>
                <w:sz w:val="17"/>
                <w:szCs w:val="17"/>
              </w:rPr>
              <w:t>润滑油、变压器</w:t>
            </w:r>
          </w:p>
          <w:p w14:paraId="449B8244">
            <w:pPr>
              <w:pStyle w:val="6"/>
              <w:spacing w:line="224" w:lineRule="auto"/>
              <w:ind w:left="441"/>
              <w:rPr>
                <w:sz w:val="17"/>
                <w:szCs w:val="17"/>
              </w:rPr>
            </w:pPr>
            <w:r>
              <w:rPr>
                <w:spacing w:val="2"/>
                <w:sz w:val="17"/>
                <w:szCs w:val="17"/>
              </w:rPr>
              <w:t xml:space="preserve">清洗废水                  </w:t>
            </w:r>
            <w:r>
              <w:rPr>
                <w:spacing w:val="1"/>
                <w:sz w:val="17"/>
                <w:szCs w:val="17"/>
              </w:rPr>
              <w:t xml:space="preserve">          </w:t>
            </w:r>
            <w:r>
              <w:rPr>
                <w:spacing w:val="1"/>
                <w:position w:val="3"/>
                <w:sz w:val="17"/>
                <w:szCs w:val="17"/>
              </w:rPr>
              <w:t xml:space="preserve">废变压器油          </w:t>
            </w:r>
            <w:r>
              <w:rPr>
                <w:spacing w:val="1"/>
                <w:position w:val="2"/>
                <w:sz w:val="17"/>
                <w:szCs w:val="17"/>
              </w:rPr>
              <w:t>生活垃圾生活污水</w:t>
            </w:r>
            <w:r>
              <w:rPr>
                <w:spacing w:val="33"/>
                <w:position w:val="2"/>
                <w:sz w:val="17"/>
                <w:szCs w:val="17"/>
              </w:rPr>
              <w:t xml:space="preserve"> </w:t>
            </w:r>
            <w:r>
              <w:rPr>
                <w:spacing w:val="1"/>
                <w:position w:val="-5"/>
                <w:sz w:val="17"/>
                <w:szCs w:val="17"/>
              </w:rPr>
              <w:t>油、铅蓄电池</w:t>
            </w:r>
          </w:p>
          <w:p w14:paraId="77FB3F6C">
            <w:pPr>
              <w:pStyle w:val="6"/>
              <w:spacing w:before="269" w:line="184" w:lineRule="auto"/>
              <w:ind w:left="290"/>
              <w:rPr>
                <w:sz w:val="17"/>
                <w:szCs w:val="17"/>
              </w:rPr>
            </w:pPr>
            <w:r>
              <w:rPr>
                <w:sz w:val="17"/>
                <w:szCs w:val="17"/>
              </w:rPr>
              <w:t xml:space="preserve">板下植物浇洒                         </w:t>
            </w:r>
            <w:r>
              <w:rPr>
                <w:position w:val="1"/>
                <w:sz w:val="17"/>
                <w:szCs w:val="17"/>
              </w:rPr>
              <w:t xml:space="preserve">交有资质的单          </w:t>
            </w:r>
            <w:r>
              <w:rPr>
                <w:sz w:val="17"/>
                <w:szCs w:val="17"/>
              </w:rPr>
              <w:t xml:space="preserve">环卫部   </w:t>
            </w:r>
            <w:r>
              <w:rPr>
                <w:position w:val="1"/>
                <w:sz w:val="17"/>
                <w:szCs w:val="17"/>
              </w:rPr>
              <w:t>处理后</w:t>
            </w:r>
            <w:r>
              <w:rPr>
                <w:spacing w:val="20"/>
                <w:position w:val="1"/>
                <w:sz w:val="17"/>
                <w:szCs w:val="17"/>
              </w:rPr>
              <w:t xml:space="preserve">    </w:t>
            </w:r>
            <w:r>
              <w:rPr>
                <w:position w:val="-2"/>
                <w:sz w:val="17"/>
                <w:szCs w:val="17"/>
              </w:rPr>
              <w:t>交有资质的</w:t>
            </w:r>
          </w:p>
          <w:p w14:paraId="72AAA4A2">
            <w:pPr>
              <w:pStyle w:val="6"/>
              <w:spacing w:line="164" w:lineRule="exact"/>
              <w:ind w:left="3700"/>
              <w:rPr>
                <w:sz w:val="17"/>
                <w:szCs w:val="17"/>
              </w:rPr>
            </w:pPr>
            <w:r>
              <w:rPr>
                <w:spacing w:val="-4"/>
                <w:position w:val="-1"/>
                <w:sz w:val="17"/>
                <w:szCs w:val="17"/>
              </w:rPr>
              <w:t>位处置</w:t>
            </w:r>
            <w:r>
              <w:rPr>
                <w:spacing w:val="3"/>
                <w:position w:val="-1"/>
                <w:sz w:val="17"/>
                <w:szCs w:val="17"/>
              </w:rPr>
              <w:t xml:space="preserve">             </w:t>
            </w:r>
            <w:r>
              <w:rPr>
                <w:spacing w:val="-4"/>
                <w:position w:val="-1"/>
                <w:sz w:val="17"/>
                <w:szCs w:val="17"/>
              </w:rPr>
              <w:t>门清运</w:t>
            </w:r>
            <w:r>
              <w:rPr>
                <w:spacing w:val="10"/>
                <w:position w:val="-1"/>
                <w:sz w:val="17"/>
                <w:szCs w:val="17"/>
              </w:rPr>
              <w:t xml:space="preserve">   </w:t>
            </w:r>
            <w:r>
              <w:rPr>
                <w:spacing w:val="-4"/>
                <w:position w:val="-1"/>
                <w:sz w:val="17"/>
                <w:szCs w:val="17"/>
              </w:rPr>
              <w:t>回</w:t>
            </w:r>
            <w:r>
              <w:rPr>
                <w:spacing w:val="-33"/>
                <w:position w:val="-1"/>
                <w:sz w:val="17"/>
                <w:szCs w:val="17"/>
              </w:rPr>
              <w:t xml:space="preserve"> </w:t>
            </w:r>
            <w:r>
              <w:rPr>
                <w:spacing w:val="-4"/>
                <w:position w:val="-1"/>
                <w:sz w:val="17"/>
                <w:szCs w:val="17"/>
              </w:rPr>
              <w:t>用</w:t>
            </w:r>
            <w:r>
              <w:rPr>
                <w:spacing w:val="11"/>
                <w:position w:val="-1"/>
                <w:sz w:val="17"/>
                <w:szCs w:val="17"/>
              </w:rPr>
              <w:t xml:space="preserve">      </w:t>
            </w:r>
            <w:r>
              <w:rPr>
                <w:spacing w:val="-4"/>
                <w:position w:val="-5"/>
                <w:sz w:val="17"/>
                <w:szCs w:val="17"/>
              </w:rPr>
              <w:t>单位处置</w:t>
            </w:r>
          </w:p>
        </w:tc>
      </w:tr>
      <w:tr w14:paraId="37DB3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2" w:hRule="atLeast"/>
        </w:trPr>
        <w:tc>
          <w:tcPr>
            <w:tcW w:w="384" w:type="dxa"/>
            <w:tcBorders>
              <w:top w:val="nil"/>
            </w:tcBorders>
            <w:textDirection w:val="tbRlV"/>
            <w:vAlign w:val="top"/>
          </w:tcPr>
          <w:p w14:paraId="748685D6">
            <w:pPr>
              <w:pStyle w:val="6"/>
              <w:spacing w:before="129" w:line="199" w:lineRule="auto"/>
              <w:ind w:left="26"/>
            </w:pPr>
            <w:r>
              <w:t>响</w:t>
            </w:r>
            <w:r>
              <w:rPr>
                <w:spacing w:val="-42"/>
              </w:rPr>
              <w:t xml:space="preserve"> </w:t>
            </w:r>
            <w:r>
              <w:t>分</w:t>
            </w:r>
            <w:r>
              <w:rPr>
                <w:spacing w:val="-42"/>
              </w:rPr>
              <w:t xml:space="preserve"> </w:t>
            </w:r>
            <w:r>
              <w:t>析</w:t>
            </w:r>
          </w:p>
        </w:tc>
        <w:tc>
          <w:tcPr>
            <w:tcW w:w="8585" w:type="dxa"/>
            <w:tcBorders>
              <w:top w:val="nil"/>
            </w:tcBorders>
            <w:vAlign w:val="top"/>
          </w:tcPr>
          <w:p w14:paraId="45AAF8F3">
            <w:pPr>
              <w:spacing w:line="340" w:lineRule="auto"/>
              <w:rPr>
                <w:rFonts w:ascii="Arial"/>
                <w:sz w:val="21"/>
              </w:rPr>
            </w:pPr>
          </w:p>
          <w:p w14:paraId="0087784A">
            <w:pPr>
              <w:pStyle w:val="6"/>
              <w:spacing w:before="71" w:line="219" w:lineRule="auto"/>
              <w:ind w:left="2674"/>
              <w:rPr>
                <w:sz w:val="22"/>
                <w:szCs w:val="22"/>
              </w:rPr>
            </w:pPr>
            <w:r>
              <w:rPr>
                <w:b/>
                <w:bCs/>
                <w:spacing w:val="28"/>
                <w:sz w:val="22"/>
                <w:szCs w:val="22"/>
              </w:rPr>
              <w:t>图4</w:t>
            </w:r>
            <w:r>
              <w:rPr>
                <w:spacing w:val="-48"/>
                <w:sz w:val="22"/>
                <w:szCs w:val="22"/>
              </w:rPr>
              <w:t xml:space="preserve"> </w:t>
            </w:r>
            <w:r>
              <w:rPr>
                <w:b/>
                <w:bCs/>
                <w:spacing w:val="28"/>
                <w:sz w:val="22"/>
                <w:szCs w:val="22"/>
              </w:rPr>
              <w:t>-</w:t>
            </w:r>
            <w:r>
              <w:rPr>
                <w:spacing w:val="-55"/>
                <w:sz w:val="22"/>
                <w:szCs w:val="22"/>
              </w:rPr>
              <w:t xml:space="preserve"> </w:t>
            </w:r>
            <w:r>
              <w:rPr>
                <w:b/>
                <w:bCs/>
                <w:spacing w:val="28"/>
                <w:sz w:val="22"/>
                <w:szCs w:val="22"/>
              </w:rPr>
              <w:t>2运营期产污环节示意图</w:t>
            </w:r>
          </w:p>
          <w:p w14:paraId="40D4EE9E">
            <w:pPr>
              <w:spacing w:line="256" w:lineRule="auto"/>
              <w:rPr>
                <w:rFonts w:ascii="Arial"/>
                <w:sz w:val="21"/>
              </w:rPr>
            </w:pPr>
          </w:p>
          <w:p w14:paraId="75DBE443">
            <w:pPr>
              <w:pStyle w:val="6"/>
              <w:spacing w:before="72" w:line="220" w:lineRule="auto"/>
              <w:ind w:left="114"/>
              <w:rPr>
                <w:sz w:val="22"/>
                <w:szCs w:val="22"/>
              </w:rPr>
            </w:pPr>
            <w:r>
              <w:rPr>
                <w:b/>
                <w:bCs/>
                <w:spacing w:val="-4"/>
                <w:sz w:val="22"/>
                <w:szCs w:val="22"/>
              </w:rPr>
              <w:t>二、运营期生态环境影响分析</w:t>
            </w:r>
          </w:p>
          <w:p w14:paraId="20E67356">
            <w:pPr>
              <w:pStyle w:val="6"/>
              <w:spacing w:before="217" w:line="219" w:lineRule="auto"/>
              <w:ind w:left="544"/>
              <w:rPr>
                <w:sz w:val="22"/>
                <w:szCs w:val="22"/>
              </w:rPr>
            </w:pPr>
            <w:r>
              <w:rPr>
                <w:b/>
                <w:bCs/>
                <w:spacing w:val="-2"/>
                <w:sz w:val="22"/>
                <w:szCs w:val="22"/>
              </w:rPr>
              <w:t>1、对植物资源影响</w:t>
            </w:r>
          </w:p>
          <w:p w14:paraId="365AFD47">
            <w:pPr>
              <w:pStyle w:val="6"/>
              <w:spacing w:before="189" w:line="377" w:lineRule="auto"/>
              <w:ind w:left="120" w:right="761" w:firstLine="419"/>
            </w:pPr>
            <w:r>
              <w:rPr>
                <w:sz w:val="22"/>
                <w:szCs w:val="22"/>
              </w:rPr>
              <w:t>项目建成后会架起大量的太阳能光伏组件，太阳能光伏组件遮挡形成的遮荫</w:t>
            </w:r>
            <w:r>
              <w:rPr>
                <w:spacing w:val="11"/>
                <w:sz w:val="22"/>
                <w:szCs w:val="22"/>
              </w:rPr>
              <w:t xml:space="preserve"> </w:t>
            </w:r>
            <w:r>
              <w:t>作用会对区域内的植物造成一定的影响，主要表现在以下几个方面：</w:t>
            </w:r>
          </w:p>
          <w:p w14:paraId="32C8E13A">
            <w:pPr>
              <w:pStyle w:val="6"/>
              <w:spacing w:line="217" w:lineRule="auto"/>
              <w:ind w:left="610"/>
              <w:rPr>
                <w:sz w:val="22"/>
                <w:szCs w:val="22"/>
              </w:rPr>
            </w:pPr>
            <w:r>
              <w:rPr>
                <w:sz w:val="22"/>
                <w:szCs w:val="22"/>
              </w:rPr>
              <w:t>①对植物光合作用的影响：植物的生存和生长离不开光</w:t>
            </w:r>
            <w:r>
              <w:rPr>
                <w:spacing w:val="-1"/>
                <w:sz w:val="22"/>
                <w:szCs w:val="22"/>
              </w:rPr>
              <w:t>合作用，对阳生植物</w:t>
            </w:r>
          </w:p>
        </w:tc>
      </w:tr>
    </w:tbl>
    <w:p w14:paraId="758DB3AA">
      <w:pPr>
        <w:pStyle w:val="2"/>
      </w:pPr>
    </w:p>
    <w:p w14:paraId="770C84FC">
      <w:pPr>
        <w:sectPr>
          <w:footerReference r:id="rId93" w:type="default"/>
          <w:pgSz w:w="11910" w:h="16840"/>
          <w:pgMar w:top="1431" w:right="1475" w:bottom="1284" w:left="1455" w:header="0" w:footer="1051" w:gutter="0"/>
          <w:cols w:space="720" w:num="1"/>
        </w:sectPr>
      </w:pPr>
    </w:p>
    <w:p w14:paraId="2A467A48">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4D7D7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5BCFE9A8">
            <w:pPr>
              <w:rPr>
                <w:rFonts w:ascii="Arial"/>
                <w:sz w:val="21"/>
              </w:rPr>
            </w:pPr>
          </w:p>
        </w:tc>
        <w:tc>
          <w:tcPr>
            <w:tcW w:w="8556" w:type="dxa"/>
            <w:vAlign w:val="top"/>
          </w:tcPr>
          <w:p w14:paraId="091F1F53">
            <w:pPr>
              <w:pStyle w:val="6"/>
              <w:spacing w:before="13" w:line="219" w:lineRule="auto"/>
              <w:jc w:val="right"/>
            </w:pPr>
            <w:r>
              <w:rPr>
                <w:spacing w:val="-6"/>
              </w:rPr>
              <w:t>而言，这种影响表现得更为突出，会使植物的生长处在一个不良的环境条件之中；</w:t>
            </w:r>
          </w:p>
          <w:p w14:paraId="6F9ECE40">
            <w:pPr>
              <w:pStyle w:val="6"/>
              <w:spacing w:before="175" w:line="291" w:lineRule="auto"/>
              <w:ind w:left="90" w:right="52" w:firstLine="489"/>
            </w:pPr>
            <w:r>
              <w:t>②对植物水分利用效率的影响：由于缺乏必要的光照，</w:t>
            </w:r>
            <w:r>
              <w:rPr>
                <w:spacing w:val="-1"/>
              </w:rPr>
              <w:t>植物的生长异常缓慢</w:t>
            </w:r>
            <w:r>
              <w:t xml:space="preserve"> </w:t>
            </w:r>
            <w:r>
              <w:rPr>
                <w:spacing w:val="5"/>
              </w:rPr>
              <w:t>甚至停滞，这样一来，大大减少了植物对水</w:t>
            </w:r>
            <w:r>
              <w:rPr>
                <w:spacing w:val="4"/>
              </w:rPr>
              <w:t>的利用效率；</w:t>
            </w:r>
          </w:p>
          <w:p w14:paraId="00221979">
            <w:pPr>
              <w:pStyle w:val="6"/>
              <w:spacing w:before="182" w:line="287" w:lineRule="auto"/>
              <w:ind w:left="90" w:right="52" w:firstLine="489"/>
            </w:pPr>
            <w:r>
              <w:t>③由于受遮盖后小环境的影响，阳生植物的生境质量大</w:t>
            </w:r>
            <w:r>
              <w:rPr>
                <w:spacing w:val="-1"/>
              </w:rPr>
              <w:t>大降低，但同时又为</w:t>
            </w:r>
            <w:r>
              <w:t xml:space="preserve"> 阴生植物提供了大量适宜的生境。</w:t>
            </w:r>
          </w:p>
          <w:p w14:paraId="0A2B6B4C">
            <w:pPr>
              <w:pStyle w:val="6"/>
              <w:spacing w:before="181" w:line="361" w:lineRule="auto"/>
              <w:ind w:left="100" w:right="3" w:firstLine="489"/>
              <w:jc w:val="both"/>
            </w:pPr>
            <w:r>
              <w:t>根据现场踏勘了解，项目评价范围内植被类型主要为暖温性稀树灌木草</w:t>
            </w:r>
            <w:r>
              <w:rPr>
                <w:spacing w:val="-1"/>
              </w:rPr>
              <w:t>丛，</w:t>
            </w:r>
            <w:r>
              <w:t xml:space="preserve"> </w:t>
            </w:r>
            <w:r>
              <w:rPr>
                <w:spacing w:val="1"/>
              </w:rPr>
              <w:t>人工植被主要为桉树等，项目占地范围内主要植被为暖温性灌丛</w:t>
            </w:r>
            <w:r>
              <w:t xml:space="preserve">和草地。项目运 </w:t>
            </w:r>
            <w:r>
              <w:rPr>
                <w:spacing w:val="1"/>
              </w:rPr>
              <w:t>营期受影响的植物均为常见种，无珍稀濒危物种，受影响的植物在周</w:t>
            </w:r>
            <w:r>
              <w:t xml:space="preserve">边区域广泛 </w:t>
            </w:r>
            <w:r>
              <w:rPr>
                <w:spacing w:val="1"/>
              </w:rPr>
              <w:t>分布，项目运行不会造成物种的濒危，不会造成物种的消失。项目运营后，</w:t>
            </w:r>
            <w:r>
              <w:t xml:space="preserve">因农 </w:t>
            </w:r>
            <w:r>
              <w:rPr>
                <w:spacing w:val="1"/>
              </w:rPr>
              <w:t>光互补的特殊性，种植低矮、阴生农作物，根</w:t>
            </w:r>
            <w:r>
              <w:t xml:space="preserve">据建设方提供的可研设计资料，设 计阶段光伏支架已考虑按最低离地2.5m、桩基间列间距大于4m、行间距大于6.5m </w:t>
            </w:r>
            <w:r>
              <w:rPr>
                <w:spacing w:val="1"/>
              </w:rPr>
              <w:t>的架设要求进行设计。可满足本项目拟种植的植被生长高度要求，为植生长保留</w:t>
            </w:r>
            <w:r>
              <w:rPr>
                <w:spacing w:val="5"/>
              </w:rPr>
              <w:t xml:space="preserve"> </w:t>
            </w:r>
            <w:r>
              <w:t>了一定空间，根据项目可研，光伏板支架下方种植金银花，金银花为喜阴植物，</w:t>
            </w:r>
            <w:r>
              <w:rPr>
                <w:spacing w:val="18"/>
              </w:rPr>
              <w:t xml:space="preserve"> </w:t>
            </w:r>
            <w:r>
              <w:rPr>
                <w:spacing w:val="1"/>
              </w:rPr>
              <w:t>耐瘠薄，对土壤要求不严格，金银花耐干旱，对</w:t>
            </w:r>
            <w:r>
              <w:t xml:space="preserve">水分要求不十分严格。故光伏支 </w:t>
            </w:r>
            <w:r>
              <w:rPr>
                <w:spacing w:val="-1"/>
              </w:rPr>
              <w:t>架植被的影响可接受。</w:t>
            </w:r>
          </w:p>
          <w:p w14:paraId="6866DDB7">
            <w:pPr>
              <w:pStyle w:val="6"/>
              <w:spacing w:line="220" w:lineRule="auto"/>
              <w:ind w:left="514"/>
            </w:pPr>
            <w:r>
              <w:rPr>
                <w:b/>
                <w:bCs/>
                <w:spacing w:val="-1"/>
              </w:rPr>
              <w:t>2、对动物影响</w:t>
            </w:r>
          </w:p>
          <w:p w14:paraId="285A757A">
            <w:pPr>
              <w:pStyle w:val="6"/>
              <w:spacing w:before="178" w:line="360" w:lineRule="auto"/>
              <w:ind w:left="90" w:right="7" w:firstLine="499"/>
              <w:jc w:val="both"/>
            </w:pPr>
            <w:r>
              <w:t>项目运营期对野生动物的影响主要体现在机械噪声、电池板光反射对野生动</w:t>
            </w:r>
            <w:r>
              <w:rPr>
                <w:spacing w:val="15"/>
              </w:rPr>
              <w:t xml:space="preserve"> </w:t>
            </w:r>
            <w:r>
              <w:rPr>
                <w:spacing w:val="1"/>
              </w:rPr>
              <w:t>物繁殖的影响。本项目建成后，光伏列阵的支架等占用地面，将减少地面动物的</w:t>
            </w:r>
            <w:r>
              <w:rPr>
                <w:spacing w:val="2"/>
              </w:rPr>
              <w:t xml:space="preserve"> </w:t>
            </w:r>
            <w:r>
              <w:t>活动区域，但围栏遮挡以及支架使用的面积较小，影响范围小；本项目声源</w:t>
            </w:r>
            <w:r>
              <w:rPr>
                <w:spacing w:val="-1"/>
              </w:rPr>
              <w:t>少，</w:t>
            </w:r>
            <w:r>
              <w:t xml:space="preserve"> </w:t>
            </w:r>
            <w:r>
              <w:rPr>
                <w:spacing w:val="1"/>
              </w:rPr>
              <w:t>噪声值较低，噪声源产生的噪声经距离衰减后，不会对地面上动物的日常</w:t>
            </w:r>
            <w:r>
              <w:t xml:space="preserve">迁徙及 </w:t>
            </w:r>
            <w:r>
              <w:rPr>
                <w:spacing w:val="1"/>
              </w:rPr>
              <w:t>鸟类正常活动造成影响；现场维护和检修等工作均在昼间进行，避免影响周边动</w:t>
            </w:r>
            <w:r>
              <w:rPr>
                <w:spacing w:val="11"/>
              </w:rPr>
              <w:t xml:space="preserve"> </w:t>
            </w:r>
            <w:r>
              <w:rPr>
                <w:spacing w:val="1"/>
              </w:rPr>
              <w:t>物夜间正常活动。电池板光反射有一定的角度及高度，且陆地野生动物及空中鸟</w:t>
            </w:r>
            <w:r>
              <w:rPr>
                <w:spacing w:val="4"/>
              </w:rPr>
              <w:t xml:space="preserve"> </w:t>
            </w:r>
            <w:r>
              <w:rPr>
                <w:spacing w:val="1"/>
              </w:rPr>
              <w:t>类有一定的行动能力可通过移动，避让反射光对它们的影响。因此，项目运营不</w:t>
            </w:r>
            <w:r>
              <w:rPr>
                <w:spacing w:val="7"/>
              </w:rPr>
              <w:t xml:space="preserve"> </w:t>
            </w:r>
            <w:r>
              <w:rPr>
                <w:spacing w:val="1"/>
              </w:rPr>
              <w:t>会对项目所在区域内野生动物的日常迁徙和</w:t>
            </w:r>
            <w:r>
              <w:t>活动造成明显影响。</w:t>
            </w:r>
          </w:p>
          <w:p w14:paraId="5E8CE30C">
            <w:pPr>
              <w:pStyle w:val="6"/>
              <w:spacing w:line="219" w:lineRule="auto"/>
              <w:ind w:left="504"/>
            </w:pPr>
            <w:r>
              <w:rPr>
                <w:b/>
                <w:bCs/>
                <w:spacing w:val="-1"/>
              </w:rPr>
              <w:t>3、水土流失影响</w:t>
            </w:r>
          </w:p>
          <w:p w14:paraId="3DFDAB00">
            <w:pPr>
              <w:pStyle w:val="6"/>
              <w:spacing w:before="178" w:line="347" w:lineRule="auto"/>
              <w:ind w:left="100" w:firstLine="482"/>
            </w:pPr>
            <w:r>
              <w:rPr>
                <w:spacing w:val="-3"/>
              </w:rPr>
              <w:t>项目投入运行后，其水土流失防护工程也完成并开始发挥作用，可有效控制</w:t>
            </w:r>
            <w:r>
              <w:t xml:space="preserve">  </w:t>
            </w:r>
            <w:r>
              <w:rPr>
                <w:spacing w:val="-3"/>
              </w:rPr>
              <w:t>项目建设引起的水土流失。光伏板区域采取种植农作物，有保持水土的功</w:t>
            </w:r>
            <w:r>
              <w:rPr>
                <w:spacing w:val="-4"/>
              </w:rPr>
              <w:t>效，但</w:t>
            </w:r>
            <w:r>
              <w:t xml:space="preserve">  </w:t>
            </w:r>
            <w:r>
              <w:rPr>
                <w:spacing w:val="-3"/>
              </w:rPr>
              <w:t>是项目部分区域采用植物措施，临时占地范围内的植被恢复一般在3年内才</w:t>
            </w:r>
            <w:r>
              <w:rPr>
                <w:spacing w:val="-4"/>
              </w:rPr>
              <w:t>能逐</w:t>
            </w:r>
            <w:r>
              <w:t xml:space="preserve">   </w:t>
            </w:r>
            <w:r>
              <w:rPr>
                <w:spacing w:val="-5"/>
              </w:rPr>
              <w:t>步稳定，达到较好的水土保持效果。在水土保</w:t>
            </w:r>
            <w:r>
              <w:rPr>
                <w:spacing w:val="-6"/>
              </w:rPr>
              <w:t>持工程和植物措施有效发挥作用后，</w:t>
            </w:r>
          </w:p>
        </w:tc>
      </w:tr>
    </w:tbl>
    <w:p w14:paraId="5CE24235">
      <w:pPr>
        <w:pStyle w:val="2"/>
      </w:pPr>
    </w:p>
    <w:p w14:paraId="31066B29">
      <w:pPr>
        <w:sectPr>
          <w:footerReference r:id="rId94" w:type="default"/>
          <w:pgSz w:w="11910" w:h="16840"/>
          <w:pgMar w:top="1431" w:right="1484" w:bottom="1255" w:left="1445" w:header="0" w:footer="1093" w:gutter="0"/>
          <w:cols w:space="720" w:num="1"/>
        </w:sectPr>
      </w:pPr>
    </w:p>
    <w:p w14:paraId="0C0E7E18">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70383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5A655664">
            <w:pPr>
              <w:rPr>
                <w:rFonts w:ascii="Arial"/>
                <w:sz w:val="21"/>
              </w:rPr>
            </w:pPr>
          </w:p>
        </w:tc>
        <w:tc>
          <w:tcPr>
            <w:tcW w:w="8556" w:type="dxa"/>
            <w:vAlign w:val="top"/>
          </w:tcPr>
          <w:p w14:paraId="724ABFCA">
            <w:pPr>
              <w:pStyle w:val="6"/>
              <w:spacing w:before="13" w:line="358" w:lineRule="auto"/>
              <w:ind w:left="100" w:right="23" w:firstLine="10"/>
              <w:jc w:val="both"/>
            </w:pPr>
            <w:r>
              <w:t>项目区内的水土流失可得到完全控制，项目建设区的水土流失可达到轻度以下水</w:t>
            </w:r>
            <w:r>
              <w:rPr>
                <w:spacing w:val="10"/>
              </w:rPr>
              <w:t xml:space="preserve"> </w:t>
            </w:r>
            <w:r>
              <w:t>平，工程建设造成的水土流失可得到基本治理，并使工程占地区域内水土流失状 况得到明显改善。因此，项目运营期不会引起不良的水土流</w:t>
            </w:r>
            <w:r>
              <w:rPr>
                <w:spacing w:val="-1"/>
              </w:rPr>
              <w:t>失。</w:t>
            </w:r>
          </w:p>
          <w:p w14:paraId="5250AAF3">
            <w:pPr>
              <w:pStyle w:val="6"/>
              <w:spacing w:before="1" w:line="217" w:lineRule="auto"/>
              <w:ind w:left="574"/>
            </w:pPr>
            <w:r>
              <w:rPr>
                <w:b/>
                <w:bCs/>
                <w:spacing w:val="-3"/>
              </w:rPr>
              <w:t>4、项目运行对评价区生态保护红线的影响分析</w:t>
            </w:r>
          </w:p>
          <w:p w14:paraId="776A6F2E">
            <w:pPr>
              <w:pStyle w:val="6"/>
              <w:spacing w:before="180" w:line="219" w:lineRule="auto"/>
              <w:ind w:left="590"/>
            </w:pPr>
            <w:r>
              <w:t>本项目运营期对生态保护红线区的影响主要是光伏电站工作人员在日常的</w:t>
            </w:r>
          </w:p>
          <w:p w14:paraId="41A3E6CA">
            <w:pPr>
              <w:pStyle w:val="6"/>
              <w:spacing w:before="185" w:line="362" w:lineRule="auto"/>
              <w:ind w:left="90" w:right="15" w:firstLine="20"/>
            </w:pPr>
            <w:r>
              <w:t>管理活动中可能进入生态保护红线区范围内活动，对生态保护红线区内的植被和</w:t>
            </w:r>
            <w:r>
              <w:rPr>
                <w:spacing w:val="18"/>
              </w:rPr>
              <w:t xml:space="preserve"> </w:t>
            </w:r>
            <w:r>
              <w:t xml:space="preserve">植物造成干扰和破坏。因此，项目运营期建设单位须对电站工作人员加强管理， </w:t>
            </w:r>
            <w:r>
              <w:rPr>
                <w:spacing w:val="1"/>
              </w:rPr>
              <w:t>在项目区周边设置生态保护警示牌，告知工作人员生态保护红线区的位置及范</w:t>
            </w:r>
          </w:p>
          <w:p w14:paraId="222F2E95">
            <w:pPr>
              <w:pStyle w:val="6"/>
              <w:spacing w:before="8" w:line="356" w:lineRule="auto"/>
              <w:ind w:left="90" w:right="12" w:firstLine="30"/>
            </w:pPr>
            <w:r>
              <w:t>围，尽量减少工作人员进入生态保护红线区内活动。若此，则项目运营期对生态</w:t>
            </w:r>
            <w:r>
              <w:rPr>
                <w:spacing w:val="11"/>
              </w:rPr>
              <w:t xml:space="preserve"> </w:t>
            </w:r>
            <w:r>
              <w:rPr>
                <w:spacing w:val="-1"/>
              </w:rPr>
              <w:t>保护红线区植被、植物影响较小。</w:t>
            </w:r>
          </w:p>
          <w:p w14:paraId="2860B5DB">
            <w:pPr>
              <w:pStyle w:val="6"/>
              <w:spacing w:before="2" w:line="219" w:lineRule="auto"/>
              <w:ind w:left="514"/>
            </w:pPr>
            <w:r>
              <w:rPr>
                <w:b/>
                <w:bCs/>
                <w:spacing w:val="-4"/>
              </w:rPr>
              <w:t>5、运营期农业种植方案的影响分析</w:t>
            </w:r>
          </w:p>
          <w:p w14:paraId="36236AC9">
            <w:pPr>
              <w:pStyle w:val="6"/>
              <w:spacing w:before="190" w:line="358" w:lineRule="auto"/>
              <w:ind w:left="90" w:right="144" w:firstLine="499"/>
            </w:pPr>
            <w:r>
              <w:t>根据项目可研，项目的光伏支架采用单列柱支架方案，组件最小离地高度</w:t>
            </w:r>
            <w:r>
              <w:rPr>
                <w:spacing w:val="6"/>
              </w:rPr>
              <w:t xml:space="preserve">  </w:t>
            </w:r>
            <w:r>
              <w:t>2.5m,为农业种植留有合理的空间，为光伏复合项目实施提供了基本条件。本光</w:t>
            </w:r>
            <w:r>
              <w:rPr>
                <w:spacing w:val="10"/>
              </w:rPr>
              <w:t xml:space="preserve"> </w:t>
            </w:r>
            <w:r>
              <w:rPr>
                <w:spacing w:val="4"/>
              </w:rPr>
              <w:t>伏发电项目中农业产业种植规模166.0263</w:t>
            </w:r>
            <w:r>
              <w:t>hm</w:t>
            </w:r>
            <w:r>
              <w:rPr>
                <w:spacing w:val="4"/>
              </w:rPr>
              <w:t>²,主要种植高附加值的金银</w:t>
            </w:r>
            <w:r>
              <w:rPr>
                <w:spacing w:val="3"/>
              </w:rPr>
              <w:t>花，金</w:t>
            </w:r>
            <w:r>
              <w:t xml:space="preserve"> 银花为多年生灌木。株行距均为1.5～2m,每亩株树为167～296株。农业种植所</w:t>
            </w:r>
            <w:r>
              <w:rPr>
                <w:spacing w:val="4"/>
              </w:rPr>
              <w:t xml:space="preserve">  </w:t>
            </w:r>
            <w:r>
              <w:rPr>
                <w:spacing w:val="-1"/>
              </w:rPr>
              <w:t>有的种子和种苗由项目公司提供。</w:t>
            </w:r>
          </w:p>
          <w:p w14:paraId="323FC996">
            <w:pPr>
              <w:pStyle w:val="6"/>
              <w:spacing w:before="4" w:line="359" w:lineRule="auto"/>
              <w:ind w:left="110" w:right="25" w:firstLine="479"/>
              <w:jc w:val="both"/>
            </w:pPr>
            <w:r>
              <w:t>金银花耐瘠薄，对土壤要求不严格。壤土，粘土，沙壤土，盐碱地等酸碱性</w:t>
            </w:r>
            <w:r>
              <w:rPr>
                <w:spacing w:val="8"/>
              </w:rPr>
              <w:t xml:space="preserve"> </w:t>
            </w:r>
            <w:r>
              <w:t>土壤、荒薄粘重的土壤均能生长。金银花耐干旱，对水分要求不十分严格。</w:t>
            </w:r>
            <w:r>
              <w:rPr>
                <w:spacing w:val="-1"/>
              </w:rPr>
              <w:t>金银</w:t>
            </w:r>
            <w:r>
              <w:t xml:space="preserve"> 花喜光照，但又耐庇荫，在阴坡上或林木树下，植株生长仍然很好，但遇光</w:t>
            </w:r>
            <w:r>
              <w:rPr>
                <w:spacing w:val="-1"/>
              </w:rPr>
              <w:t>照过</w:t>
            </w:r>
            <w:r>
              <w:t xml:space="preserve"> 分不足，影响花芽分化形成，则花蕾数量明显减少。</w:t>
            </w:r>
          </w:p>
          <w:p w14:paraId="238015C4">
            <w:pPr>
              <w:pStyle w:val="6"/>
              <w:spacing w:before="1" w:line="219" w:lineRule="auto"/>
              <w:ind w:left="590"/>
            </w:pPr>
            <w:r>
              <w:t>根据现状调查项目占地范围内有植被覆盖区域现状主要为草地、灌丛及旱</w:t>
            </w:r>
          </w:p>
          <w:p w14:paraId="48B78493">
            <w:pPr>
              <w:pStyle w:val="6"/>
              <w:spacing w:before="183" w:line="363" w:lineRule="auto"/>
              <w:ind w:left="100" w:right="13" w:firstLine="10"/>
            </w:pPr>
            <w:r>
              <w:t>地，生产力较低。采取金银花种植后，项目区的生态系统由草地和灌丛生态系统</w:t>
            </w:r>
            <w:r>
              <w:rPr>
                <w:spacing w:val="10"/>
              </w:rPr>
              <w:t xml:space="preserve"> </w:t>
            </w:r>
            <w:r>
              <w:rPr>
                <w:spacing w:val="1"/>
              </w:rPr>
              <w:t>向灌丛生态系统转变。植被覆盖度和生产力进一步提高。金银花耐旱</w:t>
            </w:r>
            <w:r>
              <w:t>、喜阴，光 伏板上的凝结水和光伏板清洗废水作为金银花的灌溉用水使用。</w:t>
            </w:r>
          </w:p>
          <w:p w14:paraId="1A763EE8">
            <w:pPr>
              <w:pStyle w:val="6"/>
              <w:spacing w:before="5" w:line="351" w:lineRule="auto"/>
              <w:ind w:left="100" w:right="22" w:firstLine="489"/>
            </w:pPr>
            <w:r>
              <w:t>综上，农业种植方案采用金银花可行，方案实施后，对项目占地范围内生态</w:t>
            </w:r>
            <w:r>
              <w:rPr>
                <w:spacing w:val="11"/>
              </w:rPr>
              <w:t xml:space="preserve"> </w:t>
            </w:r>
            <w:r>
              <w:rPr>
                <w:spacing w:val="-1"/>
              </w:rPr>
              <w:t>系统影响可接受。</w:t>
            </w:r>
          </w:p>
          <w:p w14:paraId="1CEEB2F1">
            <w:pPr>
              <w:pStyle w:val="6"/>
              <w:spacing w:before="5" w:line="219" w:lineRule="auto"/>
              <w:ind w:left="574"/>
            </w:pPr>
            <w:r>
              <w:rPr>
                <w:b/>
                <w:bCs/>
                <w:spacing w:val="-4"/>
              </w:rPr>
              <w:t>6、对景观的影响分析</w:t>
            </w:r>
          </w:p>
          <w:p w14:paraId="68E46537">
            <w:pPr>
              <w:pStyle w:val="6"/>
              <w:spacing w:before="177" w:line="337" w:lineRule="auto"/>
              <w:ind w:left="120" w:firstLine="469"/>
            </w:pPr>
            <w:r>
              <w:t>评价区内森林景观连通性好，是评价区的绝对景观背景。评价区自然植被的</w:t>
            </w:r>
            <w:r>
              <w:rPr>
                <w:spacing w:val="14"/>
              </w:rPr>
              <w:t xml:space="preserve"> </w:t>
            </w:r>
            <w:r>
              <w:rPr>
                <w:spacing w:val="1"/>
              </w:rPr>
              <w:t>分布均较为破碎。评价区景观多样性相对不高，分布</w:t>
            </w:r>
            <w:r>
              <w:t>也较不均匀，说明评价区由</w:t>
            </w:r>
          </w:p>
        </w:tc>
      </w:tr>
    </w:tbl>
    <w:p w14:paraId="313D9DCB">
      <w:pPr>
        <w:pStyle w:val="2"/>
      </w:pPr>
    </w:p>
    <w:p w14:paraId="264BA452">
      <w:pPr>
        <w:sectPr>
          <w:footerReference r:id="rId95" w:type="default"/>
          <w:pgSz w:w="11910" w:h="16840"/>
          <w:pgMar w:top="1431" w:right="1484" w:bottom="1255" w:left="1445" w:header="0" w:footer="1093" w:gutter="0"/>
          <w:cols w:space="720" w:num="1"/>
        </w:sectPr>
      </w:pPr>
    </w:p>
    <w:p w14:paraId="3FAD66D5">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07D0F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4F15CBFB">
            <w:pPr>
              <w:rPr>
                <w:rFonts w:ascii="Arial"/>
                <w:sz w:val="21"/>
              </w:rPr>
            </w:pPr>
          </w:p>
        </w:tc>
        <w:tc>
          <w:tcPr>
            <w:tcW w:w="8556" w:type="dxa"/>
            <w:vAlign w:val="top"/>
          </w:tcPr>
          <w:p w14:paraId="1061E97E">
            <w:pPr>
              <w:pStyle w:val="6"/>
              <w:spacing w:before="14" w:line="355" w:lineRule="auto"/>
              <w:ind w:left="100" w:right="21" w:firstLine="10"/>
            </w:pPr>
            <w:r>
              <w:t>于植被类型不丰富，景观生态体系不高，景观异质性不高，景观生态系统具有一</w:t>
            </w:r>
            <w:r>
              <w:rPr>
                <w:spacing w:val="12"/>
              </w:rPr>
              <w:t xml:space="preserve"> </w:t>
            </w:r>
            <w:r>
              <w:t>定的稳定性和抗干扰的能力。</w:t>
            </w:r>
          </w:p>
          <w:p w14:paraId="445175F6">
            <w:pPr>
              <w:pStyle w:val="6"/>
              <w:spacing w:before="4" w:line="359" w:lineRule="auto"/>
              <w:ind w:left="100" w:right="33" w:firstLine="489"/>
              <w:jc w:val="both"/>
            </w:pPr>
            <w:r>
              <w:t>评价区内森林景观为主要景观。项目建设占地未一般</w:t>
            </w:r>
            <w:r>
              <w:rPr>
                <w:spacing w:val="-1"/>
              </w:rPr>
              <w:t>灌木林和其他用地，对</w:t>
            </w:r>
            <w:r>
              <w:t xml:space="preserve"> 评价区内森林景观影响较小。建成后升压站和塔基永久占地由原来的草地景观变</w:t>
            </w:r>
            <w:r>
              <w:rPr>
                <w:spacing w:val="10"/>
              </w:rPr>
              <w:t xml:space="preserve"> </w:t>
            </w:r>
            <w:r>
              <w:rPr>
                <w:spacing w:val="1"/>
              </w:rPr>
              <w:t>化为城镇景观。光伏板区临时占地绿化恢复后，</w:t>
            </w:r>
            <w:r>
              <w:t>绿化率达到80%。占地范围内景  观的变化较小。项目建设对评价区内的景观影响较</w:t>
            </w:r>
            <w:r>
              <w:rPr>
                <w:spacing w:val="-1"/>
              </w:rPr>
              <w:t>小。</w:t>
            </w:r>
          </w:p>
          <w:p w14:paraId="76326613">
            <w:pPr>
              <w:pStyle w:val="6"/>
              <w:spacing w:before="1" w:line="217" w:lineRule="auto"/>
              <w:ind w:left="514"/>
            </w:pPr>
            <w:r>
              <w:rPr>
                <w:b/>
                <w:bCs/>
                <w:spacing w:val="-3"/>
              </w:rPr>
              <w:t>7、运营期生态环境影响评价小结</w:t>
            </w:r>
          </w:p>
          <w:p w14:paraId="5BC14B36">
            <w:pPr>
              <w:pStyle w:val="6"/>
              <w:spacing w:before="189" w:line="360" w:lineRule="auto"/>
              <w:ind w:left="100" w:firstLine="483"/>
            </w:pPr>
            <w:r>
              <w:rPr>
                <w:spacing w:val="-3"/>
              </w:rPr>
              <w:t>项目运营期对植被的影响主要体现在光伏板遮挡阳光对植物生长的影响。项</w:t>
            </w:r>
            <w:r>
              <w:rPr>
                <w:spacing w:val="4"/>
              </w:rPr>
              <w:t xml:space="preserve">  </w:t>
            </w:r>
            <w:r>
              <w:rPr>
                <w:spacing w:val="-2"/>
              </w:rPr>
              <w:t>目运营不会对项目所在区域内野生动物的日常迁徙和活动造成明显影响。项目利</w:t>
            </w:r>
            <w:r>
              <w:rPr>
                <w:spacing w:val="2"/>
              </w:rPr>
              <w:t xml:space="preserve">  </w:t>
            </w:r>
            <w:r>
              <w:rPr>
                <w:spacing w:val="-3"/>
              </w:rPr>
              <w:t>用光伏组件支架下部空间进行经济作物的种植；在升压站区域内采取灌木+植草</w:t>
            </w:r>
            <w:r>
              <w:rPr>
                <w:spacing w:val="5"/>
              </w:rPr>
              <w:t xml:space="preserve">   </w:t>
            </w:r>
            <w:r>
              <w:rPr>
                <w:spacing w:val="-5"/>
              </w:rPr>
              <w:t>的方式进行绿化；禁止光伏电站工作人员捕杀</w:t>
            </w:r>
            <w:r>
              <w:rPr>
                <w:spacing w:val="-6"/>
              </w:rPr>
              <w:t>野生动物；严禁员工破坏周边植被，</w:t>
            </w:r>
            <w:r>
              <w:t xml:space="preserve"> </w:t>
            </w:r>
            <w:r>
              <w:rPr>
                <w:spacing w:val="-3"/>
              </w:rPr>
              <w:t>严禁引入外来物种。通过采取生态防治措施后，项目运行对生态环境影响较</w:t>
            </w:r>
            <w:r>
              <w:rPr>
                <w:spacing w:val="-4"/>
              </w:rPr>
              <w:t>小。</w:t>
            </w:r>
          </w:p>
          <w:p w14:paraId="2F922124">
            <w:pPr>
              <w:pStyle w:val="6"/>
              <w:spacing w:line="220" w:lineRule="auto"/>
              <w:ind w:left="94"/>
            </w:pPr>
            <w:r>
              <w:rPr>
                <w:b/>
                <w:bCs/>
                <w:spacing w:val="-4"/>
              </w:rPr>
              <w:t>三、运营期环境污染影响分析</w:t>
            </w:r>
          </w:p>
          <w:p w14:paraId="45CBCF75">
            <w:pPr>
              <w:pStyle w:val="6"/>
              <w:spacing w:before="184" w:line="220" w:lineRule="auto"/>
              <w:ind w:left="574"/>
            </w:pPr>
            <w:r>
              <w:rPr>
                <w:b/>
                <w:bCs/>
                <w:spacing w:val="-3"/>
              </w:rPr>
              <w:t>1、运营期大气环境影响分析</w:t>
            </w:r>
          </w:p>
          <w:p w14:paraId="4CDA70FD">
            <w:pPr>
              <w:pStyle w:val="6"/>
              <w:spacing w:before="185" w:line="219" w:lineRule="auto"/>
              <w:ind w:left="570"/>
            </w:pPr>
            <w:r>
              <w:t>本项目营运期废气主要为食堂油烟、汽车尾气、恶</w:t>
            </w:r>
            <w:r>
              <w:rPr>
                <w:spacing w:val="-1"/>
              </w:rPr>
              <w:t>臭。</w:t>
            </w:r>
          </w:p>
          <w:p w14:paraId="102B5728">
            <w:pPr>
              <w:pStyle w:val="6"/>
              <w:spacing w:before="197" w:line="220" w:lineRule="auto"/>
              <w:ind w:left="710"/>
            </w:pPr>
            <w:r>
              <w:rPr>
                <w:spacing w:val="2"/>
              </w:rPr>
              <w:t>(1)食堂油烟</w:t>
            </w:r>
          </w:p>
          <w:p w14:paraId="4A79A764">
            <w:pPr>
              <w:pStyle w:val="6"/>
              <w:spacing w:before="163" w:line="352" w:lineRule="auto"/>
              <w:ind w:left="110" w:right="19" w:firstLine="479"/>
            </w:pPr>
            <w:r>
              <w:t>项目升压站厨房使用液化气、电作为能源，液化气、电为清洁能源，运行期</w:t>
            </w:r>
            <w:r>
              <w:rPr>
                <w:spacing w:val="14"/>
              </w:rPr>
              <w:t xml:space="preserve"> </w:t>
            </w:r>
            <w:r>
              <w:t>主要的废气为油烟废气。食堂年工作日365d,每天工作4h,基准灶头为1</w:t>
            </w:r>
            <w:r>
              <w:rPr>
                <w:spacing w:val="-1"/>
              </w:rPr>
              <w:t>个，</w:t>
            </w:r>
          </w:p>
          <w:p w14:paraId="4D613512">
            <w:pPr>
              <w:pStyle w:val="6"/>
              <w:spacing w:before="16" w:line="219" w:lineRule="auto"/>
              <w:ind w:left="120"/>
            </w:pPr>
            <w:r>
              <w:t>根据《饮食业油烟排放标准(试行)》(GB18483-2001)判定为小型。项目运行</w:t>
            </w:r>
          </w:p>
          <w:p w14:paraId="54DFA5C9">
            <w:pPr>
              <w:pStyle w:val="6"/>
              <w:spacing w:before="187" w:line="214" w:lineRule="auto"/>
              <w:ind w:left="120"/>
            </w:pPr>
            <w:r>
              <w:t>期定员10人，均在项目区内食宿，每人每天食用油按照30g计，餐饮油烟挥发</w:t>
            </w:r>
          </w:p>
          <w:p w14:paraId="2EF5A27B">
            <w:pPr>
              <w:pStyle w:val="6"/>
              <w:spacing w:before="183" w:line="364" w:lineRule="auto"/>
              <w:ind w:left="100" w:right="135" w:firstLine="20"/>
            </w:pPr>
            <w:r>
              <w:t>系数为2.83%,则项目食堂油烟产生量为8.49g/a。食堂油烟经抽油烟机抽排通过</w:t>
            </w:r>
            <w:r>
              <w:rPr>
                <w:spacing w:val="8"/>
              </w:rPr>
              <w:t xml:space="preserve"> </w:t>
            </w:r>
            <w:r>
              <w:t>高于屋顶1.5m排气装置排放。</w:t>
            </w:r>
          </w:p>
          <w:p w14:paraId="7C195363">
            <w:pPr>
              <w:pStyle w:val="6"/>
              <w:spacing w:line="219" w:lineRule="auto"/>
              <w:ind w:left="691"/>
            </w:pPr>
            <w:r>
              <w:rPr>
                <w:spacing w:val="1"/>
              </w:rPr>
              <w:t>(2)恶臭</w:t>
            </w:r>
          </w:p>
          <w:p w14:paraId="53B5C534">
            <w:pPr>
              <w:pStyle w:val="6"/>
              <w:spacing w:before="186" w:line="356" w:lineRule="auto"/>
              <w:ind w:left="100" w:right="22" w:firstLine="489"/>
            </w:pPr>
            <w:r>
              <w:t>本项目运营期产生的恶臭主要为升压站内化粪池、一体化生活污水处理站恶</w:t>
            </w:r>
            <w:r>
              <w:rPr>
                <w:spacing w:val="11"/>
              </w:rPr>
              <w:t xml:space="preserve"> </w:t>
            </w:r>
            <w:r>
              <w:rPr>
                <w:spacing w:val="-1"/>
              </w:rPr>
              <w:t>臭及垃圾恶臭。</w:t>
            </w:r>
          </w:p>
          <w:p w14:paraId="0B8EE645">
            <w:pPr>
              <w:pStyle w:val="6"/>
              <w:spacing w:before="1" w:line="217" w:lineRule="auto"/>
              <w:ind w:left="580"/>
            </w:pPr>
            <w:r>
              <w:rPr>
                <w:spacing w:val="-1"/>
              </w:rPr>
              <w:t>①化粪池、一体化生活污水处理站恶臭</w:t>
            </w:r>
          </w:p>
          <w:p w14:paraId="4F30052E">
            <w:pPr>
              <w:pStyle w:val="6"/>
              <w:spacing w:before="191" w:line="342" w:lineRule="auto"/>
              <w:ind w:left="110" w:right="5" w:firstLine="479"/>
            </w:pPr>
            <w:r>
              <w:rPr>
                <w:spacing w:val="1"/>
              </w:rPr>
              <w:t>化粪池、一体化生活污水处理站恶臭气体主要来源于有机</w:t>
            </w:r>
            <w:r>
              <w:t>物生物降解过程中 产生的一些还原性有毒有害气态物质，经水解或自身挥发产生的恶臭气体。本项</w:t>
            </w:r>
            <w:r>
              <w:rPr>
                <w:spacing w:val="14"/>
              </w:rPr>
              <w:t xml:space="preserve"> </w:t>
            </w:r>
            <w:r>
              <w:rPr>
                <w:spacing w:val="1"/>
              </w:rPr>
              <w:t>目化粪池、一体化污水处理站为地埋式，通过加盖密封、绿化吸</w:t>
            </w:r>
            <w:r>
              <w:t>收后，恶臭排放</w:t>
            </w:r>
          </w:p>
        </w:tc>
      </w:tr>
    </w:tbl>
    <w:p w14:paraId="3D382819">
      <w:pPr>
        <w:pStyle w:val="2"/>
      </w:pPr>
    </w:p>
    <w:p w14:paraId="4598CEFF">
      <w:pPr>
        <w:sectPr>
          <w:footerReference r:id="rId96" w:type="default"/>
          <w:pgSz w:w="11910" w:h="16840"/>
          <w:pgMar w:top="1431" w:right="1484" w:bottom="1255" w:left="1445" w:header="0" w:footer="1093" w:gutter="0"/>
          <w:cols w:space="720" w:num="1"/>
        </w:sectPr>
      </w:pPr>
    </w:p>
    <w:p w14:paraId="41E7CB3D">
      <w:pPr>
        <w:spacing w:line="93" w:lineRule="exact"/>
      </w:pPr>
    </w:p>
    <w:tbl>
      <w:tblPr>
        <w:tblStyle w:val="5"/>
        <w:tblW w:w="89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8"/>
      </w:tblGrid>
      <w:tr w14:paraId="74E49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33CEC38F">
            <w:pPr>
              <w:rPr>
                <w:rFonts w:ascii="Arial"/>
                <w:sz w:val="21"/>
              </w:rPr>
            </w:pPr>
          </w:p>
        </w:tc>
        <w:tc>
          <w:tcPr>
            <w:tcW w:w="8558" w:type="dxa"/>
            <w:vAlign w:val="top"/>
          </w:tcPr>
          <w:p w14:paraId="0CE899F1">
            <w:pPr>
              <w:pStyle w:val="6"/>
              <w:spacing w:before="15" w:line="220" w:lineRule="auto"/>
              <w:ind w:left="100"/>
            </w:pPr>
            <w:r>
              <w:t>量较少，对周围环境影响较小。</w:t>
            </w:r>
          </w:p>
          <w:p w14:paraId="482E190D">
            <w:pPr>
              <w:pStyle w:val="6"/>
              <w:spacing w:before="170" w:line="217" w:lineRule="auto"/>
              <w:ind w:left="560"/>
            </w:pPr>
            <w:r>
              <w:rPr>
                <w:spacing w:val="-2"/>
              </w:rPr>
              <w:t>②垃圾恶臭</w:t>
            </w:r>
          </w:p>
          <w:p w14:paraId="4B362BB2">
            <w:pPr>
              <w:pStyle w:val="6"/>
              <w:spacing w:before="189" w:line="360" w:lineRule="auto"/>
              <w:ind w:left="100" w:firstLine="489"/>
            </w:pPr>
            <w:r>
              <w:t>本项目垃圾恶臭主要为固体废物不及时清理，有机物腐败产生的恶臭。本项</w:t>
            </w:r>
            <w:r>
              <w:rPr>
                <w:spacing w:val="3"/>
              </w:rPr>
              <w:t xml:space="preserve"> </w:t>
            </w:r>
            <w:r>
              <w:rPr>
                <w:spacing w:val="1"/>
              </w:rPr>
              <w:t>目通过对垃圾桶采取加盖密封、及时清运等措施后，垃圾恶臭排放量较少，对周</w:t>
            </w:r>
            <w:r>
              <w:rPr>
                <w:spacing w:val="11"/>
              </w:rPr>
              <w:t xml:space="preserve"> </w:t>
            </w:r>
            <w:r>
              <w:rPr>
                <w:spacing w:val="-1"/>
              </w:rPr>
              <w:t>围环境影响较小。</w:t>
            </w:r>
          </w:p>
          <w:p w14:paraId="178FDB5B">
            <w:pPr>
              <w:pStyle w:val="6"/>
              <w:spacing w:before="17" w:line="219" w:lineRule="auto"/>
              <w:ind w:left="691"/>
            </w:pPr>
            <w:r>
              <w:rPr>
                <w:spacing w:val="2"/>
              </w:rPr>
              <w:t>(3)汽车尾气</w:t>
            </w:r>
          </w:p>
          <w:p w14:paraId="2234C879">
            <w:pPr>
              <w:pStyle w:val="6"/>
              <w:spacing w:before="163" w:line="219" w:lineRule="auto"/>
              <w:ind w:left="590"/>
            </w:pPr>
            <w:r>
              <w:t>汽车尾气中所含的污染物主要有CO、THC、NOx等。通过采取选择节能环</w:t>
            </w:r>
          </w:p>
          <w:p w14:paraId="5FE3A6E8">
            <w:pPr>
              <w:pStyle w:val="6"/>
              <w:spacing w:before="187" w:line="360" w:lineRule="auto"/>
              <w:ind w:left="90" w:firstLine="9"/>
            </w:pPr>
            <w:r>
              <w:rPr>
                <w:spacing w:val="-5"/>
              </w:rPr>
              <w:t>保排量小的运输车辆；定期对运输车辆进行保养，</w:t>
            </w:r>
            <w:r>
              <w:rPr>
                <w:spacing w:val="-6"/>
              </w:rPr>
              <w:t>防止车辆非正常运行等措施后，</w:t>
            </w:r>
            <w:r>
              <w:t xml:space="preserve"> </w:t>
            </w:r>
            <w:r>
              <w:rPr>
                <w:spacing w:val="-4"/>
              </w:rPr>
              <w:t>项目汽车尾气排放量较小，对环境空气质量影响较小。</w:t>
            </w:r>
          </w:p>
          <w:p w14:paraId="7F1EA325">
            <w:pPr>
              <w:pStyle w:val="6"/>
              <w:spacing w:before="1" w:line="219" w:lineRule="auto"/>
              <w:ind w:left="564"/>
            </w:pPr>
            <w:r>
              <w:rPr>
                <w:b/>
                <w:bCs/>
                <w:spacing w:val="-4"/>
              </w:rPr>
              <w:t>2、运营期水环境影响分析</w:t>
            </w:r>
          </w:p>
          <w:p w14:paraId="138DADCC">
            <w:pPr>
              <w:pStyle w:val="6"/>
              <w:spacing w:before="185" w:line="219" w:lineRule="auto"/>
              <w:ind w:left="694"/>
            </w:pPr>
            <w:r>
              <w:rPr>
                <w:b/>
                <w:bCs/>
                <w:spacing w:val="-3"/>
              </w:rPr>
              <w:t>(1)项目用排水情况</w:t>
            </w:r>
          </w:p>
          <w:p w14:paraId="5C04F948">
            <w:pPr>
              <w:pStyle w:val="6"/>
              <w:spacing w:before="176" w:line="362" w:lineRule="auto"/>
              <w:ind w:left="90" w:right="22" w:firstLine="499"/>
            </w:pPr>
            <w:r>
              <w:t>项目运营期用水主要为光伏电池板清洗用水、员工生活用水、绿化用水，产</w:t>
            </w:r>
            <w:r>
              <w:rPr>
                <w:spacing w:val="13"/>
              </w:rPr>
              <w:t xml:space="preserve"> </w:t>
            </w:r>
            <w:r>
              <w:t>生的废水主要为光伏电池板清洗废水、员工生活污</w:t>
            </w:r>
            <w:r>
              <w:rPr>
                <w:spacing w:val="-1"/>
              </w:rPr>
              <w:t>水。</w:t>
            </w:r>
          </w:p>
          <w:p w14:paraId="2F5D1163">
            <w:pPr>
              <w:pStyle w:val="6"/>
              <w:spacing w:before="1" w:line="218" w:lineRule="auto"/>
              <w:ind w:left="580"/>
            </w:pPr>
            <w:r>
              <w:rPr>
                <w:spacing w:val="1"/>
              </w:rPr>
              <w:t>1)光伏电池板清洗</w:t>
            </w:r>
          </w:p>
          <w:p w14:paraId="2EFE42BF">
            <w:pPr>
              <w:pStyle w:val="6"/>
              <w:spacing w:before="184" w:line="358" w:lineRule="auto"/>
              <w:ind w:left="100" w:right="24" w:firstLine="489"/>
            </w:pPr>
            <w:r>
              <w:t>为保证太阳能电池的发电效率，电站运行期间需对组件进行清洗。清洗光伏</w:t>
            </w:r>
            <w:r>
              <w:rPr>
                <w:spacing w:val="11"/>
              </w:rPr>
              <w:t xml:space="preserve"> </w:t>
            </w:r>
            <w:r>
              <w:rPr>
                <w:spacing w:val="1"/>
              </w:rPr>
              <w:t>板时，不添加任何清洗剂。太阳能电池板正常</w:t>
            </w:r>
            <w:r>
              <w:t xml:space="preserve">情况下每年清洗一次，遇到恶劣天 </w:t>
            </w:r>
            <w:r>
              <w:rPr>
                <w:spacing w:val="1"/>
              </w:rPr>
              <w:t>气及时清洗，清洗方式为使用用人工+抹布</w:t>
            </w:r>
            <w:r>
              <w:t>带水擦拭光伏电池板，分片区对一个  小范围区域逐一进行清洗。</w:t>
            </w:r>
          </w:p>
          <w:p w14:paraId="2B5EC3E5">
            <w:pPr>
              <w:pStyle w:val="6"/>
              <w:spacing w:before="1" w:line="218" w:lineRule="auto"/>
              <w:ind w:left="590"/>
            </w:pPr>
            <w:r>
              <w:t>本项目共有太阳能电池组件262184块，组件尺寸为2278mm×1134mm。清</w:t>
            </w:r>
          </w:p>
          <w:p w14:paraId="019BBBB5">
            <w:pPr>
              <w:pStyle w:val="6"/>
              <w:spacing w:before="192" w:line="360" w:lineRule="auto"/>
              <w:ind w:left="110"/>
            </w:pPr>
            <w:r>
              <w:t>洗用水量根据可研设计经验数据，取0.5L/(m²</w:t>
            </w:r>
            <w:r>
              <w:rPr>
                <w:spacing w:val="-12"/>
              </w:rPr>
              <w:t xml:space="preserve"> </w:t>
            </w:r>
            <w:r>
              <w:t>·</w:t>
            </w:r>
            <w:r>
              <w:rPr>
                <w:spacing w:val="-100"/>
              </w:rPr>
              <w:t xml:space="preserve"> </w:t>
            </w:r>
            <w:r>
              <w:t xml:space="preserve">次),则每块电池组件清洗用水  </w:t>
            </w:r>
            <w:r>
              <w:rPr>
                <w:spacing w:val="1"/>
              </w:rPr>
              <w:t>量约1.278L/次，全场所有电池组件清洗一次总用水量约为335m³/次，</w:t>
            </w:r>
            <w:r>
              <w:rPr>
                <w:spacing w:val="-36"/>
              </w:rPr>
              <w:t xml:space="preserve"> </w:t>
            </w:r>
            <w:r>
              <w:rPr>
                <w:spacing w:val="1"/>
              </w:rPr>
              <w:t>一年清洗</w:t>
            </w:r>
            <w:r>
              <w:t xml:space="preserve"> </w:t>
            </w:r>
            <w:r>
              <w:rPr>
                <w:spacing w:val="4"/>
              </w:rPr>
              <w:t>一次，年清洗用水量335m³/a。废水产</w:t>
            </w:r>
            <w:r>
              <w:rPr>
                <w:spacing w:val="3"/>
              </w:rPr>
              <w:t>生量按用水量90%计，则光伏板清洗废水</w:t>
            </w:r>
            <w:r>
              <w:t xml:space="preserve">  </w:t>
            </w:r>
            <w:r>
              <w:rPr>
                <w:spacing w:val="4"/>
              </w:rPr>
              <w:t>产生量302m³/次，302m³/a。由于光伏板清洗为清水清洗，不</w:t>
            </w:r>
            <w:r>
              <w:rPr>
                <w:spacing w:val="3"/>
              </w:rPr>
              <w:t>需添加清洗剂，性</w:t>
            </w:r>
            <w:r>
              <w:t xml:space="preserve"> 质与雨水基本相同，清洗废水污染物主要为SS,分散于各个片区，不含有毒物</w:t>
            </w:r>
          </w:p>
          <w:p w14:paraId="1C68C743">
            <w:pPr>
              <w:pStyle w:val="6"/>
              <w:spacing w:before="15" w:line="348" w:lineRule="auto"/>
              <w:ind w:left="90" w:right="37" w:firstLine="30"/>
            </w:pPr>
            <w:r>
              <w:t>质，因此，清洗废水可直接顺着流在太阳能电池组件</w:t>
            </w:r>
            <w:r>
              <w:rPr>
                <w:spacing w:val="-1"/>
              </w:rPr>
              <w:t>下面的农作物上，作为金银</w:t>
            </w:r>
            <w:r>
              <w:t xml:space="preserve"> 花灌溉补充水，不外排(清洗时间选择在金银花可浇灌期间进行)。</w:t>
            </w:r>
          </w:p>
          <w:p w14:paraId="193B0734">
            <w:pPr>
              <w:pStyle w:val="6"/>
              <w:spacing w:before="35" w:line="219" w:lineRule="auto"/>
              <w:ind w:left="570"/>
            </w:pPr>
            <w:r>
              <w:rPr>
                <w:spacing w:val="1"/>
              </w:rPr>
              <w:t>2)生活污水</w:t>
            </w:r>
          </w:p>
          <w:p w14:paraId="7F6DA522">
            <w:pPr>
              <w:pStyle w:val="6"/>
              <w:spacing w:before="156" w:line="336" w:lineRule="auto"/>
              <w:ind w:left="110" w:right="244" w:firstLine="479"/>
            </w:pPr>
            <w:r>
              <w:rPr>
                <w:spacing w:val="1"/>
              </w:rPr>
              <w:t>升压站定员10人，均在站内食宿，生活污水主要包括食堂废水、工作</w:t>
            </w:r>
            <w:r>
              <w:t>人员 平时盥洗废水和冲厕废水等。根据《云南省地方标准用水</w:t>
            </w:r>
            <w:r>
              <w:rPr>
                <w:spacing w:val="-1"/>
              </w:rPr>
              <w:t>定额》(DB53/T</w:t>
            </w:r>
          </w:p>
        </w:tc>
      </w:tr>
    </w:tbl>
    <w:p w14:paraId="1289B10A">
      <w:pPr>
        <w:pStyle w:val="2"/>
      </w:pPr>
    </w:p>
    <w:p w14:paraId="201E4F12">
      <w:pPr>
        <w:sectPr>
          <w:footerReference r:id="rId97" w:type="default"/>
          <w:pgSz w:w="11910" w:h="16840"/>
          <w:pgMar w:top="1431" w:right="1482" w:bottom="1269" w:left="1445" w:header="0" w:footer="1089" w:gutter="0"/>
          <w:cols w:space="720" w:num="1"/>
        </w:sectPr>
      </w:pPr>
    </w:p>
    <w:p w14:paraId="58086302">
      <w:pPr>
        <w:spacing w:line="103" w:lineRule="exact"/>
      </w:pPr>
    </w:p>
    <w:tbl>
      <w:tblPr>
        <w:tblStyle w:val="5"/>
        <w:tblW w:w="8969" w:type="dxa"/>
        <w:tblInd w:w="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94"/>
        <w:gridCol w:w="2641"/>
        <w:gridCol w:w="4441"/>
        <w:gridCol w:w="419"/>
        <w:gridCol w:w="1074"/>
      </w:tblGrid>
      <w:tr w14:paraId="4E3266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70" w:hRule="atLeast"/>
        </w:trPr>
        <w:tc>
          <w:tcPr>
            <w:tcW w:w="394" w:type="dxa"/>
            <w:tcBorders>
              <w:top w:val="single" w:color="000000" w:sz="4" w:space="0"/>
              <w:left w:val="single" w:color="000000" w:sz="4" w:space="0"/>
              <w:right w:val="single" w:color="000000" w:sz="4" w:space="0"/>
            </w:tcBorders>
            <w:vAlign w:val="top"/>
          </w:tcPr>
          <w:p w14:paraId="3D19838D">
            <w:pPr>
              <w:rPr>
                <w:rFonts w:ascii="Arial"/>
                <w:sz w:val="21"/>
              </w:rPr>
            </w:pPr>
          </w:p>
        </w:tc>
        <w:tc>
          <w:tcPr>
            <w:tcW w:w="8575" w:type="dxa"/>
            <w:gridSpan w:val="4"/>
            <w:tcBorders>
              <w:top w:val="single" w:color="000000" w:sz="4" w:space="0"/>
              <w:left w:val="single" w:color="000000" w:sz="4" w:space="0"/>
              <w:right w:val="single" w:color="000000" w:sz="4" w:space="0"/>
            </w:tcBorders>
            <w:vAlign w:val="top"/>
          </w:tcPr>
          <w:p w14:paraId="3E850EED">
            <w:pPr>
              <w:pStyle w:val="6"/>
              <w:spacing w:before="10" w:line="425" w:lineRule="auto"/>
              <w:ind w:left="120" w:firstLine="9"/>
              <w:rPr>
                <w:sz w:val="20"/>
                <w:szCs w:val="20"/>
              </w:rPr>
            </w:pPr>
            <w:r>
              <w:rPr>
                <w:spacing w:val="30"/>
                <w:sz w:val="20"/>
                <w:szCs w:val="20"/>
              </w:rPr>
              <w:t>168</w:t>
            </w:r>
            <w:r>
              <w:rPr>
                <w:spacing w:val="-56"/>
                <w:sz w:val="20"/>
                <w:szCs w:val="20"/>
              </w:rPr>
              <w:t xml:space="preserve"> </w:t>
            </w:r>
            <w:r>
              <w:rPr>
                <w:spacing w:val="30"/>
                <w:sz w:val="20"/>
                <w:szCs w:val="20"/>
              </w:rPr>
              <w:t>-</w:t>
            </w:r>
            <w:r>
              <w:rPr>
                <w:spacing w:val="-52"/>
                <w:sz w:val="20"/>
                <w:szCs w:val="20"/>
              </w:rPr>
              <w:t xml:space="preserve"> </w:t>
            </w:r>
            <w:r>
              <w:rPr>
                <w:spacing w:val="30"/>
                <w:sz w:val="20"/>
                <w:szCs w:val="20"/>
              </w:rPr>
              <w:t>2019),员工生活用水量按100L/(人 ·</w:t>
            </w:r>
            <w:r>
              <w:rPr>
                <w:spacing w:val="-50"/>
                <w:sz w:val="20"/>
                <w:szCs w:val="20"/>
              </w:rPr>
              <w:t xml:space="preserve"> </w:t>
            </w:r>
            <w:r>
              <w:rPr>
                <w:spacing w:val="30"/>
                <w:sz w:val="20"/>
                <w:szCs w:val="20"/>
              </w:rPr>
              <w:t>d</w:t>
            </w:r>
            <w:r>
              <w:rPr>
                <w:spacing w:val="29"/>
                <w:sz w:val="20"/>
                <w:szCs w:val="20"/>
              </w:rPr>
              <w:t>),则项目员工生活用水量为1m³/d、</w:t>
            </w:r>
            <w:r>
              <w:rPr>
                <w:sz w:val="20"/>
                <w:szCs w:val="20"/>
              </w:rPr>
              <w:t xml:space="preserve"> </w:t>
            </w:r>
            <w:r>
              <w:rPr>
                <w:spacing w:val="6"/>
                <w:sz w:val="20"/>
                <w:szCs w:val="20"/>
              </w:rPr>
              <w:t>365m³/a,产污系数按0.8计，则员工生活污水产生量为0.8m³/d、292m³/a。食堂</w:t>
            </w:r>
          </w:p>
          <w:p w14:paraId="64DB6881">
            <w:pPr>
              <w:pStyle w:val="6"/>
              <w:spacing w:before="6" w:line="433" w:lineRule="auto"/>
              <w:ind w:left="110" w:right="34" w:firstLine="10"/>
              <w:rPr>
                <w:sz w:val="20"/>
                <w:szCs w:val="20"/>
              </w:rPr>
            </w:pPr>
            <w:r>
              <w:rPr>
                <w:spacing w:val="34"/>
                <w:sz w:val="20"/>
                <w:szCs w:val="20"/>
              </w:rPr>
              <w:t>用水量按生活用水量的20%计，则食堂用水量0</w:t>
            </w:r>
            <w:r>
              <w:rPr>
                <w:spacing w:val="-47"/>
                <w:sz w:val="20"/>
                <w:szCs w:val="20"/>
              </w:rPr>
              <w:t xml:space="preserve"> </w:t>
            </w:r>
            <w:r>
              <w:rPr>
                <w:spacing w:val="34"/>
                <w:sz w:val="20"/>
                <w:szCs w:val="20"/>
              </w:rPr>
              <w:t>.</w:t>
            </w:r>
            <w:r>
              <w:rPr>
                <w:spacing w:val="-50"/>
                <w:sz w:val="20"/>
                <w:szCs w:val="20"/>
              </w:rPr>
              <w:t xml:space="preserve"> </w:t>
            </w:r>
            <w:r>
              <w:rPr>
                <w:spacing w:val="34"/>
                <w:sz w:val="20"/>
                <w:szCs w:val="20"/>
              </w:rPr>
              <w:t>2m³/d,产污</w:t>
            </w:r>
            <w:r>
              <w:rPr>
                <w:spacing w:val="33"/>
                <w:sz w:val="20"/>
                <w:szCs w:val="20"/>
              </w:rPr>
              <w:t>系数按0</w:t>
            </w:r>
            <w:r>
              <w:rPr>
                <w:spacing w:val="-46"/>
                <w:sz w:val="20"/>
                <w:szCs w:val="20"/>
              </w:rPr>
              <w:t xml:space="preserve"> </w:t>
            </w:r>
            <w:r>
              <w:rPr>
                <w:spacing w:val="33"/>
                <w:sz w:val="20"/>
                <w:szCs w:val="20"/>
              </w:rPr>
              <w:t>.</w:t>
            </w:r>
            <w:r>
              <w:rPr>
                <w:spacing w:val="-52"/>
                <w:sz w:val="20"/>
                <w:szCs w:val="20"/>
              </w:rPr>
              <w:t xml:space="preserve"> </w:t>
            </w:r>
            <w:r>
              <w:rPr>
                <w:spacing w:val="33"/>
                <w:sz w:val="20"/>
                <w:szCs w:val="20"/>
              </w:rPr>
              <w:t>8计，食堂</w:t>
            </w:r>
            <w:r>
              <w:rPr>
                <w:sz w:val="20"/>
                <w:szCs w:val="20"/>
              </w:rPr>
              <w:t xml:space="preserve"> </w:t>
            </w:r>
            <w:r>
              <w:rPr>
                <w:spacing w:val="31"/>
                <w:sz w:val="20"/>
                <w:szCs w:val="20"/>
              </w:rPr>
              <w:t>废水产生量0</w:t>
            </w:r>
            <w:r>
              <w:rPr>
                <w:spacing w:val="-50"/>
                <w:sz w:val="20"/>
                <w:szCs w:val="20"/>
              </w:rPr>
              <w:t xml:space="preserve"> </w:t>
            </w:r>
            <w:r>
              <w:rPr>
                <w:spacing w:val="31"/>
                <w:sz w:val="20"/>
                <w:szCs w:val="20"/>
              </w:rPr>
              <w:t>.</w:t>
            </w:r>
            <w:r>
              <w:rPr>
                <w:spacing w:val="-41"/>
                <w:sz w:val="20"/>
                <w:szCs w:val="20"/>
              </w:rPr>
              <w:t xml:space="preserve"> </w:t>
            </w:r>
            <w:r>
              <w:rPr>
                <w:spacing w:val="31"/>
                <w:sz w:val="20"/>
                <w:szCs w:val="20"/>
              </w:rPr>
              <w:t>16m³/d。食堂废水经隔</w:t>
            </w:r>
            <w:r>
              <w:rPr>
                <w:spacing w:val="30"/>
                <w:sz w:val="20"/>
                <w:szCs w:val="20"/>
              </w:rPr>
              <w:t>油池预处理后与其它生活污水</w:t>
            </w:r>
            <w:r>
              <w:rPr>
                <w:spacing w:val="-52"/>
                <w:sz w:val="20"/>
                <w:szCs w:val="20"/>
              </w:rPr>
              <w:t xml:space="preserve"> </w:t>
            </w:r>
            <w:r>
              <w:rPr>
                <w:spacing w:val="30"/>
                <w:sz w:val="20"/>
                <w:szCs w:val="20"/>
              </w:rPr>
              <w:t>一</w:t>
            </w:r>
            <w:r>
              <w:rPr>
                <w:spacing w:val="-51"/>
                <w:sz w:val="20"/>
                <w:szCs w:val="20"/>
              </w:rPr>
              <w:t xml:space="preserve"> </w:t>
            </w:r>
            <w:r>
              <w:rPr>
                <w:spacing w:val="30"/>
                <w:sz w:val="20"/>
                <w:szCs w:val="20"/>
              </w:rPr>
              <w:t>并进入化粪</w:t>
            </w:r>
            <w:r>
              <w:rPr>
                <w:sz w:val="20"/>
                <w:szCs w:val="20"/>
              </w:rPr>
              <w:t xml:space="preserve"> </w:t>
            </w:r>
            <w:r>
              <w:rPr>
                <w:spacing w:val="-11"/>
                <w:sz w:val="20"/>
                <w:szCs w:val="20"/>
              </w:rPr>
              <w:t>池</w:t>
            </w:r>
            <w:r>
              <w:rPr>
                <w:spacing w:val="-27"/>
                <w:sz w:val="20"/>
                <w:szCs w:val="20"/>
              </w:rPr>
              <w:t xml:space="preserve"> </w:t>
            </w:r>
            <w:r>
              <w:rPr>
                <w:spacing w:val="-11"/>
                <w:sz w:val="20"/>
                <w:szCs w:val="20"/>
              </w:rPr>
              <w:t>，</w:t>
            </w:r>
            <w:r>
              <w:rPr>
                <w:spacing w:val="-42"/>
                <w:sz w:val="20"/>
                <w:szCs w:val="20"/>
              </w:rPr>
              <w:t xml:space="preserve"> </w:t>
            </w:r>
            <w:r>
              <w:rPr>
                <w:spacing w:val="-11"/>
                <w:sz w:val="20"/>
                <w:szCs w:val="20"/>
              </w:rPr>
              <w:t>再</w:t>
            </w:r>
            <w:r>
              <w:rPr>
                <w:spacing w:val="-45"/>
                <w:sz w:val="20"/>
                <w:szCs w:val="20"/>
              </w:rPr>
              <w:t xml:space="preserve"> </w:t>
            </w:r>
            <w:r>
              <w:rPr>
                <w:spacing w:val="-11"/>
                <w:sz w:val="20"/>
                <w:szCs w:val="20"/>
              </w:rPr>
              <w:t>进</w:t>
            </w:r>
            <w:r>
              <w:rPr>
                <w:spacing w:val="-45"/>
                <w:sz w:val="20"/>
                <w:szCs w:val="20"/>
              </w:rPr>
              <w:t xml:space="preserve"> </w:t>
            </w:r>
            <w:r>
              <w:rPr>
                <w:spacing w:val="-11"/>
                <w:sz w:val="20"/>
                <w:szCs w:val="20"/>
              </w:rPr>
              <w:t>入</w:t>
            </w:r>
            <w:r>
              <w:rPr>
                <w:spacing w:val="-40"/>
                <w:sz w:val="20"/>
                <w:szCs w:val="20"/>
              </w:rPr>
              <w:t xml:space="preserve"> </w:t>
            </w:r>
            <w:r>
              <w:rPr>
                <w:spacing w:val="-11"/>
                <w:sz w:val="20"/>
                <w:szCs w:val="20"/>
              </w:rPr>
              <w:t>一</w:t>
            </w:r>
            <w:r>
              <w:rPr>
                <w:spacing w:val="-44"/>
                <w:sz w:val="20"/>
                <w:szCs w:val="20"/>
              </w:rPr>
              <w:t xml:space="preserve"> </w:t>
            </w:r>
            <w:r>
              <w:rPr>
                <w:spacing w:val="-11"/>
                <w:sz w:val="20"/>
                <w:szCs w:val="20"/>
              </w:rPr>
              <w:t>体</w:t>
            </w:r>
            <w:r>
              <w:rPr>
                <w:spacing w:val="-43"/>
                <w:sz w:val="20"/>
                <w:szCs w:val="20"/>
              </w:rPr>
              <w:t xml:space="preserve"> </w:t>
            </w:r>
            <w:r>
              <w:rPr>
                <w:spacing w:val="-11"/>
                <w:sz w:val="20"/>
                <w:szCs w:val="20"/>
              </w:rPr>
              <w:t>化</w:t>
            </w:r>
            <w:r>
              <w:rPr>
                <w:spacing w:val="-42"/>
                <w:sz w:val="20"/>
                <w:szCs w:val="20"/>
              </w:rPr>
              <w:t xml:space="preserve"> </w:t>
            </w:r>
            <w:r>
              <w:rPr>
                <w:spacing w:val="-11"/>
                <w:sz w:val="20"/>
                <w:szCs w:val="20"/>
              </w:rPr>
              <w:t>生</w:t>
            </w:r>
            <w:r>
              <w:rPr>
                <w:spacing w:val="-40"/>
                <w:sz w:val="20"/>
                <w:szCs w:val="20"/>
              </w:rPr>
              <w:t xml:space="preserve"> </w:t>
            </w:r>
            <w:r>
              <w:rPr>
                <w:spacing w:val="-11"/>
                <w:sz w:val="20"/>
                <w:szCs w:val="20"/>
              </w:rPr>
              <w:t>活</w:t>
            </w:r>
            <w:r>
              <w:rPr>
                <w:spacing w:val="-42"/>
                <w:sz w:val="20"/>
                <w:szCs w:val="20"/>
              </w:rPr>
              <w:t xml:space="preserve"> </w:t>
            </w:r>
            <w:r>
              <w:rPr>
                <w:spacing w:val="-11"/>
                <w:sz w:val="20"/>
                <w:szCs w:val="20"/>
              </w:rPr>
              <w:t>污</w:t>
            </w:r>
            <w:r>
              <w:rPr>
                <w:spacing w:val="-41"/>
                <w:sz w:val="20"/>
                <w:szCs w:val="20"/>
              </w:rPr>
              <w:t xml:space="preserve"> </w:t>
            </w:r>
            <w:r>
              <w:rPr>
                <w:spacing w:val="-11"/>
                <w:sz w:val="20"/>
                <w:szCs w:val="20"/>
              </w:rPr>
              <w:t>水</w:t>
            </w:r>
            <w:r>
              <w:rPr>
                <w:spacing w:val="-40"/>
                <w:sz w:val="20"/>
                <w:szCs w:val="20"/>
              </w:rPr>
              <w:t xml:space="preserve"> </w:t>
            </w:r>
            <w:r>
              <w:rPr>
                <w:spacing w:val="-11"/>
                <w:sz w:val="20"/>
                <w:szCs w:val="20"/>
              </w:rPr>
              <w:t>处</w:t>
            </w:r>
            <w:r>
              <w:rPr>
                <w:spacing w:val="-41"/>
                <w:sz w:val="20"/>
                <w:szCs w:val="20"/>
              </w:rPr>
              <w:t xml:space="preserve"> </w:t>
            </w:r>
            <w:r>
              <w:rPr>
                <w:spacing w:val="-11"/>
                <w:sz w:val="20"/>
                <w:szCs w:val="20"/>
              </w:rPr>
              <w:t>理</w:t>
            </w:r>
            <w:r>
              <w:rPr>
                <w:spacing w:val="-43"/>
                <w:sz w:val="20"/>
                <w:szCs w:val="20"/>
              </w:rPr>
              <w:t xml:space="preserve"> </w:t>
            </w:r>
            <w:r>
              <w:rPr>
                <w:spacing w:val="-11"/>
                <w:sz w:val="20"/>
                <w:szCs w:val="20"/>
              </w:rPr>
              <w:t>站 内</w:t>
            </w:r>
            <w:r>
              <w:rPr>
                <w:spacing w:val="-27"/>
                <w:sz w:val="20"/>
                <w:szCs w:val="20"/>
              </w:rPr>
              <w:t xml:space="preserve"> </w:t>
            </w:r>
            <w:r>
              <w:rPr>
                <w:spacing w:val="-11"/>
                <w:sz w:val="20"/>
                <w:szCs w:val="20"/>
              </w:rPr>
              <w:t>，</w:t>
            </w:r>
            <w:r>
              <w:rPr>
                <w:spacing w:val="-42"/>
                <w:sz w:val="20"/>
                <w:szCs w:val="20"/>
              </w:rPr>
              <w:t xml:space="preserve"> </w:t>
            </w:r>
            <w:r>
              <w:rPr>
                <w:spacing w:val="-11"/>
                <w:sz w:val="20"/>
                <w:szCs w:val="20"/>
              </w:rPr>
              <w:t>经</w:t>
            </w:r>
            <w:r>
              <w:rPr>
                <w:spacing w:val="-40"/>
                <w:sz w:val="20"/>
                <w:szCs w:val="20"/>
              </w:rPr>
              <w:t xml:space="preserve"> </w:t>
            </w:r>
            <w:r>
              <w:rPr>
                <w:spacing w:val="-11"/>
                <w:sz w:val="20"/>
                <w:szCs w:val="20"/>
              </w:rPr>
              <w:t>处</w:t>
            </w:r>
            <w:r>
              <w:rPr>
                <w:spacing w:val="-41"/>
                <w:sz w:val="20"/>
                <w:szCs w:val="20"/>
              </w:rPr>
              <w:t xml:space="preserve"> </w:t>
            </w:r>
            <w:r>
              <w:rPr>
                <w:spacing w:val="-11"/>
                <w:sz w:val="20"/>
                <w:szCs w:val="20"/>
              </w:rPr>
              <w:t>理</w:t>
            </w:r>
            <w:r>
              <w:rPr>
                <w:spacing w:val="-44"/>
                <w:sz w:val="20"/>
                <w:szCs w:val="20"/>
              </w:rPr>
              <w:t xml:space="preserve"> </w:t>
            </w:r>
            <w:r>
              <w:rPr>
                <w:spacing w:val="-12"/>
                <w:sz w:val="20"/>
                <w:szCs w:val="20"/>
              </w:rPr>
              <w:t>达</w:t>
            </w:r>
            <w:r>
              <w:rPr>
                <w:spacing w:val="-39"/>
                <w:sz w:val="20"/>
                <w:szCs w:val="20"/>
              </w:rPr>
              <w:t xml:space="preserve"> </w:t>
            </w:r>
            <w:r>
              <w:rPr>
                <w:spacing w:val="-12"/>
                <w:sz w:val="20"/>
                <w:szCs w:val="20"/>
              </w:rPr>
              <w:t>到</w:t>
            </w:r>
            <w:r>
              <w:rPr>
                <w:spacing w:val="-51"/>
                <w:sz w:val="20"/>
                <w:szCs w:val="20"/>
              </w:rPr>
              <w:t xml:space="preserve"> </w:t>
            </w:r>
            <w:r>
              <w:rPr>
                <w:spacing w:val="-12"/>
                <w:sz w:val="20"/>
                <w:szCs w:val="20"/>
              </w:rPr>
              <w:t>《</w:t>
            </w:r>
            <w:r>
              <w:rPr>
                <w:spacing w:val="-24"/>
                <w:sz w:val="20"/>
                <w:szCs w:val="20"/>
              </w:rPr>
              <w:t xml:space="preserve"> </w:t>
            </w:r>
            <w:r>
              <w:rPr>
                <w:spacing w:val="-12"/>
                <w:sz w:val="20"/>
                <w:szCs w:val="20"/>
              </w:rPr>
              <w:t>城</w:t>
            </w:r>
            <w:r>
              <w:rPr>
                <w:spacing w:val="-38"/>
                <w:sz w:val="20"/>
                <w:szCs w:val="20"/>
              </w:rPr>
              <w:t xml:space="preserve"> </w:t>
            </w:r>
            <w:r>
              <w:rPr>
                <w:spacing w:val="-12"/>
                <w:sz w:val="20"/>
                <w:szCs w:val="20"/>
              </w:rPr>
              <w:t>市</w:t>
            </w:r>
            <w:r>
              <w:rPr>
                <w:spacing w:val="-42"/>
                <w:sz w:val="20"/>
                <w:szCs w:val="20"/>
              </w:rPr>
              <w:t xml:space="preserve"> </w:t>
            </w:r>
            <w:r>
              <w:rPr>
                <w:spacing w:val="-12"/>
                <w:sz w:val="20"/>
                <w:szCs w:val="20"/>
              </w:rPr>
              <w:t>污</w:t>
            </w:r>
            <w:r>
              <w:rPr>
                <w:spacing w:val="-41"/>
                <w:sz w:val="20"/>
                <w:szCs w:val="20"/>
              </w:rPr>
              <w:t xml:space="preserve"> </w:t>
            </w:r>
            <w:r>
              <w:rPr>
                <w:spacing w:val="-12"/>
                <w:sz w:val="20"/>
                <w:szCs w:val="20"/>
              </w:rPr>
              <w:t>水</w:t>
            </w:r>
            <w:r>
              <w:rPr>
                <w:spacing w:val="-42"/>
                <w:sz w:val="20"/>
                <w:szCs w:val="20"/>
              </w:rPr>
              <w:t xml:space="preserve"> </w:t>
            </w:r>
            <w:r>
              <w:rPr>
                <w:spacing w:val="-12"/>
                <w:sz w:val="20"/>
                <w:szCs w:val="20"/>
              </w:rPr>
              <w:t>再</w:t>
            </w:r>
            <w:r>
              <w:rPr>
                <w:spacing w:val="-42"/>
                <w:sz w:val="20"/>
                <w:szCs w:val="20"/>
              </w:rPr>
              <w:t xml:space="preserve"> </w:t>
            </w:r>
            <w:r>
              <w:rPr>
                <w:spacing w:val="-12"/>
                <w:sz w:val="20"/>
                <w:szCs w:val="20"/>
              </w:rPr>
              <w:t>生</w:t>
            </w:r>
            <w:r>
              <w:rPr>
                <w:spacing w:val="-43"/>
                <w:sz w:val="20"/>
                <w:szCs w:val="20"/>
              </w:rPr>
              <w:t xml:space="preserve"> </w:t>
            </w:r>
            <w:r>
              <w:rPr>
                <w:spacing w:val="-12"/>
                <w:sz w:val="20"/>
                <w:szCs w:val="20"/>
              </w:rPr>
              <w:t>利</w:t>
            </w:r>
            <w:r>
              <w:rPr>
                <w:spacing w:val="-42"/>
                <w:sz w:val="20"/>
                <w:szCs w:val="20"/>
              </w:rPr>
              <w:t xml:space="preserve"> </w:t>
            </w:r>
            <w:r>
              <w:rPr>
                <w:spacing w:val="-12"/>
                <w:sz w:val="20"/>
                <w:szCs w:val="20"/>
              </w:rPr>
              <w:t>用</w:t>
            </w:r>
            <w:r>
              <w:rPr>
                <w:spacing w:val="-44"/>
                <w:sz w:val="20"/>
                <w:szCs w:val="20"/>
              </w:rPr>
              <w:t xml:space="preserve"> </w:t>
            </w:r>
            <w:r>
              <w:rPr>
                <w:spacing w:val="-12"/>
                <w:sz w:val="20"/>
                <w:szCs w:val="20"/>
              </w:rPr>
              <w:t>城</w:t>
            </w:r>
            <w:r>
              <w:rPr>
                <w:spacing w:val="-38"/>
                <w:sz w:val="20"/>
                <w:szCs w:val="20"/>
              </w:rPr>
              <w:t xml:space="preserve"> </w:t>
            </w:r>
            <w:r>
              <w:rPr>
                <w:spacing w:val="-12"/>
                <w:sz w:val="20"/>
                <w:szCs w:val="20"/>
              </w:rPr>
              <w:t>市</w:t>
            </w:r>
            <w:r>
              <w:rPr>
                <w:spacing w:val="-42"/>
                <w:sz w:val="20"/>
                <w:szCs w:val="20"/>
              </w:rPr>
              <w:t xml:space="preserve"> </w:t>
            </w:r>
            <w:r>
              <w:rPr>
                <w:spacing w:val="-12"/>
                <w:sz w:val="20"/>
                <w:szCs w:val="20"/>
              </w:rPr>
              <w:t>杂</w:t>
            </w:r>
            <w:r>
              <w:rPr>
                <w:sz w:val="20"/>
                <w:szCs w:val="20"/>
              </w:rPr>
              <w:t xml:space="preserve"> </w:t>
            </w:r>
            <w:r>
              <w:rPr>
                <w:spacing w:val="34"/>
                <w:sz w:val="20"/>
                <w:szCs w:val="20"/>
              </w:rPr>
              <w:t>用水水质》(</w:t>
            </w:r>
            <w:r>
              <w:rPr>
                <w:sz w:val="20"/>
                <w:szCs w:val="20"/>
              </w:rPr>
              <w:t>GB</w:t>
            </w:r>
            <w:r>
              <w:rPr>
                <w:spacing w:val="34"/>
                <w:sz w:val="20"/>
                <w:szCs w:val="20"/>
              </w:rPr>
              <w:t>/T18920-</w:t>
            </w:r>
            <w:r>
              <w:rPr>
                <w:spacing w:val="-56"/>
                <w:sz w:val="20"/>
                <w:szCs w:val="20"/>
              </w:rPr>
              <w:t xml:space="preserve"> </w:t>
            </w:r>
            <w:r>
              <w:rPr>
                <w:spacing w:val="34"/>
                <w:sz w:val="20"/>
                <w:szCs w:val="20"/>
              </w:rPr>
              <w:t>2020)中“</w:t>
            </w:r>
            <w:r>
              <w:rPr>
                <w:spacing w:val="33"/>
                <w:sz w:val="20"/>
                <w:szCs w:val="20"/>
              </w:rPr>
              <w:t>城市绿化”标准要求后，用于升压站区绿化浇</w:t>
            </w:r>
            <w:r>
              <w:rPr>
                <w:sz w:val="20"/>
                <w:szCs w:val="20"/>
              </w:rPr>
              <w:t xml:space="preserve"> </w:t>
            </w:r>
            <w:r>
              <w:rPr>
                <w:spacing w:val="22"/>
                <w:sz w:val="20"/>
                <w:szCs w:val="20"/>
              </w:rPr>
              <w:t>灌</w:t>
            </w:r>
            <w:r>
              <w:rPr>
                <w:spacing w:val="-21"/>
                <w:sz w:val="20"/>
                <w:szCs w:val="20"/>
              </w:rPr>
              <w:t xml:space="preserve"> </w:t>
            </w:r>
            <w:r>
              <w:rPr>
                <w:spacing w:val="22"/>
                <w:sz w:val="20"/>
                <w:szCs w:val="20"/>
              </w:rPr>
              <w:t>，</w:t>
            </w:r>
            <w:r>
              <w:rPr>
                <w:spacing w:val="-38"/>
                <w:sz w:val="20"/>
                <w:szCs w:val="20"/>
              </w:rPr>
              <w:t xml:space="preserve"> </w:t>
            </w:r>
            <w:r>
              <w:rPr>
                <w:spacing w:val="22"/>
                <w:sz w:val="20"/>
                <w:szCs w:val="20"/>
              </w:rPr>
              <w:t>雨天储存不外排</w:t>
            </w:r>
            <w:r>
              <w:rPr>
                <w:spacing w:val="-53"/>
                <w:sz w:val="20"/>
                <w:szCs w:val="20"/>
              </w:rPr>
              <w:t xml:space="preserve"> </w:t>
            </w:r>
            <w:r>
              <w:rPr>
                <w:spacing w:val="22"/>
                <w:sz w:val="20"/>
                <w:szCs w:val="20"/>
              </w:rPr>
              <w:t>。</w:t>
            </w:r>
          </w:p>
          <w:p w14:paraId="76853A02">
            <w:pPr>
              <w:pStyle w:val="6"/>
              <w:spacing w:line="219" w:lineRule="auto"/>
              <w:ind w:left="570"/>
              <w:rPr>
                <w:sz w:val="20"/>
                <w:szCs w:val="20"/>
              </w:rPr>
            </w:pPr>
            <w:r>
              <w:rPr>
                <w:spacing w:val="-8"/>
                <w:sz w:val="20"/>
                <w:szCs w:val="20"/>
              </w:rPr>
              <w:t>3</w:t>
            </w:r>
            <w:r>
              <w:rPr>
                <w:spacing w:val="-16"/>
                <w:sz w:val="20"/>
                <w:szCs w:val="20"/>
              </w:rPr>
              <w:t xml:space="preserve"> </w:t>
            </w:r>
            <w:r>
              <w:rPr>
                <w:spacing w:val="-8"/>
                <w:sz w:val="20"/>
                <w:szCs w:val="20"/>
              </w:rPr>
              <w:t>)</w:t>
            </w:r>
            <w:r>
              <w:rPr>
                <w:spacing w:val="-15"/>
                <w:sz w:val="20"/>
                <w:szCs w:val="20"/>
              </w:rPr>
              <w:t xml:space="preserve"> </w:t>
            </w:r>
            <w:r>
              <w:rPr>
                <w:spacing w:val="-8"/>
                <w:sz w:val="20"/>
                <w:szCs w:val="20"/>
              </w:rPr>
              <w:t>绿</w:t>
            </w:r>
            <w:r>
              <w:rPr>
                <w:spacing w:val="-15"/>
                <w:sz w:val="20"/>
                <w:szCs w:val="20"/>
              </w:rPr>
              <w:t xml:space="preserve"> </w:t>
            </w:r>
            <w:r>
              <w:rPr>
                <w:spacing w:val="-8"/>
                <w:sz w:val="20"/>
                <w:szCs w:val="20"/>
              </w:rPr>
              <w:t>化</w:t>
            </w:r>
            <w:r>
              <w:rPr>
                <w:spacing w:val="-14"/>
                <w:sz w:val="20"/>
                <w:szCs w:val="20"/>
              </w:rPr>
              <w:t xml:space="preserve"> </w:t>
            </w:r>
            <w:r>
              <w:rPr>
                <w:spacing w:val="-8"/>
                <w:sz w:val="20"/>
                <w:szCs w:val="20"/>
              </w:rPr>
              <w:t>用</w:t>
            </w:r>
            <w:r>
              <w:rPr>
                <w:spacing w:val="-14"/>
                <w:sz w:val="20"/>
                <w:szCs w:val="20"/>
              </w:rPr>
              <w:t xml:space="preserve"> </w:t>
            </w:r>
            <w:r>
              <w:rPr>
                <w:spacing w:val="-8"/>
                <w:sz w:val="20"/>
                <w:szCs w:val="20"/>
              </w:rPr>
              <w:t>水</w:t>
            </w:r>
          </w:p>
          <w:p w14:paraId="75D7FB51">
            <w:pPr>
              <w:pStyle w:val="6"/>
              <w:spacing w:before="230" w:line="432" w:lineRule="auto"/>
              <w:ind w:left="120" w:right="56" w:firstLine="479"/>
              <w:rPr>
                <w:sz w:val="20"/>
                <w:szCs w:val="20"/>
              </w:rPr>
            </w:pPr>
            <w:r>
              <w:rPr>
                <w:spacing w:val="40"/>
                <w:sz w:val="20"/>
                <w:szCs w:val="20"/>
              </w:rPr>
              <w:t>根据可研设计资料，项目升压站设置500m²的绿化面积。根据《云南省地方</w:t>
            </w:r>
            <w:r>
              <w:rPr>
                <w:spacing w:val="6"/>
                <w:sz w:val="20"/>
                <w:szCs w:val="20"/>
              </w:rPr>
              <w:t xml:space="preserve"> </w:t>
            </w:r>
            <w:r>
              <w:rPr>
                <w:spacing w:val="29"/>
                <w:sz w:val="20"/>
                <w:szCs w:val="20"/>
              </w:rPr>
              <w:t>标准</w:t>
            </w:r>
            <w:r>
              <w:rPr>
                <w:spacing w:val="-53"/>
                <w:sz w:val="20"/>
                <w:szCs w:val="20"/>
              </w:rPr>
              <w:t xml:space="preserve"> </w:t>
            </w:r>
            <w:r>
              <w:rPr>
                <w:spacing w:val="29"/>
                <w:sz w:val="20"/>
                <w:szCs w:val="20"/>
              </w:rPr>
              <w:t>一</w:t>
            </w:r>
            <w:r>
              <w:rPr>
                <w:spacing w:val="-55"/>
                <w:sz w:val="20"/>
                <w:szCs w:val="20"/>
              </w:rPr>
              <w:t xml:space="preserve"> </w:t>
            </w:r>
            <w:r>
              <w:rPr>
                <w:spacing w:val="29"/>
                <w:sz w:val="20"/>
                <w:szCs w:val="20"/>
              </w:rPr>
              <w:t>用水定额》(</w:t>
            </w:r>
            <w:r>
              <w:rPr>
                <w:sz w:val="20"/>
                <w:szCs w:val="20"/>
              </w:rPr>
              <w:t>DB</w:t>
            </w:r>
            <w:r>
              <w:rPr>
                <w:spacing w:val="29"/>
                <w:sz w:val="20"/>
                <w:szCs w:val="20"/>
              </w:rPr>
              <w:t>53/T168</w:t>
            </w:r>
            <w:r>
              <w:rPr>
                <w:spacing w:val="-57"/>
                <w:sz w:val="20"/>
                <w:szCs w:val="20"/>
              </w:rPr>
              <w:t xml:space="preserve"> </w:t>
            </w:r>
            <w:r>
              <w:rPr>
                <w:spacing w:val="29"/>
                <w:sz w:val="20"/>
                <w:szCs w:val="20"/>
              </w:rPr>
              <w:t>-</w:t>
            </w:r>
            <w:r>
              <w:rPr>
                <w:spacing w:val="-54"/>
                <w:sz w:val="20"/>
                <w:szCs w:val="20"/>
              </w:rPr>
              <w:t xml:space="preserve"> </w:t>
            </w:r>
            <w:r>
              <w:rPr>
                <w:spacing w:val="29"/>
                <w:sz w:val="20"/>
                <w:szCs w:val="20"/>
              </w:rPr>
              <w:t>201</w:t>
            </w:r>
            <w:r>
              <w:rPr>
                <w:spacing w:val="28"/>
                <w:sz w:val="20"/>
                <w:szCs w:val="20"/>
              </w:rPr>
              <w:t>3),绿化用水按3L/m² ·</w:t>
            </w:r>
            <w:r>
              <w:rPr>
                <w:spacing w:val="-50"/>
                <w:sz w:val="20"/>
                <w:szCs w:val="20"/>
              </w:rPr>
              <w:t xml:space="preserve"> </w:t>
            </w:r>
            <w:r>
              <w:rPr>
                <w:spacing w:val="28"/>
                <w:sz w:val="20"/>
                <w:szCs w:val="20"/>
              </w:rPr>
              <w:t>次计，雨天绿化不用</w:t>
            </w:r>
            <w:r>
              <w:rPr>
                <w:sz w:val="20"/>
                <w:szCs w:val="20"/>
              </w:rPr>
              <w:t xml:space="preserve"> </w:t>
            </w:r>
            <w:r>
              <w:rPr>
                <w:spacing w:val="-13"/>
                <w:sz w:val="20"/>
                <w:szCs w:val="20"/>
              </w:rPr>
              <w:t>水</w:t>
            </w:r>
            <w:r>
              <w:rPr>
                <w:spacing w:val="-27"/>
                <w:sz w:val="20"/>
                <w:szCs w:val="20"/>
              </w:rPr>
              <w:t xml:space="preserve"> </w:t>
            </w:r>
            <w:r>
              <w:rPr>
                <w:spacing w:val="-13"/>
                <w:sz w:val="20"/>
                <w:szCs w:val="20"/>
              </w:rPr>
              <w:t>。</w:t>
            </w:r>
            <w:r>
              <w:rPr>
                <w:spacing w:val="-44"/>
                <w:sz w:val="20"/>
                <w:szCs w:val="20"/>
              </w:rPr>
              <w:t xml:space="preserve"> </w:t>
            </w:r>
            <w:r>
              <w:rPr>
                <w:spacing w:val="-13"/>
                <w:sz w:val="20"/>
                <w:szCs w:val="20"/>
              </w:rPr>
              <w:t>经</w:t>
            </w:r>
            <w:r>
              <w:rPr>
                <w:spacing w:val="-44"/>
                <w:sz w:val="20"/>
                <w:szCs w:val="20"/>
              </w:rPr>
              <w:t xml:space="preserve"> </w:t>
            </w:r>
            <w:r>
              <w:rPr>
                <w:spacing w:val="-13"/>
                <w:sz w:val="20"/>
                <w:szCs w:val="20"/>
              </w:rPr>
              <w:t>查</w:t>
            </w:r>
            <w:r>
              <w:rPr>
                <w:spacing w:val="-29"/>
                <w:sz w:val="20"/>
                <w:szCs w:val="20"/>
              </w:rPr>
              <w:t xml:space="preserve"> </w:t>
            </w:r>
            <w:r>
              <w:rPr>
                <w:spacing w:val="-13"/>
                <w:sz w:val="20"/>
                <w:szCs w:val="20"/>
              </w:rPr>
              <w:t>阅</w:t>
            </w:r>
            <w:r>
              <w:rPr>
                <w:spacing w:val="-37"/>
                <w:sz w:val="20"/>
                <w:szCs w:val="20"/>
              </w:rPr>
              <w:t xml:space="preserve"> </w:t>
            </w:r>
            <w:r>
              <w:rPr>
                <w:spacing w:val="-13"/>
                <w:sz w:val="20"/>
                <w:szCs w:val="20"/>
              </w:rPr>
              <w:t>资</w:t>
            </w:r>
            <w:r>
              <w:rPr>
                <w:spacing w:val="-46"/>
                <w:sz w:val="20"/>
                <w:szCs w:val="20"/>
              </w:rPr>
              <w:t xml:space="preserve"> </w:t>
            </w:r>
            <w:r>
              <w:rPr>
                <w:spacing w:val="-13"/>
                <w:sz w:val="20"/>
                <w:szCs w:val="20"/>
              </w:rPr>
              <w:t>料</w:t>
            </w:r>
            <w:r>
              <w:rPr>
                <w:spacing w:val="-30"/>
                <w:sz w:val="20"/>
                <w:szCs w:val="20"/>
              </w:rPr>
              <w:t xml:space="preserve"> </w:t>
            </w:r>
            <w:r>
              <w:rPr>
                <w:spacing w:val="-13"/>
                <w:sz w:val="20"/>
                <w:szCs w:val="20"/>
              </w:rPr>
              <w:t>，</w:t>
            </w:r>
            <w:r>
              <w:rPr>
                <w:spacing w:val="-40"/>
                <w:sz w:val="20"/>
                <w:szCs w:val="20"/>
              </w:rPr>
              <w:t xml:space="preserve"> </w:t>
            </w:r>
            <w:r>
              <w:rPr>
                <w:spacing w:val="-13"/>
                <w:sz w:val="20"/>
                <w:szCs w:val="20"/>
              </w:rPr>
              <w:t>马</w:t>
            </w:r>
            <w:r>
              <w:rPr>
                <w:spacing w:val="-44"/>
                <w:sz w:val="20"/>
                <w:szCs w:val="20"/>
              </w:rPr>
              <w:t xml:space="preserve"> </w:t>
            </w:r>
            <w:r>
              <w:rPr>
                <w:spacing w:val="-13"/>
                <w:sz w:val="20"/>
                <w:szCs w:val="20"/>
              </w:rPr>
              <w:t>龙</w:t>
            </w:r>
            <w:r>
              <w:rPr>
                <w:spacing w:val="-31"/>
                <w:sz w:val="20"/>
                <w:szCs w:val="20"/>
              </w:rPr>
              <w:t xml:space="preserve"> </w:t>
            </w:r>
            <w:r>
              <w:rPr>
                <w:spacing w:val="-13"/>
                <w:sz w:val="20"/>
                <w:szCs w:val="20"/>
              </w:rPr>
              <w:t>区</w:t>
            </w:r>
            <w:r>
              <w:rPr>
                <w:spacing w:val="-43"/>
                <w:sz w:val="20"/>
                <w:szCs w:val="20"/>
              </w:rPr>
              <w:t xml:space="preserve"> </w:t>
            </w:r>
            <w:r>
              <w:rPr>
                <w:spacing w:val="-13"/>
                <w:sz w:val="20"/>
                <w:szCs w:val="20"/>
              </w:rPr>
              <w:t>非</w:t>
            </w:r>
            <w:r>
              <w:rPr>
                <w:spacing w:val="-38"/>
                <w:sz w:val="20"/>
                <w:szCs w:val="20"/>
              </w:rPr>
              <w:t xml:space="preserve"> </w:t>
            </w:r>
            <w:r>
              <w:rPr>
                <w:spacing w:val="-13"/>
                <w:sz w:val="20"/>
                <w:szCs w:val="20"/>
              </w:rPr>
              <w:t>雨</w:t>
            </w:r>
            <w:r>
              <w:rPr>
                <w:spacing w:val="-43"/>
                <w:sz w:val="20"/>
                <w:szCs w:val="20"/>
              </w:rPr>
              <w:t xml:space="preserve"> </w:t>
            </w:r>
            <w:r>
              <w:rPr>
                <w:spacing w:val="-13"/>
                <w:sz w:val="20"/>
                <w:szCs w:val="20"/>
              </w:rPr>
              <w:t>天</w:t>
            </w:r>
            <w:r>
              <w:rPr>
                <w:spacing w:val="-41"/>
                <w:sz w:val="20"/>
                <w:szCs w:val="20"/>
              </w:rPr>
              <w:t xml:space="preserve"> </w:t>
            </w:r>
            <w:r>
              <w:rPr>
                <w:spacing w:val="-13"/>
                <w:sz w:val="20"/>
                <w:szCs w:val="20"/>
              </w:rPr>
              <w:t>约</w:t>
            </w:r>
            <w:r>
              <w:rPr>
                <w:spacing w:val="-43"/>
                <w:sz w:val="20"/>
                <w:szCs w:val="20"/>
              </w:rPr>
              <w:t xml:space="preserve"> </w:t>
            </w:r>
            <w:r>
              <w:rPr>
                <w:spacing w:val="-13"/>
                <w:sz w:val="20"/>
                <w:szCs w:val="20"/>
              </w:rPr>
              <w:t>为</w:t>
            </w:r>
            <w:r>
              <w:rPr>
                <w:spacing w:val="-44"/>
                <w:sz w:val="20"/>
                <w:szCs w:val="20"/>
              </w:rPr>
              <w:t xml:space="preserve"> </w:t>
            </w:r>
            <w:r>
              <w:rPr>
                <w:spacing w:val="-13"/>
                <w:sz w:val="20"/>
                <w:szCs w:val="20"/>
              </w:rPr>
              <w:t>2</w:t>
            </w:r>
            <w:r>
              <w:rPr>
                <w:spacing w:val="-44"/>
                <w:sz w:val="20"/>
                <w:szCs w:val="20"/>
              </w:rPr>
              <w:t xml:space="preserve"> </w:t>
            </w:r>
            <w:r>
              <w:rPr>
                <w:spacing w:val="-13"/>
                <w:sz w:val="20"/>
                <w:szCs w:val="20"/>
              </w:rPr>
              <w:t>2</w:t>
            </w:r>
            <w:r>
              <w:rPr>
                <w:spacing w:val="-44"/>
                <w:sz w:val="20"/>
                <w:szCs w:val="20"/>
              </w:rPr>
              <w:t xml:space="preserve"> </w:t>
            </w:r>
            <w:r>
              <w:rPr>
                <w:spacing w:val="-13"/>
                <w:sz w:val="20"/>
                <w:szCs w:val="20"/>
              </w:rPr>
              <w:t>0</w:t>
            </w:r>
            <w:r>
              <w:rPr>
                <w:spacing w:val="-42"/>
                <w:sz w:val="20"/>
                <w:szCs w:val="20"/>
              </w:rPr>
              <w:t xml:space="preserve"> </w:t>
            </w:r>
            <w:r>
              <w:rPr>
                <w:spacing w:val="-13"/>
                <w:sz w:val="20"/>
                <w:szCs w:val="20"/>
              </w:rPr>
              <w:t>天</w:t>
            </w:r>
            <w:r>
              <w:rPr>
                <w:spacing w:val="-30"/>
                <w:sz w:val="20"/>
                <w:szCs w:val="20"/>
              </w:rPr>
              <w:t xml:space="preserve"> </w:t>
            </w:r>
            <w:r>
              <w:rPr>
                <w:spacing w:val="-13"/>
                <w:sz w:val="20"/>
                <w:szCs w:val="20"/>
              </w:rPr>
              <w:t>，</w:t>
            </w:r>
            <w:r>
              <w:rPr>
                <w:spacing w:val="-44"/>
                <w:sz w:val="20"/>
                <w:szCs w:val="20"/>
              </w:rPr>
              <w:t xml:space="preserve"> </w:t>
            </w:r>
            <w:r>
              <w:rPr>
                <w:spacing w:val="-13"/>
                <w:sz w:val="20"/>
                <w:szCs w:val="20"/>
              </w:rPr>
              <w:t>按</w:t>
            </w:r>
            <w:r>
              <w:rPr>
                <w:spacing w:val="-43"/>
                <w:sz w:val="20"/>
                <w:szCs w:val="20"/>
              </w:rPr>
              <w:t xml:space="preserve"> </w:t>
            </w:r>
            <w:r>
              <w:rPr>
                <w:spacing w:val="-13"/>
                <w:sz w:val="20"/>
                <w:szCs w:val="20"/>
              </w:rPr>
              <w:t>非</w:t>
            </w:r>
            <w:r>
              <w:rPr>
                <w:spacing w:val="-38"/>
                <w:sz w:val="20"/>
                <w:szCs w:val="20"/>
              </w:rPr>
              <w:t xml:space="preserve"> </w:t>
            </w:r>
            <w:r>
              <w:rPr>
                <w:spacing w:val="-13"/>
                <w:sz w:val="20"/>
                <w:szCs w:val="20"/>
              </w:rPr>
              <w:t>雨</w:t>
            </w:r>
            <w:r>
              <w:rPr>
                <w:spacing w:val="-42"/>
                <w:sz w:val="20"/>
                <w:szCs w:val="20"/>
              </w:rPr>
              <w:t xml:space="preserve"> </w:t>
            </w:r>
            <w:r>
              <w:rPr>
                <w:spacing w:val="-13"/>
                <w:sz w:val="20"/>
                <w:szCs w:val="20"/>
              </w:rPr>
              <w:t>天</w:t>
            </w:r>
            <w:r>
              <w:rPr>
                <w:spacing w:val="-47"/>
                <w:sz w:val="20"/>
                <w:szCs w:val="20"/>
              </w:rPr>
              <w:t xml:space="preserve"> </w:t>
            </w:r>
            <w:r>
              <w:rPr>
                <w:spacing w:val="-14"/>
                <w:sz w:val="20"/>
                <w:szCs w:val="20"/>
              </w:rPr>
              <w:t>每</w:t>
            </w:r>
            <w:r>
              <w:rPr>
                <w:spacing w:val="-42"/>
                <w:sz w:val="20"/>
                <w:szCs w:val="20"/>
              </w:rPr>
              <w:t xml:space="preserve"> </w:t>
            </w:r>
            <w:r>
              <w:rPr>
                <w:spacing w:val="-14"/>
                <w:sz w:val="20"/>
                <w:szCs w:val="20"/>
              </w:rPr>
              <w:t>天</w:t>
            </w:r>
            <w:r>
              <w:rPr>
                <w:spacing w:val="-31"/>
                <w:sz w:val="20"/>
                <w:szCs w:val="20"/>
              </w:rPr>
              <w:t xml:space="preserve"> </w:t>
            </w:r>
            <w:r>
              <w:rPr>
                <w:spacing w:val="-14"/>
                <w:sz w:val="20"/>
                <w:szCs w:val="20"/>
              </w:rPr>
              <w:t>1</w:t>
            </w:r>
            <w:r>
              <w:rPr>
                <w:spacing w:val="-41"/>
                <w:sz w:val="20"/>
                <w:szCs w:val="20"/>
              </w:rPr>
              <w:t xml:space="preserve"> </w:t>
            </w:r>
            <w:r>
              <w:rPr>
                <w:spacing w:val="-14"/>
                <w:sz w:val="20"/>
                <w:szCs w:val="20"/>
              </w:rPr>
              <w:t>次</w:t>
            </w:r>
            <w:r>
              <w:rPr>
                <w:spacing w:val="-44"/>
                <w:sz w:val="20"/>
                <w:szCs w:val="20"/>
              </w:rPr>
              <w:t xml:space="preserve"> </w:t>
            </w:r>
            <w:r>
              <w:rPr>
                <w:spacing w:val="-14"/>
                <w:sz w:val="20"/>
                <w:szCs w:val="20"/>
              </w:rPr>
              <w:t>绿</w:t>
            </w:r>
            <w:r>
              <w:rPr>
                <w:spacing w:val="-45"/>
                <w:sz w:val="20"/>
                <w:szCs w:val="20"/>
              </w:rPr>
              <w:t xml:space="preserve"> </w:t>
            </w:r>
            <w:r>
              <w:rPr>
                <w:spacing w:val="-14"/>
                <w:sz w:val="20"/>
                <w:szCs w:val="20"/>
              </w:rPr>
              <w:t>化</w:t>
            </w:r>
            <w:r>
              <w:rPr>
                <w:spacing w:val="-46"/>
                <w:sz w:val="20"/>
                <w:szCs w:val="20"/>
              </w:rPr>
              <w:t xml:space="preserve"> </w:t>
            </w:r>
            <w:r>
              <w:rPr>
                <w:spacing w:val="-14"/>
                <w:sz w:val="20"/>
                <w:szCs w:val="20"/>
              </w:rPr>
              <w:t>浇</w:t>
            </w:r>
            <w:r>
              <w:rPr>
                <w:spacing w:val="-43"/>
                <w:sz w:val="20"/>
                <w:szCs w:val="20"/>
              </w:rPr>
              <w:t xml:space="preserve"> </w:t>
            </w:r>
            <w:r>
              <w:rPr>
                <w:spacing w:val="-14"/>
                <w:sz w:val="20"/>
                <w:szCs w:val="20"/>
              </w:rPr>
              <w:t>水</w:t>
            </w:r>
            <w:r>
              <w:rPr>
                <w:spacing w:val="-46"/>
                <w:sz w:val="20"/>
                <w:szCs w:val="20"/>
              </w:rPr>
              <w:t xml:space="preserve"> </w:t>
            </w:r>
            <w:r>
              <w:rPr>
                <w:spacing w:val="-14"/>
                <w:sz w:val="20"/>
                <w:szCs w:val="20"/>
              </w:rPr>
              <w:t>计</w:t>
            </w:r>
            <w:r>
              <w:rPr>
                <w:spacing w:val="-45"/>
                <w:sz w:val="20"/>
                <w:szCs w:val="20"/>
              </w:rPr>
              <w:t xml:space="preserve"> </w:t>
            </w:r>
            <w:r>
              <w:rPr>
                <w:spacing w:val="-14"/>
                <w:sz w:val="20"/>
                <w:szCs w:val="20"/>
              </w:rPr>
              <w:t>算</w:t>
            </w:r>
            <w:r>
              <w:rPr>
                <w:spacing w:val="-54"/>
                <w:sz w:val="20"/>
                <w:szCs w:val="20"/>
              </w:rPr>
              <w:t xml:space="preserve"> </w:t>
            </w:r>
            <w:r>
              <w:rPr>
                <w:spacing w:val="-14"/>
                <w:sz w:val="20"/>
                <w:szCs w:val="20"/>
              </w:rPr>
              <w:t>，</w:t>
            </w:r>
            <w:r>
              <w:rPr>
                <w:sz w:val="20"/>
                <w:szCs w:val="20"/>
              </w:rPr>
              <w:t xml:space="preserve"> </w:t>
            </w:r>
            <w:r>
              <w:rPr>
                <w:spacing w:val="33"/>
                <w:sz w:val="20"/>
                <w:szCs w:val="20"/>
              </w:rPr>
              <w:t>则项目区绿化用水量1</w:t>
            </w:r>
            <w:r>
              <w:rPr>
                <w:spacing w:val="-37"/>
                <w:sz w:val="20"/>
                <w:szCs w:val="20"/>
              </w:rPr>
              <w:t xml:space="preserve"> </w:t>
            </w:r>
            <w:r>
              <w:rPr>
                <w:spacing w:val="33"/>
                <w:sz w:val="20"/>
                <w:szCs w:val="20"/>
              </w:rPr>
              <w:t>.</w:t>
            </w:r>
            <w:r>
              <w:rPr>
                <w:spacing w:val="-51"/>
                <w:sz w:val="20"/>
                <w:szCs w:val="20"/>
              </w:rPr>
              <w:t xml:space="preserve"> </w:t>
            </w:r>
            <w:r>
              <w:rPr>
                <w:spacing w:val="33"/>
                <w:sz w:val="20"/>
                <w:szCs w:val="20"/>
              </w:rPr>
              <w:t>5m³/d,330m³/a,来源于生活污水经处理达标后的中水。</w:t>
            </w:r>
          </w:p>
          <w:p w14:paraId="534CD2BE">
            <w:pPr>
              <w:pStyle w:val="6"/>
              <w:spacing w:line="219" w:lineRule="auto"/>
              <w:ind w:left="590"/>
              <w:rPr>
                <w:sz w:val="20"/>
                <w:szCs w:val="20"/>
              </w:rPr>
            </w:pPr>
            <w:r>
              <w:rPr>
                <w:spacing w:val="36"/>
                <w:sz w:val="20"/>
                <w:szCs w:val="20"/>
              </w:rPr>
              <w:t>项目水平衡图详见图</w:t>
            </w:r>
            <w:r>
              <w:rPr>
                <w:spacing w:val="-52"/>
                <w:sz w:val="20"/>
                <w:szCs w:val="20"/>
              </w:rPr>
              <w:t xml:space="preserve"> </w:t>
            </w:r>
            <w:r>
              <w:rPr>
                <w:spacing w:val="36"/>
                <w:sz w:val="20"/>
                <w:szCs w:val="20"/>
              </w:rPr>
              <w:t>。</w:t>
            </w:r>
          </w:p>
        </w:tc>
      </w:tr>
      <w:tr w14:paraId="2E74F7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02" w:hRule="atLeast"/>
        </w:trPr>
        <w:tc>
          <w:tcPr>
            <w:tcW w:w="394" w:type="dxa"/>
            <w:vMerge w:val="restart"/>
            <w:tcBorders>
              <w:left w:val="single" w:color="000000" w:sz="4" w:space="0"/>
              <w:bottom w:val="nil"/>
              <w:right w:val="single" w:color="000000" w:sz="4" w:space="0"/>
            </w:tcBorders>
            <w:vAlign w:val="top"/>
          </w:tcPr>
          <w:p w14:paraId="71378B96">
            <w:pPr>
              <w:rPr>
                <w:rFonts w:ascii="Arial"/>
                <w:sz w:val="21"/>
              </w:rPr>
            </w:pPr>
          </w:p>
        </w:tc>
        <w:tc>
          <w:tcPr>
            <w:tcW w:w="8575" w:type="dxa"/>
            <w:gridSpan w:val="4"/>
            <w:tcBorders>
              <w:left w:val="single" w:color="000000" w:sz="4" w:space="0"/>
              <w:right w:val="single" w:color="000000" w:sz="4" w:space="0"/>
            </w:tcBorders>
            <w:vAlign w:val="top"/>
          </w:tcPr>
          <w:p w14:paraId="3454A51F">
            <w:pPr>
              <w:pStyle w:val="6"/>
              <w:spacing w:before="22"/>
              <w:ind w:left="3070"/>
              <w:rPr>
                <w:sz w:val="20"/>
                <w:szCs w:val="20"/>
              </w:rPr>
            </w:pPr>
            <w:r>
              <w:drawing>
                <wp:anchor distT="0" distB="0" distL="0" distR="0" simplePos="0" relativeHeight="251685888" behindDoc="1" locked="0" layoutInCell="1" allowOverlap="1">
                  <wp:simplePos x="0" y="0"/>
                  <wp:positionH relativeFrom="column">
                    <wp:posOffset>127000</wp:posOffset>
                  </wp:positionH>
                  <wp:positionV relativeFrom="paragraph">
                    <wp:posOffset>2540</wp:posOffset>
                  </wp:positionV>
                  <wp:extent cx="5270500" cy="181610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99"/>
                          <a:stretch>
                            <a:fillRect/>
                          </a:stretch>
                        </pic:blipFill>
                        <pic:spPr>
                          <a:xfrm>
                            <a:off x="0" y="0"/>
                            <a:ext cx="5270549" cy="1816167"/>
                          </a:xfrm>
                          <a:prstGeom prst="rect">
                            <a:avLst/>
                          </a:prstGeom>
                        </pic:spPr>
                      </pic:pic>
                    </a:graphicData>
                  </a:graphic>
                </wp:anchor>
              </w:drawing>
            </w:r>
            <w:r>
              <w:rPr>
                <w:spacing w:val="-3"/>
                <w:sz w:val="20"/>
                <w:szCs w:val="20"/>
              </w:rPr>
              <w:t>33</w:t>
            </w:r>
          </w:p>
          <w:p w14:paraId="47C03CDD">
            <w:pPr>
              <w:pStyle w:val="6"/>
              <w:tabs>
                <w:tab w:val="left" w:pos="1140"/>
              </w:tabs>
              <w:spacing w:before="59" w:line="194" w:lineRule="auto"/>
              <w:ind w:left="930"/>
              <w:rPr>
                <w:sz w:val="20"/>
                <w:szCs w:val="20"/>
              </w:rPr>
            </w:pPr>
            <w:r>
              <w:pict>
                <v:shape id="_x0000_s1075" o:spid="_x0000_s1075" o:spt="202" type="#_x0000_t202" style="position:absolute;left:0pt;margin-left:9.5pt;margin-top:10.5pt;height:14.5pt;width:414.7pt;z-index:251686912;mso-width-relative:page;mso-height-relative:page;" filled="f" stroked="f" coordsize="21600,21600">
                  <v:path/>
                  <v:fill on="f" focussize="0,0"/>
                  <v:stroke on="f"/>
                  <v:imagedata o:title=""/>
                  <o:lock v:ext="edit" aspectratio="f"/>
                  <v:textbox inset="0mm,0mm,0mm,0mm">
                    <w:txbxContent>
                      <w:p w14:paraId="1D4D65FA">
                        <w:pPr>
                          <w:pStyle w:val="6"/>
                          <w:spacing w:before="19" w:line="194" w:lineRule="auto"/>
                          <w:ind w:left="20"/>
                          <w:rPr>
                            <w:sz w:val="20"/>
                            <w:szCs w:val="20"/>
                          </w:rPr>
                        </w:pPr>
                        <w:r>
                          <w:rPr>
                            <w:spacing w:val="1"/>
                            <w:position w:val="4"/>
                            <w:sz w:val="20"/>
                            <w:szCs w:val="20"/>
                          </w:rPr>
                          <w:t xml:space="preserve">新鲜水                                     </w:t>
                        </w:r>
                        <w:r>
                          <w:rPr>
                            <w:spacing w:val="1"/>
                            <w:sz w:val="20"/>
                            <w:szCs w:val="20"/>
                          </w:rPr>
                          <w:t>为每年1次，清洗时间选择</w:t>
                        </w:r>
                        <w:r>
                          <w:rPr>
                            <w:sz w:val="20"/>
                            <w:szCs w:val="20"/>
                          </w:rPr>
                          <w:t>在农作物可浇灌期</w:t>
                        </w:r>
                      </w:p>
                    </w:txbxContent>
                  </v:textbox>
                </v:shape>
              </w:pict>
            </w:r>
            <w:r>
              <w:rPr>
                <w:sz w:val="20"/>
                <w:szCs w:val="20"/>
                <w:u w:val="single" w:color="auto"/>
              </w:rPr>
              <w:tab/>
            </w:r>
            <w:r>
              <w:rPr>
                <w:spacing w:val="-9"/>
                <w:sz w:val="20"/>
                <w:szCs w:val="20"/>
                <w:u w:val="single" w:color="auto"/>
              </w:rPr>
              <w:t>335</w:t>
            </w:r>
            <w:r>
              <w:rPr>
                <w:spacing w:val="-9"/>
                <w:sz w:val="20"/>
                <w:szCs w:val="20"/>
              </w:rPr>
              <w:t xml:space="preserve">   </w:t>
            </w:r>
            <w:r>
              <w:rPr>
                <w:spacing w:val="-90"/>
                <w:position w:val="-4"/>
                <w:sz w:val="20"/>
                <w:szCs w:val="20"/>
                <w:u w:val="single" w:color="auto"/>
              </w:rPr>
              <w:t xml:space="preserve"> </w:t>
            </w:r>
            <w:r>
              <w:rPr>
                <w:spacing w:val="-9"/>
                <w:position w:val="-4"/>
                <w:sz w:val="20"/>
                <w:szCs w:val="20"/>
                <w:u w:val="single" w:color="auto"/>
              </w:rPr>
              <w:t xml:space="preserve">光伏电池板清洗用水  </w:t>
            </w:r>
            <w:r>
              <w:rPr>
                <w:spacing w:val="-9"/>
                <w:position w:val="-2"/>
                <w:sz w:val="20"/>
                <w:szCs w:val="20"/>
                <w:u w:val="single" w:color="auto"/>
              </w:rPr>
              <w:t xml:space="preserve">302    </w:t>
            </w:r>
            <w:r>
              <w:rPr>
                <w:spacing w:val="-50"/>
                <w:position w:val="-2"/>
                <w:sz w:val="20"/>
                <w:szCs w:val="20"/>
              </w:rPr>
              <w:t xml:space="preserve"> </w:t>
            </w:r>
            <w:r>
              <w:rPr>
                <w:spacing w:val="-9"/>
                <w:position w:val="2"/>
                <w:sz w:val="20"/>
                <w:szCs w:val="20"/>
              </w:rPr>
              <w:t>作为农作物灌溉补充水</w:t>
            </w:r>
            <w:r>
              <w:rPr>
                <w:spacing w:val="-10"/>
                <w:position w:val="2"/>
                <w:sz w:val="20"/>
                <w:szCs w:val="20"/>
              </w:rPr>
              <w:t>(项目太阳能光伏板清洗频率</w:t>
            </w:r>
          </w:p>
          <w:p w14:paraId="2120EF3C">
            <w:pPr>
              <w:pStyle w:val="6"/>
              <w:tabs>
                <w:tab w:val="left" w:pos="3941"/>
              </w:tabs>
              <w:spacing w:before="80" w:line="184" w:lineRule="auto"/>
              <w:ind w:left="2790"/>
              <w:rPr>
                <w:sz w:val="20"/>
                <w:szCs w:val="20"/>
              </w:rPr>
            </w:pPr>
            <w:r>
              <w:rPr>
                <w:sz w:val="20"/>
                <w:szCs w:val="20"/>
                <w:u w:val="single" w:color="auto"/>
              </w:rPr>
              <w:tab/>
            </w:r>
            <w:r>
              <w:rPr>
                <w:spacing w:val="-2"/>
                <w:sz w:val="20"/>
                <w:szCs w:val="20"/>
                <w:u w:val="single" w:color="auto"/>
              </w:rPr>
              <w:t>¥14.</w:t>
            </w:r>
            <w:r>
              <w:rPr>
                <w:spacing w:val="8"/>
                <w:sz w:val="20"/>
                <w:szCs w:val="20"/>
              </w:rPr>
              <w:t xml:space="preserve"> </w:t>
            </w:r>
            <w:r>
              <w:rPr>
                <w:spacing w:val="-2"/>
                <w:sz w:val="20"/>
                <w:szCs w:val="20"/>
              </w:rPr>
              <w:t>6</w:t>
            </w:r>
          </w:p>
        </w:tc>
      </w:tr>
      <w:tr w14:paraId="7C28E07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54" w:hRule="atLeast"/>
        </w:trPr>
        <w:tc>
          <w:tcPr>
            <w:tcW w:w="394" w:type="dxa"/>
            <w:vMerge w:val="continue"/>
            <w:tcBorders>
              <w:top w:val="nil"/>
              <w:left w:val="single" w:color="000000" w:sz="4" w:space="0"/>
              <w:bottom w:val="nil"/>
              <w:right w:val="single" w:color="000000" w:sz="4" w:space="0"/>
            </w:tcBorders>
            <w:vAlign w:val="top"/>
          </w:tcPr>
          <w:p w14:paraId="42520B1C">
            <w:pPr>
              <w:rPr>
                <w:rFonts w:ascii="Arial"/>
                <w:sz w:val="21"/>
              </w:rPr>
            </w:pPr>
          </w:p>
        </w:tc>
        <w:tc>
          <w:tcPr>
            <w:tcW w:w="2641" w:type="dxa"/>
            <w:tcBorders>
              <w:left w:val="single" w:color="000000" w:sz="4" w:space="0"/>
            </w:tcBorders>
            <w:vAlign w:val="top"/>
          </w:tcPr>
          <w:p w14:paraId="438F5E21">
            <w:pPr>
              <w:spacing w:line="344" w:lineRule="auto"/>
              <w:rPr>
                <w:rFonts w:ascii="Arial"/>
                <w:sz w:val="21"/>
              </w:rPr>
            </w:pPr>
          </w:p>
          <w:p w14:paraId="759264DD">
            <w:pPr>
              <w:pStyle w:val="6"/>
              <w:tabs>
                <w:tab w:val="left" w:pos="560"/>
                <w:tab w:val="left" w:pos="1210"/>
              </w:tabs>
              <w:spacing w:before="65" w:line="300" w:lineRule="auto"/>
              <w:ind w:left="360" w:right="184" w:firstLine="570"/>
              <w:rPr>
                <w:sz w:val="20"/>
                <w:szCs w:val="20"/>
              </w:rPr>
            </w:pPr>
            <w:r>
              <w:rPr>
                <w:position w:val="2"/>
                <w:sz w:val="20"/>
                <w:szCs w:val="20"/>
                <w:u w:val="single" w:color="auto"/>
              </w:rPr>
              <w:tab/>
            </w:r>
            <w:r>
              <w:rPr>
                <w:spacing w:val="-3"/>
                <w:position w:val="2"/>
                <w:sz w:val="20"/>
                <w:szCs w:val="20"/>
                <w:u w:val="single" w:color="auto"/>
              </w:rPr>
              <w:t>365</w:t>
            </w:r>
            <w:r>
              <w:rPr>
                <w:spacing w:val="61"/>
                <w:position w:val="2"/>
                <w:sz w:val="20"/>
                <w:szCs w:val="20"/>
              </w:rPr>
              <w:t xml:space="preserve"> </w:t>
            </w:r>
            <w:r>
              <w:rPr>
                <w:spacing w:val="-3"/>
                <w:position w:val="-1"/>
                <w:sz w:val="20"/>
                <w:szCs w:val="20"/>
                <w:u w:val="single" w:color="auto"/>
              </w:rPr>
              <w:t>生活用水</w:t>
            </w:r>
            <w:r>
              <w:rPr>
                <w:position w:val="-1"/>
                <w:sz w:val="20"/>
                <w:szCs w:val="20"/>
              </w:rPr>
              <w:t xml:space="preserve"> </w:t>
            </w:r>
            <w:r>
              <w:rPr>
                <w:sz w:val="20"/>
                <w:szCs w:val="20"/>
                <w:u w:val="single" w:color="auto"/>
              </w:rPr>
              <w:tab/>
            </w:r>
            <w:r>
              <w:rPr>
                <w:spacing w:val="-3"/>
                <w:sz w:val="20"/>
                <w:szCs w:val="20"/>
                <w:u w:val="single" w:color="auto"/>
              </w:rPr>
              <w:t>738</w:t>
            </w:r>
          </w:p>
        </w:tc>
        <w:tc>
          <w:tcPr>
            <w:tcW w:w="4441" w:type="dxa"/>
            <w:vAlign w:val="top"/>
          </w:tcPr>
          <w:p w14:paraId="4500ABF0">
            <w:pPr>
              <w:pStyle w:val="6"/>
              <w:spacing w:before="21" w:line="222" w:lineRule="auto"/>
              <w:ind w:left="194"/>
              <w:rPr>
                <w:sz w:val="20"/>
                <w:szCs w:val="20"/>
              </w:rPr>
            </w:pPr>
            <w:r>
              <w:rPr>
                <w:strike/>
                <w:spacing w:val="-2"/>
                <w:position w:val="6"/>
                <w:sz w:val="20"/>
                <w:szCs w:val="20"/>
              </w:rPr>
              <w:t>73</w:t>
            </w:r>
            <w:r>
              <w:rPr>
                <w:spacing w:val="-88"/>
                <w:position w:val="6"/>
                <w:sz w:val="20"/>
                <w:szCs w:val="20"/>
              </w:rPr>
              <w:t xml:space="preserve"> </w:t>
            </w:r>
            <w:r>
              <w:rPr>
                <w:strike/>
                <w:spacing w:val="-2"/>
                <w:position w:val="6"/>
                <w:sz w:val="20"/>
                <w:szCs w:val="20"/>
              </w:rPr>
              <w:t xml:space="preserve">  </w:t>
            </w:r>
            <w:r>
              <w:rPr>
                <w:spacing w:val="-2"/>
                <w:position w:val="6"/>
                <w:sz w:val="20"/>
                <w:szCs w:val="20"/>
              </w:rPr>
              <w:t xml:space="preserve"> </w:t>
            </w:r>
            <w:r>
              <w:rPr>
                <w:spacing w:val="-2"/>
                <w:sz w:val="20"/>
                <w:szCs w:val="20"/>
                <w:u w:val="single" w:color="auto"/>
              </w:rPr>
              <w:t>食堂用水</w:t>
            </w:r>
            <w:r>
              <w:rPr>
                <w:spacing w:val="-42"/>
                <w:sz w:val="20"/>
                <w:szCs w:val="20"/>
              </w:rPr>
              <w:t xml:space="preserve"> </w:t>
            </w:r>
            <w:r>
              <w:rPr>
                <w:spacing w:val="-30"/>
                <w:sz w:val="20"/>
                <w:szCs w:val="20"/>
                <w:u w:val="single" w:color="auto"/>
              </w:rPr>
              <w:t xml:space="preserve"> </w:t>
            </w:r>
            <w:r>
              <w:rPr>
                <w:spacing w:val="-2"/>
                <w:sz w:val="20"/>
                <w:szCs w:val="20"/>
                <w:u w:val="single" w:color="auto"/>
              </w:rPr>
              <w:t>58.4</w:t>
            </w:r>
            <w:r>
              <w:rPr>
                <w:spacing w:val="22"/>
                <w:sz w:val="20"/>
                <w:szCs w:val="20"/>
                <w:u w:val="single" w:color="auto"/>
              </w:rPr>
              <w:t xml:space="preserve"> </w:t>
            </w:r>
            <w:r>
              <w:rPr>
                <w:spacing w:val="-2"/>
                <w:position w:val="-3"/>
                <w:sz w:val="20"/>
                <w:szCs w:val="20"/>
                <w:u w:val="single" w:color="auto"/>
              </w:rPr>
              <w:t>隔油池</w:t>
            </w:r>
            <w:r>
              <w:rPr>
                <w:spacing w:val="-2"/>
                <w:position w:val="-3"/>
                <w:sz w:val="20"/>
                <w:szCs w:val="20"/>
              </w:rPr>
              <w:t xml:space="preserve"> </w:t>
            </w:r>
            <w:r>
              <w:rPr>
                <w:spacing w:val="-2"/>
                <w:sz w:val="20"/>
                <w:szCs w:val="20"/>
                <w:u w:val="single" w:color="auto"/>
              </w:rPr>
              <w:t>58.4</w:t>
            </w:r>
          </w:p>
          <w:p w14:paraId="778EDE0F">
            <w:pPr>
              <w:pStyle w:val="6"/>
              <w:tabs>
                <w:tab w:val="left" w:pos="1315"/>
              </w:tabs>
              <w:spacing w:before="148" w:line="171" w:lineRule="auto"/>
              <w:ind w:left="235" w:right="84" w:firstLine="239"/>
              <w:rPr>
                <w:sz w:val="20"/>
                <w:szCs w:val="20"/>
              </w:rPr>
            </w:pPr>
            <w:r>
              <w:rPr>
                <w:position w:val="3"/>
                <w:sz w:val="20"/>
                <w:szCs w:val="20"/>
                <w:u w:val="single" w:color="auto"/>
              </w:rPr>
              <w:tab/>
            </w:r>
            <w:r>
              <w:rPr>
                <w:spacing w:val="-3"/>
                <w:position w:val="3"/>
                <w:sz w:val="20"/>
                <w:szCs w:val="20"/>
                <w:u w:val="single" w:color="auto"/>
              </w:rPr>
              <w:t>58</w:t>
            </w:r>
            <w:r>
              <w:rPr>
                <w:spacing w:val="-3"/>
                <w:position w:val="3"/>
                <w:sz w:val="20"/>
                <w:szCs w:val="20"/>
              </w:rPr>
              <w:t xml:space="preserve">.4                     </w:t>
            </w:r>
            <w:r>
              <w:rPr>
                <w:spacing w:val="-76"/>
                <w:position w:val="-4"/>
                <w:sz w:val="20"/>
                <w:szCs w:val="20"/>
                <w:u w:val="single" w:color="auto"/>
              </w:rPr>
              <w:t xml:space="preserve"> </w:t>
            </w:r>
            <w:r>
              <w:rPr>
                <w:spacing w:val="-3"/>
                <w:position w:val="-4"/>
                <w:sz w:val="20"/>
                <w:szCs w:val="20"/>
                <w:u w:val="single" w:color="auto"/>
              </w:rPr>
              <w:t>化粪池</w:t>
            </w:r>
            <w:r>
              <w:rPr>
                <w:position w:val="-4"/>
                <w:sz w:val="20"/>
                <w:szCs w:val="20"/>
              </w:rPr>
              <w:t xml:space="preserve"> </w:t>
            </w:r>
            <w:r>
              <w:rPr>
                <w:spacing w:val="-3"/>
                <w:sz w:val="20"/>
                <w:szCs w:val="20"/>
                <w:u w:val="single" w:color="auto"/>
              </w:rPr>
              <w:t>292</w:t>
            </w:r>
            <w:r>
              <w:rPr>
                <w:spacing w:val="76"/>
                <w:sz w:val="20"/>
                <w:szCs w:val="20"/>
              </w:rPr>
              <w:t xml:space="preserve"> </w:t>
            </w:r>
            <w:r>
              <w:rPr>
                <w:spacing w:val="-3"/>
                <w:position w:val="3"/>
                <w:sz w:val="20"/>
                <w:szCs w:val="20"/>
              </w:rPr>
              <w:t>其它生活</w:t>
            </w:r>
            <w:r>
              <w:rPr>
                <w:spacing w:val="12"/>
                <w:position w:val="-2"/>
                <w:sz w:val="20"/>
                <w:szCs w:val="20"/>
                <w:u w:val="single" w:color="auto"/>
              </w:rPr>
              <w:t xml:space="preserve">   </w:t>
            </w:r>
            <w:r>
              <w:rPr>
                <w:spacing w:val="-3"/>
                <w:position w:val="-2"/>
                <w:sz w:val="20"/>
                <w:szCs w:val="20"/>
                <w:u w:val="single" w:color="auto"/>
              </w:rPr>
              <w:t>233.6</w:t>
            </w:r>
            <w:r>
              <w:rPr>
                <w:position w:val="-2"/>
                <w:sz w:val="20"/>
                <w:szCs w:val="20"/>
                <w:u w:val="single" w:color="auto"/>
              </w:rPr>
              <w:t xml:space="preserve">              </w:t>
            </w:r>
          </w:p>
          <w:p w14:paraId="56367F53">
            <w:pPr>
              <w:pStyle w:val="6"/>
              <w:tabs>
                <w:tab w:val="left" w:pos="875"/>
              </w:tabs>
              <w:spacing w:line="210" w:lineRule="auto"/>
              <w:ind w:left="584"/>
              <w:rPr>
                <w:sz w:val="20"/>
                <w:szCs w:val="20"/>
              </w:rPr>
            </w:pPr>
            <w:r>
              <w:rPr>
                <w:sz w:val="20"/>
                <w:szCs w:val="20"/>
                <w:u w:val="single" w:color="auto"/>
              </w:rPr>
              <w:tab/>
            </w:r>
            <w:r>
              <w:rPr>
                <w:spacing w:val="-91"/>
                <w:sz w:val="20"/>
                <w:szCs w:val="20"/>
                <w:u w:val="single" w:color="auto"/>
              </w:rPr>
              <w:t xml:space="preserve"> </w:t>
            </w:r>
            <w:r>
              <w:rPr>
                <w:spacing w:val="-5"/>
                <w:sz w:val="20"/>
                <w:szCs w:val="20"/>
                <w:u w:val="single" w:color="auto"/>
              </w:rPr>
              <w:t>用水</w:t>
            </w:r>
            <w:r>
              <w:rPr>
                <w:spacing w:val="-91"/>
                <w:sz w:val="20"/>
                <w:szCs w:val="20"/>
              </w:rPr>
              <w:t xml:space="preserve"> </w:t>
            </w:r>
            <w:r>
              <w:rPr>
                <w:sz w:val="20"/>
                <w:szCs w:val="20"/>
                <w:u w:val="single" w:color="auto"/>
              </w:rPr>
              <w:t xml:space="preserve">    </w:t>
            </w:r>
          </w:p>
        </w:tc>
        <w:tc>
          <w:tcPr>
            <w:tcW w:w="419" w:type="dxa"/>
            <w:vAlign w:val="top"/>
          </w:tcPr>
          <w:p w14:paraId="6364E5D4">
            <w:pPr>
              <w:spacing w:line="472" w:lineRule="auto"/>
              <w:rPr>
                <w:rFonts w:ascii="Arial"/>
                <w:sz w:val="21"/>
              </w:rPr>
            </w:pPr>
          </w:p>
          <w:p w14:paraId="3834F6EA">
            <w:pPr>
              <w:pStyle w:val="6"/>
              <w:spacing w:before="65"/>
              <w:ind w:left="104"/>
              <w:rPr>
                <w:sz w:val="20"/>
                <w:szCs w:val="20"/>
              </w:rPr>
            </w:pPr>
            <w:r>
              <w:rPr>
                <w:spacing w:val="-3"/>
                <w:sz w:val="20"/>
                <w:szCs w:val="20"/>
                <w:u w:val="single" w:color="auto"/>
              </w:rPr>
              <w:t>292</w:t>
            </w:r>
          </w:p>
        </w:tc>
        <w:tc>
          <w:tcPr>
            <w:tcW w:w="1074" w:type="dxa"/>
            <w:tcBorders>
              <w:right w:val="single" w:color="000000" w:sz="4" w:space="0"/>
            </w:tcBorders>
            <w:vAlign w:val="top"/>
          </w:tcPr>
          <w:p w14:paraId="3B1361C0">
            <w:pPr>
              <w:pStyle w:val="6"/>
              <w:tabs>
                <w:tab w:val="left" w:pos="313"/>
              </w:tabs>
              <w:spacing w:before="292" w:line="214" w:lineRule="auto"/>
              <w:ind w:left="34" w:right="84" w:firstLine="90"/>
              <w:jc w:val="both"/>
              <w:rPr>
                <w:sz w:val="20"/>
                <w:szCs w:val="20"/>
              </w:rPr>
            </w:pPr>
            <w:r>
              <w:rPr>
                <w:spacing w:val="12"/>
                <w:sz w:val="19"/>
                <w:szCs w:val="19"/>
              </w:rPr>
              <w:t>一体化生</w:t>
            </w:r>
            <w:r>
              <w:rPr>
                <w:sz w:val="19"/>
                <w:szCs w:val="19"/>
              </w:rPr>
              <w:t xml:space="preserve"> </w:t>
            </w:r>
            <w:r>
              <w:rPr>
                <w:spacing w:val="34"/>
                <w:sz w:val="19"/>
                <w:szCs w:val="19"/>
              </w:rPr>
              <w:t>活污水处</w:t>
            </w:r>
            <w:r>
              <w:rPr>
                <w:spacing w:val="1"/>
                <w:sz w:val="19"/>
                <w:szCs w:val="19"/>
              </w:rPr>
              <w:t xml:space="preserve"> </w:t>
            </w:r>
            <w:r>
              <w:rPr>
                <w:sz w:val="20"/>
                <w:szCs w:val="20"/>
                <w:u w:val="single" w:color="auto"/>
              </w:rPr>
              <w:tab/>
            </w:r>
            <w:r>
              <w:rPr>
                <w:spacing w:val="-90"/>
                <w:sz w:val="20"/>
                <w:szCs w:val="20"/>
                <w:u w:val="single" w:color="auto"/>
              </w:rPr>
              <w:t xml:space="preserve"> </w:t>
            </w:r>
            <w:r>
              <w:rPr>
                <w:spacing w:val="5"/>
                <w:sz w:val="20"/>
                <w:szCs w:val="20"/>
                <w:u w:val="single" w:color="auto"/>
              </w:rPr>
              <w:t>理站</w:t>
            </w:r>
            <w:r>
              <w:rPr>
                <w:sz w:val="20"/>
                <w:szCs w:val="20"/>
                <w:u w:val="single" w:color="auto"/>
              </w:rPr>
              <w:t xml:space="preserve">   </w:t>
            </w:r>
          </w:p>
        </w:tc>
      </w:tr>
      <w:tr w14:paraId="673DA5F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2" w:hRule="atLeast"/>
        </w:trPr>
        <w:tc>
          <w:tcPr>
            <w:tcW w:w="394" w:type="dxa"/>
            <w:vMerge w:val="continue"/>
            <w:tcBorders>
              <w:top w:val="nil"/>
              <w:left w:val="single" w:color="000000" w:sz="4" w:space="0"/>
              <w:right w:val="single" w:color="000000" w:sz="4" w:space="0"/>
            </w:tcBorders>
            <w:vAlign w:val="top"/>
          </w:tcPr>
          <w:p w14:paraId="293112C5">
            <w:pPr>
              <w:rPr>
                <w:rFonts w:ascii="Arial"/>
                <w:sz w:val="21"/>
              </w:rPr>
            </w:pPr>
          </w:p>
        </w:tc>
        <w:tc>
          <w:tcPr>
            <w:tcW w:w="8575" w:type="dxa"/>
            <w:gridSpan w:val="4"/>
            <w:tcBorders>
              <w:left w:val="single" w:color="000000" w:sz="4" w:space="0"/>
              <w:right w:val="single" w:color="000000" w:sz="4" w:space="0"/>
            </w:tcBorders>
            <w:vAlign w:val="top"/>
          </w:tcPr>
          <w:p w14:paraId="7087CD38">
            <w:pPr>
              <w:pStyle w:val="6"/>
              <w:tabs>
                <w:tab w:val="left" w:pos="4070"/>
              </w:tabs>
              <w:spacing w:before="66"/>
              <w:ind w:left="3401"/>
              <w:rPr>
                <w:sz w:val="20"/>
                <w:szCs w:val="20"/>
              </w:rPr>
            </w:pPr>
            <w:r>
              <w:rPr>
                <w:sz w:val="20"/>
                <w:szCs w:val="20"/>
                <w:u w:val="single" w:color="auto"/>
              </w:rPr>
              <w:tab/>
            </w:r>
            <w:r>
              <w:rPr>
                <w:spacing w:val="-3"/>
                <w:sz w:val="20"/>
                <w:szCs w:val="20"/>
                <w:u w:val="single" w:color="auto"/>
              </w:rPr>
              <w:t>73</w:t>
            </w:r>
            <w:r>
              <w:rPr>
                <w:spacing w:val="-3"/>
                <w:sz w:val="20"/>
                <w:szCs w:val="20"/>
              </w:rPr>
              <w:t>30</w:t>
            </w:r>
          </w:p>
          <w:p w14:paraId="3ED7742B">
            <w:pPr>
              <w:pStyle w:val="6"/>
              <w:tabs>
                <w:tab w:val="left" w:pos="1370"/>
              </w:tabs>
              <w:spacing w:before="10" w:line="217" w:lineRule="auto"/>
              <w:ind w:left="951"/>
              <w:rPr>
                <w:sz w:val="20"/>
                <w:szCs w:val="20"/>
              </w:rPr>
            </w:pPr>
            <w:r>
              <w:rPr>
                <w:position w:val="1"/>
                <w:sz w:val="20"/>
                <w:szCs w:val="20"/>
                <w:u w:val="single" w:color="auto"/>
              </w:rPr>
              <w:tab/>
            </w:r>
            <w:r>
              <w:rPr>
                <w:spacing w:val="-4"/>
                <w:position w:val="1"/>
                <w:sz w:val="20"/>
                <w:szCs w:val="20"/>
                <w:u w:val="single" w:color="auto"/>
              </w:rPr>
              <w:t>38</w:t>
            </w:r>
            <w:r>
              <w:rPr>
                <w:spacing w:val="1"/>
                <w:position w:val="1"/>
                <w:sz w:val="20"/>
                <w:szCs w:val="20"/>
                <w:u w:val="single" w:color="auto"/>
              </w:rPr>
              <w:t xml:space="preserve">                  </w:t>
            </w:r>
            <w:r>
              <w:rPr>
                <w:spacing w:val="41"/>
                <w:position w:val="1"/>
                <w:sz w:val="20"/>
                <w:szCs w:val="20"/>
              </w:rPr>
              <w:t xml:space="preserve"> </w:t>
            </w:r>
            <w:r>
              <w:rPr>
                <w:spacing w:val="-4"/>
                <w:sz w:val="20"/>
                <w:szCs w:val="20"/>
                <w:u w:val="single" w:color="auto"/>
              </w:rPr>
              <w:t>绿化用水</w:t>
            </w:r>
            <w:r>
              <w:rPr>
                <w:spacing w:val="2"/>
                <w:sz w:val="20"/>
                <w:szCs w:val="20"/>
              </w:rPr>
              <w:t xml:space="preserve">       </w:t>
            </w:r>
            <w:r>
              <w:rPr>
                <w:spacing w:val="-4"/>
                <w:sz w:val="20"/>
                <w:szCs w:val="20"/>
              </w:rPr>
              <w:t>292</w:t>
            </w:r>
          </w:p>
        </w:tc>
      </w:tr>
      <w:tr w14:paraId="77737F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1" w:hRule="atLeast"/>
        </w:trPr>
        <w:tc>
          <w:tcPr>
            <w:tcW w:w="394" w:type="dxa"/>
            <w:tcBorders>
              <w:left w:val="single" w:color="000000" w:sz="4" w:space="0"/>
              <w:bottom w:val="single" w:color="000000" w:sz="4" w:space="0"/>
              <w:right w:val="single" w:color="000000" w:sz="4" w:space="0"/>
            </w:tcBorders>
            <w:vAlign w:val="top"/>
          </w:tcPr>
          <w:p w14:paraId="074166E6">
            <w:pPr>
              <w:rPr>
                <w:rFonts w:ascii="Arial"/>
                <w:sz w:val="21"/>
              </w:rPr>
            </w:pPr>
          </w:p>
        </w:tc>
        <w:tc>
          <w:tcPr>
            <w:tcW w:w="8575" w:type="dxa"/>
            <w:gridSpan w:val="4"/>
            <w:tcBorders>
              <w:left w:val="single" w:color="000000" w:sz="4" w:space="0"/>
              <w:bottom w:val="single" w:color="000000" w:sz="4" w:space="0"/>
              <w:right w:val="single" w:color="000000" w:sz="4" w:space="0"/>
            </w:tcBorders>
            <w:vAlign w:val="top"/>
          </w:tcPr>
          <w:p w14:paraId="0B773AF9">
            <w:pPr>
              <w:pStyle w:val="6"/>
              <w:spacing w:before="212" w:line="219" w:lineRule="auto"/>
              <w:ind w:left="2523"/>
              <w:rPr>
                <w:sz w:val="20"/>
                <w:szCs w:val="20"/>
              </w:rPr>
            </w:pPr>
            <w:r>
              <w:rPr>
                <w:b/>
                <w:bCs/>
                <w:spacing w:val="-13"/>
                <w:sz w:val="20"/>
                <w:szCs w:val="20"/>
              </w:rPr>
              <w:t>图</w:t>
            </w:r>
            <w:r>
              <w:rPr>
                <w:spacing w:val="-25"/>
                <w:sz w:val="20"/>
                <w:szCs w:val="20"/>
              </w:rPr>
              <w:t xml:space="preserve"> </w:t>
            </w:r>
            <w:r>
              <w:rPr>
                <w:b/>
                <w:bCs/>
                <w:spacing w:val="-13"/>
                <w:sz w:val="20"/>
                <w:szCs w:val="20"/>
              </w:rPr>
              <w:t>4</w:t>
            </w:r>
            <w:r>
              <w:rPr>
                <w:spacing w:val="-31"/>
                <w:sz w:val="20"/>
                <w:szCs w:val="20"/>
              </w:rPr>
              <w:t xml:space="preserve"> </w:t>
            </w:r>
            <w:r>
              <w:rPr>
                <w:b/>
                <w:bCs/>
                <w:spacing w:val="-13"/>
                <w:sz w:val="20"/>
                <w:szCs w:val="20"/>
              </w:rPr>
              <w:t>-</w:t>
            </w:r>
            <w:r>
              <w:rPr>
                <w:spacing w:val="-25"/>
                <w:sz w:val="20"/>
                <w:szCs w:val="20"/>
              </w:rPr>
              <w:t xml:space="preserve"> </w:t>
            </w:r>
            <w:r>
              <w:rPr>
                <w:b/>
                <w:bCs/>
                <w:spacing w:val="-13"/>
                <w:sz w:val="20"/>
                <w:szCs w:val="20"/>
              </w:rPr>
              <w:t>3</w:t>
            </w:r>
            <w:r>
              <w:rPr>
                <w:spacing w:val="-27"/>
                <w:sz w:val="20"/>
                <w:szCs w:val="20"/>
              </w:rPr>
              <w:t xml:space="preserve"> </w:t>
            </w:r>
            <w:r>
              <w:rPr>
                <w:b/>
                <w:bCs/>
                <w:spacing w:val="-13"/>
                <w:sz w:val="20"/>
                <w:szCs w:val="20"/>
              </w:rPr>
              <w:t>项</w:t>
            </w:r>
            <w:r>
              <w:rPr>
                <w:spacing w:val="-13"/>
                <w:sz w:val="20"/>
                <w:szCs w:val="20"/>
              </w:rPr>
              <w:t xml:space="preserve"> </w:t>
            </w:r>
            <w:r>
              <w:rPr>
                <w:b/>
                <w:bCs/>
                <w:spacing w:val="-13"/>
                <w:sz w:val="20"/>
                <w:szCs w:val="20"/>
              </w:rPr>
              <w:t>目</w:t>
            </w:r>
            <w:r>
              <w:rPr>
                <w:spacing w:val="-26"/>
                <w:sz w:val="20"/>
                <w:szCs w:val="20"/>
              </w:rPr>
              <w:t xml:space="preserve"> </w:t>
            </w:r>
            <w:r>
              <w:rPr>
                <w:b/>
                <w:bCs/>
                <w:spacing w:val="-13"/>
                <w:sz w:val="20"/>
                <w:szCs w:val="20"/>
              </w:rPr>
              <w:t>水</w:t>
            </w:r>
            <w:r>
              <w:rPr>
                <w:spacing w:val="-31"/>
                <w:sz w:val="20"/>
                <w:szCs w:val="20"/>
              </w:rPr>
              <w:t xml:space="preserve"> </w:t>
            </w:r>
            <w:r>
              <w:rPr>
                <w:b/>
                <w:bCs/>
                <w:spacing w:val="-13"/>
                <w:sz w:val="20"/>
                <w:szCs w:val="20"/>
              </w:rPr>
              <w:t>平</w:t>
            </w:r>
            <w:r>
              <w:rPr>
                <w:spacing w:val="-29"/>
                <w:sz w:val="20"/>
                <w:szCs w:val="20"/>
              </w:rPr>
              <w:t xml:space="preserve"> </w:t>
            </w:r>
            <w:r>
              <w:rPr>
                <w:b/>
                <w:bCs/>
                <w:spacing w:val="-13"/>
                <w:sz w:val="20"/>
                <w:szCs w:val="20"/>
              </w:rPr>
              <w:t>衡</w:t>
            </w:r>
            <w:r>
              <w:rPr>
                <w:spacing w:val="-13"/>
                <w:sz w:val="20"/>
                <w:szCs w:val="20"/>
              </w:rPr>
              <w:t xml:space="preserve"> </w:t>
            </w:r>
            <w:r>
              <w:rPr>
                <w:b/>
                <w:bCs/>
                <w:spacing w:val="-13"/>
                <w:sz w:val="20"/>
                <w:szCs w:val="20"/>
              </w:rPr>
              <w:t>图</w:t>
            </w:r>
            <w:r>
              <w:rPr>
                <w:spacing w:val="17"/>
                <w:sz w:val="20"/>
                <w:szCs w:val="20"/>
              </w:rPr>
              <w:t xml:space="preserve">  </w:t>
            </w:r>
            <w:r>
              <w:rPr>
                <w:b/>
                <w:bCs/>
                <w:spacing w:val="-13"/>
                <w:sz w:val="20"/>
                <w:szCs w:val="20"/>
              </w:rPr>
              <w:t>单</w:t>
            </w:r>
            <w:r>
              <w:rPr>
                <w:spacing w:val="-28"/>
                <w:sz w:val="20"/>
                <w:szCs w:val="20"/>
              </w:rPr>
              <w:t xml:space="preserve"> </w:t>
            </w:r>
            <w:r>
              <w:rPr>
                <w:b/>
                <w:bCs/>
                <w:spacing w:val="-13"/>
                <w:sz w:val="20"/>
                <w:szCs w:val="20"/>
              </w:rPr>
              <w:t>位</w:t>
            </w:r>
            <w:r>
              <w:rPr>
                <w:spacing w:val="-35"/>
                <w:sz w:val="20"/>
                <w:szCs w:val="20"/>
              </w:rPr>
              <w:t xml:space="preserve"> </w:t>
            </w:r>
            <w:r>
              <w:rPr>
                <w:b/>
                <w:bCs/>
                <w:spacing w:val="-13"/>
                <w:sz w:val="20"/>
                <w:szCs w:val="20"/>
              </w:rPr>
              <w:t>m</w:t>
            </w:r>
            <w:r>
              <w:rPr>
                <w:spacing w:val="-32"/>
                <w:sz w:val="20"/>
                <w:szCs w:val="20"/>
              </w:rPr>
              <w:t xml:space="preserve"> </w:t>
            </w:r>
            <w:r>
              <w:rPr>
                <w:b/>
                <w:bCs/>
                <w:spacing w:val="-13"/>
                <w:sz w:val="20"/>
                <w:szCs w:val="20"/>
              </w:rPr>
              <w:t>³</w:t>
            </w:r>
            <w:r>
              <w:rPr>
                <w:spacing w:val="-31"/>
                <w:sz w:val="20"/>
                <w:szCs w:val="20"/>
              </w:rPr>
              <w:t xml:space="preserve"> </w:t>
            </w:r>
            <w:r>
              <w:rPr>
                <w:b/>
                <w:bCs/>
                <w:spacing w:val="-13"/>
                <w:sz w:val="20"/>
                <w:szCs w:val="20"/>
              </w:rPr>
              <w:t>/</w:t>
            </w:r>
            <w:r>
              <w:rPr>
                <w:spacing w:val="-28"/>
                <w:sz w:val="20"/>
                <w:szCs w:val="20"/>
              </w:rPr>
              <w:t xml:space="preserve"> </w:t>
            </w:r>
            <w:r>
              <w:rPr>
                <w:b/>
                <w:bCs/>
                <w:spacing w:val="-13"/>
                <w:sz w:val="20"/>
                <w:szCs w:val="20"/>
              </w:rPr>
              <w:t>a</w:t>
            </w:r>
          </w:p>
          <w:p w14:paraId="22BD4459">
            <w:pPr>
              <w:pStyle w:val="6"/>
              <w:spacing w:before="212" w:line="219" w:lineRule="auto"/>
              <w:ind w:left="723"/>
              <w:rPr>
                <w:sz w:val="20"/>
                <w:szCs w:val="20"/>
              </w:rPr>
            </w:pPr>
            <w:r>
              <w:rPr>
                <w:b/>
                <w:bCs/>
                <w:spacing w:val="-16"/>
                <w:sz w:val="20"/>
                <w:szCs w:val="20"/>
              </w:rPr>
              <w:t>(</w:t>
            </w:r>
            <w:r>
              <w:rPr>
                <w:spacing w:val="-31"/>
                <w:sz w:val="20"/>
                <w:szCs w:val="20"/>
              </w:rPr>
              <w:t xml:space="preserve"> </w:t>
            </w:r>
            <w:r>
              <w:rPr>
                <w:b/>
                <w:bCs/>
                <w:spacing w:val="-16"/>
                <w:sz w:val="20"/>
                <w:szCs w:val="20"/>
              </w:rPr>
              <w:t>2</w:t>
            </w:r>
            <w:r>
              <w:rPr>
                <w:spacing w:val="-41"/>
                <w:sz w:val="20"/>
                <w:szCs w:val="20"/>
              </w:rPr>
              <w:t xml:space="preserve"> </w:t>
            </w:r>
            <w:r>
              <w:rPr>
                <w:b/>
                <w:bCs/>
                <w:spacing w:val="-16"/>
                <w:sz w:val="20"/>
                <w:szCs w:val="20"/>
              </w:rPr>
              <w:t>)</w:t>
            </w:r>
            <w:r>
              <w:rPr>
                <w:spacing w:val="-44"/>
                <w:sz w:val="20"/>
                <w:szCs w:val="20"/>
              </w:rPr>
              <w:t xml:space="preserve"> </w:t>
            </w:r>
            <w:r>
              <w:rPr>
                <w:b/>
                <w:bCs/>
                <w:spacing w:val="-16"/>
                <w:sz w:val="20"/>
                <w:szCs w:val="20"/>
              </w:rPr>
              <w:t>废</w:t>
            </w:r>
            <w:r>
              <w:rPr>
                <w:spacing w:val="-40"/>
                <w:sz w:val="20"/>
                <w:szCs w:val="20"/>
              </w:rPr>
              <w:t xml:space="preserve"> </w:t>
            </w:r>
            <w:r>
              <w:rPr>
                <w:b/>
                <w:bCs/>
                <w:spacing w:val="-16"/>
                <w:sz w:val="20"/>
                <w:szCs w:val="20"/>
              </w:rPr>
              <w:t>水</w:t>
            </w:r>
            <w:r>
              <w:rPr>
                <w:spacing w:val="-22"/>
                <w:sz w:val="20"/>
                <w:szCs w:val="20"/>
              </w:rPr>
              <w:t xml:space="preserve"> </w:t>
            </w:r>
            <w:r>
              <w:rPr>
                <w:b/>
                <w:bCs/>
                <w:spacing w:val="-16"/>
                <w:sz w:val="20"/>
                <w:szCs w:val="20"/>
              </w:rPr>
              <w:t>回</w:t>
            </w:r>
            <w:r>
              <w:rPr>
                <w:spacing w:val="-41"/>
                <w:sz w:val="20"/>
                <w:szCs w:val="20"/>
              </w:rPr>
              <w:t xml:space="preserve"> </w:t>
            </w:r>
            <w:r>
              <w:rPr>
                <w:b/>
                <w:bCs/>
                <w:spacing w:val="-16"/>
                <w:sz w:val="20"/>
                <w:szCs w:val="20"/>
              </w:rPr>
              <w:t>用</w:t>
            </w:r>
            <w:r>
              <w:rPr>
                <w:spacing w:val="-40"/>
                <w:sz w:val="20"/>
                <w:szCs w:val="20"/>
              </w:rPr>
              <w:t xml:space="preserve"> </w:t>
            </w:r>
            <w:r>
              <w:rPr>
                <w:b/>
                <w:bCs/>
                <w:spacing w:val="-16"/>
                <w:sz w:val="20"/>
                <w:szCs w:val="20"/>
              </w:rPr>
              <w:t>不</w:t>
            </w:r>
            <w:r>
              <w:rPr>
                <w:spacing w:val="-38"/>
                <w:sz w:val="20"/>
                <w:szCs w:val="20"/>
              </w:rPr>
              <w:t xml:space="preserve"> </w:t>
            </w:r>
            <w:r>
              <w:rPr>
                <w:b/>
                <w:bCs/>
                <w:spacing w:val="-16"/>
                <w:sz w:val="20"/>
                <w:szCs w:val="20"/>
              </w:rPr>
              <w:t>外</w:t>
            </w:r>
            <w:r>
              <w:rPr>
                <w:spacing w:val="-43"/>
                <w:sz w:val="20"/>
                <w:szCs w:val="20"/>
              </w:rPr>
              <w:t xml:space="preserve"> </w:t>
            </w:r>
            <w:r>
              <w:rPr>
                <w:b/>
                <w:bCs/>
                <w:spacing w:val="-16"/>
                <w:sz w:val="20"/>
                <w:szCs w:val="20"/>
              </w:rPr>
              <w:t>排</w:t>
            </w:r>
            <w:r>
              <w:rPr>
                <w:spacing w:val="-26"/>
                <w:sz w:val="20"/>
                <w:szCs w:val="20"/>
              </w:rPr>
              <w:t xml:space="preserve"> </w:t>
            </w:r>
            <w:r>
              <w:rPr>
                <w:b/>
                <w:bCs/>
                <w:spacing w:val="-16"/>
                <w:sz w:val="20"/>
                <w:szCs w:val="20"/>
              </w:rPr>
              <w:t>的</w:t>
            </w:r>
            <w:r>
              <w:rPr>
                <w:spacing w:val="-41"/>
                <w:sz w:val="20"/>
                <w:szCs w:val="20"/>
              </w:rPr>
              <w:t xml:space="preserve"> </w:t>
            </w:r>
            <w:r>
              <w:rPr>
                <w:b/>
                <w:bCs/>
                <w:spacing w:val="-16"/>
                <w:sz w:val="20"/>
                <w:szCs w:val="20"/>
              </w:rPr>
              <w:t>可</w:t>
            </w:r>
            <w:r>
              <w:rPr>
                <w:spacing w:val="-39"/>
                <w:sz w:val="20"/>
                <w:szCs w:val="20"/>
              </w:rPr>
              <w:t xml:space="preserve"> </w:t>
            </w:r>
            <w:r>
              <w:rPr>
                <w:b/>
                <w:bCs/>
                <w:spacing w:val="-16"/>
                <w:sz w:val="20"/>
                <w:szCs w:val="20"/>
              </w:rPr>
              <w:t>行</w:t>
            </w:r>
            <w:r>
              <w:rPr>
                <w:spacing w:val="-40"/>
                <w:sz w:val="20"/>
                <w:szCs w:val="20"/>
              </w:rPr>
              <w:t xml:space="preserve"> </w:t>
            </w:r>
            <w:r>
              <w:rPr>
                <w:b/>
                <w:bCs/>
                <w:spacing w:val="-16"/>
                <w:sz w:val="20"/>
                <w:szCs w:val="20"/>
              </w:rPr>
              <w:t>性</w:t>
            </w:r>
            <w:r>
              <w:rPr>
                <w:spacing w:val="-40"/>
                <w:sz w:val="20"/>
                <w:szCs w:val="20"/>
              </w:rPr>
              <w:t xml:space="preserve"> </w:t>
            </w:r>
            <w:r>
              <w:rPr>
                <w:b/>
                <w:bCs/>
                <w:spacing w:val="-16"/>
                <w:sz w:val="20"/>
                <w:szCs w:val="20"/>
              </w:rPr>
              <w:t>分</w:t>
            </w:r>
            <w:r>
              <w:rPr>
                <w:spacing w:val="-41"/>
                <w:sz w:val="20"/>
                <w:szCs w:val="20"/>
              </w:rPr>
              <w:t xml:space="preserve"> </w:t>
            </w:r>
            <w:r>
              <w:rPr>
                <w:b/>
                <w:bCs/>
                <w:spacing w:val="-16"/>
                <w:sz w:val="20"/>
                <w:szCs w:val="20"/>
              </w:rPr>
              <w:t>析</w:t>
            </w:r>
          </w:p>
          <w:p w14:paraId="75F9035E">
            <w:pPr>
              <w:pStyle w:val="6"/>
              <w:spacing w:before="234" w:line="219" w:lineRule="auto"/>
              <w:ind w:left="620"/>
              <w:rPr>
                <w:sz w:val="20"/>
                <w:szCs w:val="20"/>
              </w:rPr>
            </w:pPr>
            <w:r>
              <w:rPr>
                <w:spacing w:val="-10"/>
                <w:sz w:val="20"/>
                <w:szCs w:val="20"/>
              </w:rPr>
              <w:t>1</w:t>
            </w:r>
            <w:r>
              <w:rPr>
                <w:spacing w:val="-33"/>
                <w:sz w:val="20"/>
                <w:szCs w:val="20"/>
              </w:rPr>
              <w:t xml:space="preserve"> </w:t>
            </w:r>
            <w:r>
              <w:rPr>
                <w:spacing w:val="-10"/>
                <w:sz w:val="20"/>
                <w:szCs w:val="20"/>
              </w:rPr>
              <w:t>)</w:t>
            </w:r>
            <w:r>
              <w:rPr>
                <w:spacing w:val="-43"/>
                <w:sz w:val="20"/>
                <w:szCs w:val="20"/>
              </w:rPr>
              <w:t xml:space="preserve"> </w:t>
            </w:r>
            <w:r>
              <w:rPr>
                <w:spacing w:val="-10"/>
                <w:sz w:val="20"/>
                <w:szCs w:val="20"/>
              </w:rPr>
              <w:t>光</w:t>
            </w:r>
            <w:r>
              <w:rPr>
                <w:spacing w:val="-45"/>
                <w:sz w:val="20"/>
                <w:szCs w:val="20"/>
              </w:rPr>
              <w:t xml:space="preserve"> </w:t>
            </w:r>
            <w:r>
              <w:rPr>
                <w:spacing w:val="-10"/>
                <w:sz w:val="20"/>
                <w:szCs w:val="20"/>
              </w:rPr>
              <w:t>伏</w:t>
            </w:r>
            <w:r>
              <w:rPr>
                <w:spacing w:val="-44"/>
                <w:sz w:val="20"/>
                <w:szCs w:val="20"/>
              </w:rPr>
              <w:t xml:space="preserve"> </w:t>
            </w:r>
            <w:r>
              <w:rPr>
                <w:spacing w:val="-10"/>
                <w:sz w:val="20"/>
                <w:szCs w:val="20"/>
              </w:rPr>
              <w:t>板</w:t>
            </w:r>
            <w:r>
              <w:rPr>
                <w:spacing w:val="-45"/>
                <w:sz w:val="20"/>
                <w:szCs w:val="20"/>
              </w:rPr>
              <w:t xml:space="preserve"> </w:t>
            </w:r>
            <w:r>
              <w:rPr>
                <w:spacing w:val="-10"/>
                <w:sz w:val="20"/>
                <w:szCs w:val="20"/>
              </w:rPr>
              <w:t>清</w:t>
            </w:r>
            <w:r>
              <w:rPr>
                <w:spacing w:val="-46"/>
                <w:sz w:val="20"/>
                <w:szCs w:val="20"/>
              </w:rPr>
              <w:t xml:space="preserve"> </w:t>
            </w:r>
            <w:r>
              <w:rPr>
                <w:spacing w:val="-10"/>
                <w:sz w:val="20"/>
                <w:szCs w:val="20"/>
              </w:rPr>
              <w:t>洗</w:t>
            </w:r>
            <w:r>
              <w:rPr>
                <w:spacing w:val="-45"/>
                <w:sz w:val="20"/>
                <w:szCs w:val="20"/>
              </w:rPr>
              <w:t xml:space="preserve"> </w:t>
            </w:r>
            <w:r>
              <w:rPr>
                <w:spacing w:val="-10"/>
                <w:sz w:val="20"/>
                <w:szCs w:val="20"/>
              </w:rPr>
              <w:t>废</w:t>
            </w:r>
            <w:r>
              <w:rPr>
                <w:spacing w:val="-43"/>
                <w:sz w:val="20"/>
                <w:szCs w:val="20"/>
              </w:rPr>
              <w:t xml:space="preserve"> </w:t>
            </w:r>
            <w:r>
              <w:rPr>
                <w:spacing w:val="-10"/>
                <w:sz w:val="20"/>
                <w:szCs w:val="20"/>
              </w:rPr>
              <w:t>水</w:t>
            </w:r>
            <w:r>
              <w:rPr>
                <w:spacing w:val="-40"/>
                <w:sz w:val="20"/>
                <w:szCs w:val="20"/>
              </w:rPr>
              <w:t xml:space="preserve"> </w:t>
            </w:r>
            <w:r>
              <w:rPr>
                <w:spacing w:val="-10"/>
                <w:sz w:val="20"/>
                <w:szCs w:val="20"/>
              </w:rPr>
              <w:t>处</w:t>
            </w:r>
            <w:r>
              <w:rPr>
                <w:spacing w:val="-47"/>
                <w:sz w:val="20"/>
                <w:szCs w:val="20"/>
              </w:rPr>
              <w:t xml:space="preserve"> </w:t>
            </w:r>
            <w:r>
              <w:rPr>
                <w:spacing w:val="-10"/>
                <w:sz w:val="20"/>
                <w:szCs w:val="20"/>
              </w:rPr>
              <w:t>置</w:t>
            </w:r>
            <w:r>
              <w:rPr>
                <w:spacing w:val="-43"/>
                <w:sz w:val="20"/>
                <w:szCs w:val="20"/>
              </w:rPr>
              <w:t xml:space="preserve"> </w:t>
            </w:r>
            <w:r>
              <w:rPr>
                <w:spacing w:val="-10"/>
                <w:sz w:val="20"/>
                <w:szCs w:val="20"/>
              </w:rPr>
              <w:t>可</w:t>
            </w:r>
            <w:r>
              <w:rPr>
                <w:spacing w:val="-41"/>
                <w:sz w:val="20"/>
                <w:szCs w:val="20"/>
              </w:rPr>
              <w:t xml:space="preserve"> </w:t>
            </w:r>
            <w:r>
              <w:rPr>
                <w:spacing w:val="-10"/>
                <w:sz w:val="20"/>
                <w:szCs w:val="20"/>
              </w:rPr>
              <w:t>行</w:t>
            </w:r>
            <w:r>
              <w:rPr>
                <w:spacing w:val="-43"/>
                <w:sz w:val="20"/>
                <w:szCs w:val="20"/>
              </w:rPr>
              <w:t xml:space="preserve"> </w:t>
            </w:r>
            <w:r>
              <w:rPr>
                <w:spacing w:val="-10"/>
                <w:sz w:val="20"/>
                <w:szCs w:val="20"/>
              </w:rPr>
              <w:t>性</w:t>
            </w:r>
            <w:r>
              <w:rPr>
                <w:spacing w:val="-42"/>
                <w:sz w:val="20"/>
                <w:szCs w:val="20"/>
              </w:rPr>
              <w:t xml:space="preserve"> </w:t>
            </w:r>
            <w:r>
              <w:rPr>
                <w:spacing w:val="-10"/>
                <w:sz w:val="20"/>
                <w:szCs w:val="20"/>
              </w:rPr>
              <w:t>分</w:t>
            </w:r>
            <w:r>
              <w:rPr>
                <w:spacing w:val="-43"/>
                <w:sz w:val="20"/>
                <w:szCs w:val="20"/>
              </w:rPr>
              <w:t xml:space="preserve"> </w:t>
            </w:r>
            <w:r>
              <w:rPr>
                <w:spacing w:val="-10"/>
                <w:sz w:val="20"/>
                <w:szCs w:val="20"/>
              </w:rPr>
              <w:t>析</w:t>
            </w:r>
          </w:p>
          <w:p w14:paraId="41386BCB">
            <w:pPr>
              <w:pStyle w:val="6"/>
              <w:spacing w:before="214" w:line="428" w:lineRule="auto"/>
              <w:ind w:left="100" w:right="30" w:firstLine="519"/>
              <w:rPr>
                <w:sz w:val="20"/>
                <w:szCs w:val="20"/>
              </w:rPr>
            </w:pPr>
            <w:r>
              <w:rPr>
                <w:spacing w:val="40"/>
                <w:sz w:val="20"/>
                <w:szCs w:val="20"/>
              </w:rPr>
              <w:t>由于光伏板清洗为清水清洗，不需添加清洗</w:t>
            </w:r>
            <w:r>
              <w:rPr>
                <w:spacing w:val="39"/>
                <w:sz w:val="20"/>
                <w:szCs w:val="20"/>
              </w:rPr>
              <w:t>剂，性质与雨水基本相同，清洗</w:t>
            </w:r>
            <w:r>
              <w:rPr>
                <w:sz w:val="20"/>
                <w:szCs w:val="20"/>
              </w:rPr>
              <w:t xml:space="preserve"> </w:t>
            </w:r>
            <w:r>
              <w:rPr>
                <w:spacing w:val="-11"/>
                <w:sz w:val="20"/>
                <w:szCs w:val="20"/>
              </w:rPr>
              <w:t>废</w:t>
            </w:r>
            <w:r>
              <w:rPr>
                <w:spacing w:val="-28"/>
                <w:sz w:val="20"/>
                <w:szCs w:val="20"/>
              </w:rPr>
              <w:t xml:space="preserve"> </w:t>
            </w:r>
            <w:r>
              <w:rPr>
                <w:spacing w:val="-11"/>
                <w:sz w:val="20"/>
                <w:szCs w:val="20"/>
              </w:rPr>
              <w:t>水</w:t>
            </w:r>
            <w:r>
              <w:rPr>
                <w:spacing w:val="-40"/>
                <w:sz w:val="20"/>
                <w:szCs w:val="20"/>
              </w:rPr>
              <w:t xml:space="preserve"> </w:t>
            </w:r>
            <w:r>
              <w:rPr>
                <w:spacing w:val="-11"/>
                <w:sz w:val="20"/>
                <w:szCs w:val="20"/>
              </w:rPr>
              <w:t>污</w:t>
            </w:r>
            <w:r>
              <w:rPr>
                <w:spacing w:val="-38"/>
                <w:sz w:val="20"/>
                <w:szCs w:val="20"/>
              </w:rPr>
              <w:t xml:space="preserve"> </w:t>
            </w:r>
            <w:r>
              <w:rPr>
                <w:spacing w:val="-11"/>
                <w:sz w:val="20"/>
                <w:szCs w:val="20"/>
              </w:rPr>
              <w:t>染</w:t>
            </w:r>
            <w:r>
              <w:rPr>
                <w:spacing w:val="-42"/>
                <w:sz w:val="20"/>
                <w:szCs w:val="20"/>
              </w:rPr>
              <w:t xml:space="preserve"> </w:t>
            </w:r>
            <w:r>
              <w:rPr>
                <w:spacing w:val="-11"/>
                <w:sz w:val="20"/>
                <w:szCs w:val="20"/>
              </w:rPr>
              <w:t>物</w:t>
            </w:r>
            <w:r>
              <w:rPr>
                <w:spacing w:val="-40"/>
                <w:sz w:val="20"/>
                <w:szCs w:val="20"/>
              </w:rPr>
              <w:t xml:space="preserve"> </w:t>
            </w:r>
            <w:r>
              <w:rPr>
                <w:spacing w:val="-11"/>
                <w:sz w:val="20"/>
                <w:szCs w:val="20"/>
              </w:rPr>
              <w:t>主</w:t>
            </w:r>
            <w:r>
              <w:rPr>
                <w:spacing w:val="-41"/>
                <w:sz w:val="20"/>
                <w:szCs w:val="20"/>
              </w:rPr>
              <w:t xml:space="preserve"> </w:t>
            </w:r>
            <w:r>
              <w:rPr>
                <w:spacing w:val="-11"/>
                <w:sz w:val="20"/>
                <w:szCs w:val="20"/>
              </w:rPr>
              <w:t>要</w:t>
            </w:r>
            <w:r>
              <w:rPr>
                <w:spacing w:val="-40"/>
                <w:sz w:val="20"/>
                <w:szCs w:val="20"/>
              </w:rPr>
              <w:t xml:space="preserve"> </w:t>
            </w:r>
            <w:r>
              <w:rPr>
                <w:spacing w:val="-11"/>
                <w:sz w:val="20"/>
                <w:szCs w:val="20"/>
              </w:rPr>
              <w:t>为</w:t>
            </w:r>
            <w:r>
              <w:rPr>
                <w:spacing w:val="-40"/>
                <w:sz w:val="20"/>
                <w:szCs w:val="20"/>
              </w:rPr>
              <w:t xml:space="preserve"> </w:t>
            </w:r>
            <w:r>
              <w:rPr>
                <w:spacing w:val="-11"/>
                <w:sz w:val="20"/>
                <w:szCs w:val="20"/>
              </w:rPr>
              <w:t>S</w:t>
            </w:r>
            <w:r>
              <w:rPr>
                <w:spacing w:val="-41"/>
                <w:sz w:val="20"/>
                <w:szCs w:val="20"/>
              </w:rPr>
              <w:t xml:space="preserve"> </w:t>
            </w:r>
            <w:r>
              <w:rPr>
                <w:spacing w:val="-11"/>
                <w:sz w:val="20"/>
                <w:szCs w:val="20"/>
              </w:rPr>
              <w:t>S</w:t>
            </w:r>
            <w:r>
              <w:rPr>
                <w:spacing w:val="-39"/>
                <w:sz w:val="20"/>
                <w:szCs w:val="20"/>
              </w:rPr>
              <w:t xml:space="preserve"> </w:t>
            </w:r>
            <w:r>
              <w:rPr>
                <w:spacing w:val="-11"/>
                <w:sz w:val="20"/>
                <w:szCs w:val="20"/>
              </w:rPr>
              <w:t>,</w:t>
            </w:r>
            <w:r>
              <w:rPr>
                <w:spacing w:val="-39"/>
                <w:sz w:val="20"/>
                <w:szCs w:val="20"/>
              </w:rPr>
              <w:t xml:space="preserve"> </w:t>
            </w:r>
            <w:r>
              <w:rPr>
                <w:spacing w:val="-11"/>
                <w:sz w:val="20"/>
                <w:szCs w:val="20"/>
              </w:rPr>
              <w:t>分</w:t>
            </w:r>
            <w:r>
              <w:rPr>
                <w:spacing w:val="-43"/>
                <w:sz w:val="20"/>
                <w:szCs w:val="20"/>
              </w:rPr>
              <w:t xml:space="preserve"> </w:t>
            </w:r>
            <w:r>
              <w:rPr>
                <w:spacing w:val="-11"/>
                <w:sz w:val="20"/>
                <w:szCs w:val="20"/>
              </w:rPr>
              <w:t>散</w:t>
            </w:r>
            <w:r>
              <w:rPr>
                <w:spacing w:val="-38"/>
                <w:sz w:val="20"/>
                <w:szCs w:val="20"/>
              </w:rPr>
              <w:t xml:space="preserve"> </w:t>
            </w:r>
            <w:r>
              <w:rPr>
                <w:spacing w:val="-11"/>
                <w:sz w:val="20"/>
                <w:szCs w:val="20"/>
              </w:rPr>
              <w:t>于</w:t>
            </w:r>
            <w:r>
              <w:rPr>
                <w:spacing w:val="-40"/>
                <w:sz w:val="20"/>
                <w:szCs w:val="20"/>
              </w:rPr>
              <w:t xml:space="preserve"> </w:t>
            </w:r>
            <w:r>
              <w:rPr>
                <w:spacing w:val="-11"/>
                <w:sz w:val="20"/>
                <w:szCs w:val="20"/>
              </w:rPr>
              <w:t>各</w:t>
            </w:r>
            <w:r>
              <w:rPr>
                <w:spacing w:val="-41"/>
                <w:sz w:val="20"/>
                <w:szCs w:val="20"/>
              </w:rPr>
              <w:t xml:space="preserve"> </w:t>
            </w:r>
            <w:r>
              <w:rPr>
                <w:spacing w:val="-11"/>
                <w:sz w:val="20"/>
                <w:szCs w:val="20"/>
              </w:rPr>
              <w:t>个</w:t>
            </w:r>
            <w:r>
              <w:rPr>
                <w:spacing w:val="-37"/>
                <w:sz w:val="20"/>
                <w:szCs w:val="20"/>
              </w:rPr>
              <w:t xml:space="preserve"> </w:t>
            </w:r>
            <w:r>
              <w:rPr>
                <w:spacing w:val="-11"/>
                <w:sz w:val="20"/>
                <w:szCs w:val="20"/>
              </w:rPr>
              <w:t>片</w:t>
            </w:r>
            <w:r>
              <w:rPr>
                <w:spacing w:val="-27"/>
                <w:sz w:val="20"/>
                <w:szCs w:val="20"/>
              </w:rPr>
              <w:t xml:space="preserve"> </w:t>
            </w:r>
            <w:r>
              <w:rPr>
                <w:spacing w:val="-11"/>
                <w:sz w:val="20"/>
                <w:szCs w:val="20"/>
              </w:rPr>
              <w:t>区</w:t>
            </w:r>
            <w:r>
              <w:rPr>
                <w:spacing w:val="-25"/>
                <w:sz w:val="20"/>
                <w:szCs w:val="20"/>
              </w:rPr>
              <w:t xml:space="preserve"> </w:t>
            </w:r>
            <w:r>
              <w:rPr>
                <w:spacing w:val="-11"/>
                <w:sz w:val="20"/>
                <w:szCs w:val="20"/>
              </w:rPr>
              <w:t>，</w:t>
            </w:r>
            <w:r>
              <w:rPr>
                <w:spacing w:val="-39"/>
                <w:sz w:val="20"/>
                <w:szCs w:val="20"/>
              </w:rPr>
              <w:t xml:space="preserve"> </w:t>
            </w:r>
            <w:r>
              <w:rPr>
                <w:spacing w:val="-11"/>
                <w:sz w:val="20"/>
                <w:szCs w:val="20"/>
              </w:rPr>
              <w:t>不</w:t>
            </w:r>
            <w:r>
              <w:rPr>
                <w:spacing w:val="-42"/>
                <w:sz w:val="20"/>
                <w:szCs w:val="20"/>
              </w:rPr>
              <w:t xml:space="preserve"> </w:t>
            </w:r>
            <w:r>
              <w:rPr>
                <w:spacing w:val="-11"/>
                <w:sz w:val="20"/>
                <w:szCs w:val="20"/>
              </w:rPr>
              <w:t>含</w:t>
            </w:r>
            <w:r>
              <w:rPr>
                <w:spacing w:val="-41"/>
                <w:sz w:val="20"/>
                <w:szCs w:val="20"/>
              </w:rPr>
              <w:t xml:space="preserve"> </w:t>
            </w:r>
            <w:r>
              <w:rPr>
                <w:spacing w:val="-11"/>
                <w:sz w:val="20"/>
                <w:szCs w:val="20"/>
              </w:rPr>
              <w:t>有</w:t>
            </w:r>
            <w:r>
              <w:rPr>
                <w:spacing w:val="-40"/>
                <w:sz w:val="20"/>
                <w:szCs w:val="20"/>
              </w:rPr>
              <w:t xml:space="preserve"> </w:t>
            </w:r>
            <w:r>
              <w:rPr>
                <w:spacing w:val="-11"/>
                <w:sz w:val="20"/>
                <w:szCs w:val="20"/>
              </w:rPr>
              <w:t>毒</w:t>
            </w:r>
            <w:r>
              <w:rPr>
                <w:spacing w:val="-41"/>
                <w:sz w:val="20"/>
                <w:szCs w:val="20"/>
              </w:rPr>
              <w:t xml:space="preserve"> </w:t>
            </w:r>
            <w:r>
              <w:rPr>
                <w:spacing w:val="-11"/>
                <w:sz w:val="20"/>
                <w:szCs w:val="20"/>
              </w:rPr>
              <w:t>物</w:t>
            </w:r>
            <w:r>
              <w:rPr>
                <w:spacing w:val="-41"/>
                <w:sz w:val="20"/>
                <w:szCs w:val="20"/>
              </w:rPr>
              <w:t xml:space="preserve"> </w:t>
            </w:r>
            <w:r>
              <w:rPr>
                <w:spacing w:val="-11"/>
                <w:sz w:val="20"/>
                <w:szCs w:val="20"/>
              </w:rPr>
              <w:t>质</w:t>
            </w:r>
            <w:r>
              <w:rPr>
                <w:spacing w:val="-26"/>
                <w:sz w:val="20"/>
                <w:szCs w:val="20"/>
              </w:rPr>
              <w:t xml:space="preserve"> </w:t>
            </w:r>
            <w:r>
              <w:rPr>
                <w:spacing w:val="-11"/>
                <w:sz w:val="20"/>
                <w:szCs w:val="20"/>
              </w:rPr>
              <w:t>，</w:t>
            </w:r>
            <w:r>
              <w:rPr>
                <w:spacing w:val="-26"/>
                <w:sz w:val="20"/>
                <w:szCs w:val="20"/>
              </w:rPr>
              <w:t xml:space="preserve"> </w:t>
            </w:r>
            <w:r>
              <w:rPr>
                <w:spacing w:val="-11"/>
                <w:sz w:val="20"/>
                <w:szCs w:val="20"/>
              </w:rPr>
              <w:t>因</w:t>
            </w:r>
            <w:r>
              <w:rPr>
                <w:spacing w:val="-41"/>
                <w:sz w:val="20"/>
                <w:szCs w:val="20"/>
              </w:rPr>
              <w:t xml:space="preserve"> </w:t>
            </w:r>
            <w:r>
              <w:rPr>
                <w:spacing w:val="-11"/>
                <w:sz w:val="20"/>
                <w:szCs w:val="20"/>
              </w:rPr>
              <w:t>此</w:t>
            </w:r>
            <w:r>
              <w:rPr>
                <w:spacing w:val="-25"/>
                <w:sz w:val="20"/>
                <w:szCs w:val="20"/>
              </w:rPr>
              <w:t xml:space="preserve"> </w:t>
            </w:r>
            <w:r>
              <w:rPr>
                <w:spacing w:val="-11"/>
                <w:sz w:val="20"/>
                <w:szCs w:val="20"/>
              </w:rPr>
              <w:t>，</w:t>
            </w:r>
            <w:r>
              <w:rPr>
                <w:spacing w:val="-42"/>
                <w:sz w:val="20"/>
                <w:szCs w:val="20"/>
              </w:rPr>
              <w:t xml:space="preserve"> </w:t>
            </w:r>
            <w:r>
              <w:rPr>
                <w:spacing w:val="-11"/>
                <w:sz w:val="20"/>
                <w:szCs w:val="20"/>
              </w:rPr>
              <w:t>清</w:t>
            </w:r>
            <w:r>
              <w:rPr>
                <w:spacing w:val="-42"/>
                <w:sz w:val="20"/>
                <w:szCs w:val="20"/>
              </w:rPr>
              <w:t xml:space="preserve"> </w:t>
            </w:r>
            <w:r>
              <w:rPr>
                <w:spacing w:val="-11"/>
                <w:sz w:val="20"/>
                <w:szCs w:val="20"/>
              </w:rPr>
              <w:t>洗</w:t>
            </w:r>
            <w:r>
              <w:rPr>
                <w:spacing w:val="-43"/>
                <w:sz w:val="20"/>
                <w:szCs w:val="20"/>
              </w:rPr>
              <w:t xml:space="preserve"> </w:t>
            </w:r>
            <w:r>
              <w:rPr>
                <w:spacing w:val="-11"/>
                <w:sz w:val="20"/>
                <w:szCs w:val="20"/>
              </w:rPr>
              <w:t>废</w:t>
            </w:r>
            <w:r>
              <w:rPr>
                <w:spacing w:val="-39"/>
                <w:sz w:val="20"/>
                <w:szCs w:val="20"/>
              </w:rPr>
              <w:t xml:space="preserve"> </w:t>
            </w:r>
            <w:r>
              <w:rPr>
                <w:spacing w:val="-11"/>
                <w:sz w:val="20"/>
                <w:szCs w:val="20"/>
              </w:rPr>
              <w:t>水</w:t>
            </w:r>
            <w:r>
              <w:rPr>
                <w:spacing w:val="-40"/>
                <w:sz w:val="20"/>
                <w:szCs w:val="20"/>
              </w:rPr>
              <w:t xml:space="preserve"> </w:t>
            </w:r>
            <w:r>
              <w:rPr>
                <w:spacing w:val="-11"/>
                <w:sz w:val="20"/>
                <w:szCs w:val="20"/>
              </w:rPr>
              <w:t>可</w:t>
            </w:r>
            <w:r>
              <w:rPr>
                <w:spacing w:val="-40"/>
                <w:sz w:val="20"/>
                <w:szCs w:val="20"/>
              </w:rPr>
              <w:t xml:space="preserve"> </w:t>
            </w:r>
            <w:r>
              <w:rPr>
                <w:spacing w:val="-11"/>
                <w:sz w:val="20"/>
                <w:szCs w:val="20"/>
              </w:rPr>
              <w:t>直</w:t>
            </w:r>
            <w:r>
              <w:rPr>
                <w:sz w:val="20"/>
                <w:szCs w:val="20"/>
              </w:rPr>
              <w:t xml:space="preserve"> </w:t>
            </w:r>
            <w:r>
              <w:rPr>
                <w:spacing w:val="39"/>
                <w:sz w:val="20"/>
                <w:szCs w:val="20"/>
              </w:rPr>
              <w:t>接顺着流在太阳能电池组件下面的农作物上，作为农作物灌溉补充水，不外排，</w:t>
            </w:r>
            <w:r>
              <w:rPr>
                <w:spacing w:val="14"/>
                <w:sz w:val="20"/>
                <w:szCs w:val="20"/>
              </w:rPr>
              <w:t xml:space="preserve"> </w:t>
            </w:r>
            <w:r>
              <w:rPr>
                <w:spacing w:val="44"/>
                <w:sz w:val="20"/>
                <w:szCs w:val="20"/>
              </w:rPr>
              <w:t>此外，项目光伏板清洗频率为每年1次，项目清洗时间需选择</w:t>
            </w:r>
            <w:r>
              <w:rPr>
                <w:spacing w:val="43"/>
                <w:sz w:val="20"/>
                <w:szCs w:val="20"/>
              </w:rPr>
              <w:t>在农作物可浇灌期</w:t>
            </w:r>
            <w:r>
              <w:rPr>
                <w:sz w:val="20"/>
                <w:szCs w:val="20"/>
              </w:rPr>
              <w:t xml:space="preserve"> </w:t>
            </w:r>
            <w:r>
              <w:rPr>
                <w:spacing w:val="-11"/>
                <w:sz w:val="20"/>
                <w:szCs w:val="20"/>
              </w:rPr>
              <w:t>间</w:t>
            </w:r>
            <w:r>
              <w:rPr>
                <w:spacing w:val="-21"/>
                <w:sz w:val="20"/>
                <w:szCs w:val="20"/>
              </w:rPr>
              <w:t xml:space="preserve"> </w:t>
            </w:r>
            <w:r>
              <w:rPr>
                <w:spacing w:val="-11"/>
                <w:sz w:val="20"/>
                <w:szCs w:val="20"/>
              </w:rPr>
              <w:t>进</w:t>
            </w:r>
            <w:r>
              <w:rPr>
                <w:spacing w:val="-18"/>
                <w:sz w:val="20"/>
                <w:szCs w:val="20"/>
              </w:rPr>
              <w:t xml:space="preserve"> </w:t>
            </w:r>
            <w:r>
              <w:rPr>
                <w:spacing w:val="-11"/>
                <w:sz w:val="20"/>
                <w:szCs w:val="20"/>
              </w:rPr>
              <w:t>行</w:t>
            </w:r>
            <w:r>
              <w:rPr>
                <w:spacing w:val="-29"/>
                <w:sz w:val="20"/>
                <w:szCs w:val="20"/>
              </w:rPr>
              <w:t xml:space="preserve"> </w:t>
            </w:r>
            <w:r>
              <w:rPr>
                <w:spacing w:val="-11"/>
                <w:sz w:val="20"/>
                <w:szCs w:val="20"/>
              </w:rPr>
              <w:t>。</w:t>
            </w:r>
          </w:p>
          <w:p w14:paraId="0BD0C5C5">
            <w:pPr>
              <w:pStyle w:val="6"/>
              <w:spacing w:line="409" w:lineRule="auto"/>
              <w:ind w:left="130" w:right="62" w:firstLine="469"/>
              <w:rPr>
                <w:sz w:val="20"/>
                <w:szCs w:val="20"/>
              </w:rPr>
            </w:pPr>
            <w:r>
              <w:rPr>
                <w:spacing w:val="39"/>
                <w:sz w:val="20"/>
                <w:szCs w:val="20"/>
              </w:rPr>
              <w:t>通过调查了解，由于云南的特殊地理位置、气候等条件，现云南省内各地已</w:t>
            </w:r>
            <w:r>
              <w:rPr>
                <w:spacing w:val="5"/>
                <w:sz w:val="20"/>
                <w:szCs w:val="20"/>
              </w:rPr>
              <w:t xml:space="preserve"> </w:t>
            </w:r>
            <w:r>
              <w:rPr>
                <w:spacing w:val="46"/>
                <w:sz w:val="20"/>
                <w:szCs w:val="20"/>
              </w:rPr>
              <w:t>建成的光伏项目清洗电池组件产生废水基本均是通过自然蒸发或作为农作物灌</w:t>
            </w:r>
          </w:p>
        </w:tc>
      </w:tr>
    </w:tbl>
    <w:p w14:paraId="5BCFB838">
      <w:pPr>
        <w:pStyle w:val="2"/>
      </w:pPr>
    </w:p>
    <w:p w14:paraId="10A6489A">
      <w:pPr>
        <w:sectPr>
          <w:footerReference r:id="rId98" w:type="default"/>
          <w:pgSz w:w="11910" w:h="16840"/>
          <w:pgMar w:top="1431" w:right="1475" w:bottom="1269" w:left="1455" w:header="0" w:footer="1089" w:gutter="0"/>
          <w:cols w:space="720" w:num="1"/>
        </w:sectPr>
      </w:pPr>
    </w:p>
    <w:p w14:paraId="217A0A3E">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128BB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3D9592C0">
            <w:pPr>
              <w:rPr>
                <w:rFonts w:ascii="Arial"/>
                <w:sz w:val="21"/>
              </w:rPr>
            </w:pPr>
          </w:p>
        </w:tc>
        <w:tc>
          <w:tcPr>
            <w:tcW w:w="8556" w:type="dxa"/>
            <w:vAlign w:val="top"/>
          </w:tcPr>
          <w:p w14:paraId="023FD990">
            <w:pPr>
              <w:pStyle w:val="6"/>
              <w:spacing w:before="14" w:line="219" w:lineRule="auto"/>
              <w:ind w:left="100"/>
            </w:pPr>
            <w:r>
              <w:rPr>
                <w:spacing w:val="-1"/>
              </w:rPr>
              <w:t>溉或周边植被灌溉，均能做到无废水外排。</w:t>
            </w:r>
          </w:p>
          <w:p w14:paraId="161DB4EA">
            <w:pPr>
              <w:pStyle w:val="6"/>
              <w:spacing w:before="193" w:line="219" w:lineRule="auto"/>
              <w:ind w:left="570"/>
            </w:pPr>
            <w:r>
              <w:t>因此，项目光伏板清洗废水作为农作物灌溉补充水是可行的。</w:t>
            </w:r>
          </w:p>
          <w:p w14:paraId="227A74DE">
            <w:pPr>
              <w:pStyle w:val="6"/>
              <w:spacing w:before="167" w:line="219" w:lineRule="auto"/>
              <w:ind w:left="560"/>
            </w:pPr>
            <w:r>
              <w:t>2)升压站生活污水不外排的可行性分析</w:t>
            </w:r>
          </w:p>
          <w:p w14:paraId="70ADE113">
            <w:pPr>
              <w:pStyle w:val="6"/>
              <w:spacing w:before="181" w:line="216" w:lineRule="auto"/>
              <w:ind w:right="25"/>
              <w:jc w:val="right"/>
            </w:pPr>
            <w:r>
              <w:t>一体化污水处理站拟采用AO处理工艺。工艺流程：“预处理+AO”,根据《排</w:t>
            </w:r>
          </w:p>
          <w:p w14:paraId="5BB7FE50">
            <w:pPr>
              <w:pStyle w:val="6"/>
              <w:spacing w:before="178" w:line="363" w:lineRule="auto"/>
              <w:ind w:left="110" w:right="599" w:hanging="10"/>
            </w:pPr>
            <w:r>
              <w:rPr>
                <w:spacing w:val="1"/>
              </w:rPr>
              <w:t>污许可证申请与核发技术规范水处理通用工序》(</w:t>
            </w:r>
            <w:r>
              <w:t>HJ</w:t>
            </w:r>
            <w:r>
              <w:rPr>
                <w:spacing w:val="1"/>
              </w:rPr>
              <w:t>1120-2020)附录A,项目</w:t>
            </w:r>
            <w:r>
              <w:rPr>
                <w:spacing w:val="6"/>
              </w:rPr>
              <w:t xml:space="preserve"> </w:t>
            </w:r>
            <w:r>
              <w:rPr>
                <w:spacing w:val="-1"/>
              </w:rPr>
              <w:t>采用AO工艺处理生活污水为可行技术。</w:t>
            </w:r>
          </w:p>
          <w:p w14:paraId="4E541E81">
            <w:pPr>
              <w:pStyle w:val="6"/>
              <w:spacing w:before="2" w:line="363" w:lineRule="auto"/>
              <w:ind w:left="120" w:right="35" w:firstLine="469"/>
            </w:pPr>
            <w:r>
              <w:t>升压站生活污水主要来源为食堂废水，工作人员平时盥洗废水和冲厕废</w:t>
            </w:r>
            <w:r>
              <w:rPr>
                <w:spacing w:val="-1"/>
              </w:rPr>
              <w:t>水，</w:t>
            </w:r>
            <w:r>
              <w:t xml:space="preserve"> 劳动定员10人，生活污水产生量较小。食堂废水经隔油池预处理后与其它生活</w:t>
            </w:r>
          </w:p>
          <w:p w14:paraId="655328A7">
            <w:pPr>
              <w:pStyle w:val="6"/>
              <w:spacing w:before="5" w:line="358" w:lineRule="auto"/>
              <w:ind w:left="110" w:right="23"/>
            </w:pPr>
            <w:r>
              <w:t>污水一并进入化粪池，再进入一体化生活污水处理站内，经处理达到《城市污水</w:t>
            </w:r>
            <w:r>
              <w:rPr>
                <w:spacing w:val="10"/>
              </w:rPr>
              <w:t xml:space="preserve"> </w:t>
            </w:r>
            <w:r>
              <w:rPr>
                <w:spacing w:val="1"/>
              </w:rPr>
              <w:t>再生利用城市杂用水水质》(</w:t>
            </w:r>
            <w:r>
              <w:t>GB</w:t>
            </w:r>
            <w:r>
              <w:rPr>
                <w:spacing w:val="1"/>
              </w:rPr>
              <w:t>/T 18920-2020)中</w:t>
            </w:r>
            <w:r>
              <w:t xml:space="preserve">“城市绿化”标准要求后，用  </w:t>
            </w:r>
            <w:r>
              <w:rPr>
                <w:spacing w:val="-1"/>
              </w:rPr>
              <w:t>于升压站区绿化浇灌，雨天储存不外排。</w:t>
            </w:r>
          </w:p>
          <w:p w14:paraId="4AEA6E7C">
            <w:pPr>
              <w:pStyle w:val="6"/>
              <w:spacing w:before="2" w:line="357" w:lineRule="auto"/>
              <w:ind w:left="110" w:firstLine="495"/>
            </w:pPr>
            <w:r>
              <w:t>食堂废水产生量0.16m³/d,要求设置0.5m³隔油池；生活污水产生量0.8m³/d,</w:t>
            </w:r>
            <w:r>
              <w:rPr>
                <w:spacing w:val="18"/>
              </w:rPr>
              <w:t xml:space="preserve"> </w:t>
            </w:r>
            <w:r>
              <w:rPr>
                <w:spacing w:val="-1"/>
              </w:rPr>
              <w:t>化粪池容积考虑污水停留24h及1.2的容积剩余量，环</w:t>
            </w:r>
            <w:r>
              <w:rPr>
                <w:spacing w:val="-2"/>
              </w:rPr>
              <w:t>评要求升压站配套建设的</w:t>
            </w:r>
          </w:p>
          <w:p w14:paraId="1F36EDCF">
            <w:pPr>
              <w:pStyle w:val="6"/>
              <w:spacing w:before="2" w:line="358" w:lineRule="auto"/>
              <w:ind w:left="100" w:firstLine="9"/>
            </w:pPr>
            <w:r>
              <w:rPr>
                <w:spacing w:val="4"/>
              </w:rPr>
              <w:t>化粪池容积为1m³;经一体化污水处理站处理的废水量为0.8m³/d,建设单位拟建</w:t>
            </w:r>
            <w:r>
              <w:rPr>
                <w:spacing w:val="15"/>
              </w:rPr>
              <w:t xml:space="preserve"> </w:t>
            </w:r>
            <w:r>
              <w:rPr>
                <w:spacing w:val="2"/>
              </w:rPr>
              <w:t>一座处理规模为2m³/d的一体化生活污水处理站；考虑雨天无法浇灌绿化，对一</w:t>
            </w:r>
            <w:r>
              <w:rPr>
                <w:spacing w:val="3"/>
              </w:rPr>
              <w:t xml:space="preserve"> </w:t>
            </w:r>
            <w:r>
              <w:rPr>
                <w:spacing w:val="-2"/>
              </w:rPr>
              <w:t>体化生活污水处理站的中水进行暂存，中水储存池容积按暂存5天的中水</w:t>
            </w:r>
            <w:r>
              <w:rPr>
                <w:spacing w:val="-3"/>
              </w:rPr>
              <w:t>量计算，</w:t>
            </w:r>
            <w:r>
              <w:t xml:space="preserve"> </w:t>
            </w:r>
            <w:r>
              <w:rPr>
                <w:spacing w:val="9"/>
              </w:rPr>
              <w:t>中水储存池容积4m³。</w:t>
            </w:r>
          </w:p>
          <w:p w14:paraId="45880CCC">
            <w:pPr>
              <w:pStyle w:val="6"/>
              <w:spacing w:before="2" w:line="360" w:lineRule="auto"/>
              <w:ind w:left="110" w:firstLine="457"/>
            </w:pPr>
            <w:r>
              <w:rPr>
                <w:spacing w:val="-7"/>
              </w:rPr>
              <w:t>项目生活废水经处理后回用于绿化，通过类比同类生活污水处理工艺，项目生</w:t>
            </w:r>
            <w:r>
              <w:rPr>
                <w:spacing w:val="14"/>
              </w:rPr>
              <w:t xml:space="preserve"> </w:t>
            </w:r>
            <w:r>
              <w:rPr>
                <w:spacing w:val="-5"/>
              </w:rPr>
              <w:t>活污水经处理后水质满足《城市污水再生利用-城市杂用水水质》(GBT18920-2020)</w:t>
            </w:r>
            <w:r>
              <w:rPr>
                <w:spacing w:val="14"/>
              </w:rPr>
              <w:t xml:space="preserve"> </w:t>
            </w:r>
            <w:r>
              <w:rPr>
                <w:spacing w:val="-1"/>
              </w:rPr>
              <w:t>中道路清扫及绿化标准。根据《云南省地表标准农村</w:t>
            </w:r>
            <w:r>
              <w:rPr>
                <w:spacing w:val="-2"/>
              </w:rPr>
              <w:t>生活污水治理技术指南》</w:t>
            </w:r>
          </w:p>
          <w:p w14:paraId="2B995C1E">
            <w:pPr>
              <w:pStyle w:val="6"/>
              <w:spacing w:before="1" w:line="361" w:lineRule="auto"/>
              <w:ind w:left="110" w:right="155" w:firstLine="109"/>
            </w:pPr>
            <w:r>
              <w:t>(DB53/T 1163-2023),“预处理+AO”污水处理工艺为强化模式，适用于经济条</w:t>
            </w:r>
            <w:r>
              <w:rPr>
                <w:spacing w:val="9"/>
              </w:rPr>
              <w:t xml:space="preserve"> </w:t>
            </w:r>
            <w:r>
              <w:rPr>
                <w:spacing w:val="-1"/>
              </w:rPr>
              <w:t>件好，水环境保护要求高的地区。</w:t>
            </w:r>
          </w:p>
          <w:p w14:paraId="69CC7643">
            <w:pPr>
              <w:pStyle w:val="6"/>
              <w:spacing w:before="3" w:line="361" w:lineRule="auto"/>
              <w:ind w:left="90" w:right="23" w:firstLine="499"/>
            </w:pPr>
            <w:r>
              <w:rPr>
                <w:spacing w:val="6"/>
              </w:rPr>
              <w:t>根据核算，项目绿化用水量为330m³/a,项目生活污水产生量为292m³/a,生</w:t>
            </w:r>
            <w:r>
              <w:rPr>
                <w:spacing w:val="10"/>
              </w:rPr>
              <w:t xml:space="preserve"> </w:t>
            </w:r>
            <w:r>
              <w:rPr>
                <w:spacing w:val="-1"/>
              </w:rPr>
              <w:t>活污水可做到全部回用，不外排。</w:t>
            </w:r>
          </w:p>
          <w:p w14:paraId="72A9CCF0">
            <w:pPr>
              <w:pStyle w:val="6"/>
              <w:spacing w:line="220" w:lineRule="auto"/>
              <w:ind w:left="564"/>
            </w:pPr>
            <w:r>
              <w:rPr>
                <w:b/>
                <w:bCs/>
                <w:spacing w:val="-4"/>
              </w:rPr>
              <w:t>3、运营期声环境影响分析</w:t>
            </w:r>
          </w:p>
          <w:p w14:paraId="441C9F30">
            <w:pPr>
              <w:pStyle w:val="6"/>
              <w:spacing w:before="197" w:line="220" w:lineRule="auto"/>
              <w:ind w:left="710"/>
            </w:pPr>
            <w:r>
              <w:rPr>
                <w:spacing w:val="1"/>
              </w:rPr>
              <w:t>(1)噪声源强</w:t>
            </w:r>
          </w:p>
          <w:p w14:paraId="1C49761C">
            <w:pPr>
              <w:pStyle w:val="6"/>
              <w:spacing w:before="162" w:line="356" w:lineRule="auto"/>
              <w:ind w:left="90" w:right="19" w:firstLine="499"/>
            </w:pPr>
            <w:r>
              <w:t>光伏发电主体设备基本没有机械传动或运动部件，设备噪声源强较小。噪声</w:t>
            </w:r>
            <w:r>
              <w:rPr>
                <w:spacing w:val="14"/>
              </w:rPr>
              <w:t xml:space="preserve"> </w:t>
            </w:r>
            <w:r>
              <w:t>源主要来源于升压站内电气设备噪声以及光伏板区箱式变压器和逆变器。</w:t>
            </w:r>
          </w:p>
          <w:p w14:paraId="4EF02244">
            <w:pPr>
              <w:pStyle w:val="6"/>
              <w:spacing w:before="5" w:line="219" w:lineRule="auto"/>
              <w:ind w:left="580"/>
            </w:pPr>
            <w:r>
              <w:rPr>
                <w:spacing w:val="41"/>
              </w:rPr>
              <w:t>本项目新建220</w:t>
            </w:r>
            <w:r>
              <w:t>kV</w:t>
            </w:r>
            <w:r>
              <w:rPr>
                <w:spacing w:val="41"/>
              </w:rPr>
              <w:t>升压站1座，参考《变电站噪声控制技术导则》</w:t>
            </w:r>
          </w:p>
        </w:tc>
      </w:tr>
    </w:tbl>
    <w:p w14:paraId="6D29AA85">
      <w:pPr>
        <w:pStyle w:val="2"/>
      </w:pPr>
    </w:p>
    <w:p w14:paraId="1611A501">
      <w:pPr>
        <w:sectPr>
          <w:footerReference r:id="rId99" w:type="default"/>
          <w:pgSz w:w="11910" w:h="16840"/>
          <w:pgMar w:top="1431" w:right="1484" w:bottom="1255" w:left="1445" w:header="0" w:footer="1093" w:gutter="0"/>
          <w:cols w:space="720" w:num="1"/>
        </w:sectPr>
      </w:pPr>
    </w:p>
    <w:p w14:paraId="4CD0F00B">
      <w:pPr>
        <w:spacing w:line="93" w:lineRule="exact"/>
      </w:pPr>
    </w:p>
    <w:tbl>
      <w:tblPr>
        <w:tblStyle w:val="5"/>
        <w:tblW w:w="88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5"/>
        <w:gridCol w:w="699"/>
        <w:gridCol w:w="679"/>
        <w:gridCol w:w="1408"/>
        <w:gridCol w:w="599"/>
        <w:gridCol w:w="789"/>
        <w:gridCol w:w="649"/>
        <w:gridCol w:w="1099"/>
        <w:gridCol w:w="1548"/>
        <w:gridCol w:w="954"/>
      </w:tblGrid>
      <w:tr w14:paraId="56782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465" w:type="dxa"/>
            <w:vMerge w:val="restart"/>
            <w:tcBorders>
              <w:bottom w:val="nil"/>
            </w:tcBorders>
            <w:vAlign w:val="top"/>
          </w:tcPr>
          <w:p w14:paraId="087B6FC0">
            <w:pPr>
              <w:rPr>
                <w:rFonts w:ascii="Arial"/>
                <w:sz w:val="21"/>
              </w:rPr>
            </w:pPr>
          </w:p>
        </w:tc>
        <w:tc>
          <w:tcPr>
            <w:tcW w:w="8424" w:type="dxa"/>
            <w:gridSpan w:val="9"/>
            <w:vAlign w:val="top"/>
          </w:tcPr>
          <w:p w14:paraId="4C070192">
            <w:pPr>
              <w:pStyle w:val="6"/>
              <w:spacing w:before="9" w:line="378" w:lineRule="auto"/>
              <w:ind w:left="49" w:right="1032" w:firstLine="79"/>
              <w:rPr>
                <w:sz w:val="23"/>
                <w:szCs w:val="23"/>
              </w:rPr>
            </w:pPr>
            <w:r>
              <w:rPr>
                <w:sz w:val="23"/>
                <w:szCs w:val="23"/>
              </w:rPr>
              <w:t>(DL/T1518-2016),油浸式自冷变压器距1m处噪声源强为63.7dB(A)。主要</w:t>
            </w:r>
            <w:r>
              <w:rPr>
                <w:spacing w:val="5"/>
                <w:sz w:val="23"/>
                <w:szCs w:val="23"/>
              </w:rPr>
              <w:t xml:space="preserve"> </w:t>
            </w:r>
            <w:r>
              <w:rPr>
                <w:spacing w:val="-1"/>
                <w:sz w:val="23"/>
                <w:szCs w:val="23"/>
              </w:rPr>
              <w:t>噪声源强一览表详见下表。</w:t>
            </w:r>
          </w:p>
          <w:p w14:paraId="2B1675FE">
            <w:pPr>
              <w:pStyle w:val="6"/>
              <w:spacing w:line="220" w:lineRule="auto"/>
              <w:ind w:left="1453"/>
              <w:rPr>
                <w:sz w:val="23"/>
                <w:szCs w:val="23"/>
              </w:rPr>
            </w:pPr>
            <w:r>
              <w:rPr>
                <w:b/>
                <w:bCs/>
                <w:spacing w:val="25"/>
                <w:sz w:val="23"/>
                <w:szCs w:val="23"/>
              </w:rPr>
              <w:t>表4-</w:t>
            </w:r>
            <w:r>
              <w:rPr>
                <w:spacing w:val="-46"/>
                <w:sz w:val="23"/>
                <w:szCs w:val="23"/>
              </w:rPr>
              <w:t xml:space="preserve"> </w:t>
            </w:r>
            <w:r>
              <w:rPr>
                <w:b/>
                <w:bCs/>
                <w:spacing w:val="25"/>
                <w:sz w:val="23"/>
                <w:szCs w:val="23"/>
              </w:rPr>
              <w:t>5升压站噪声源强调查清单</w:t>
            </w:r>
            <w:r>
              <w:rPr>
                <w:spacing w:val="88"/>
                <w:sz w:val="23"/>
                <w:szCs w:val="23"/>
              </w:rPr>
              <w:t xml:space="preserve"> </w:t>
            </w:r>
            <w:r>
              <w:rPr>
                <w:b/>
                <w:bCs/>
                <w:spacing w:val="25"/>
                <w:sz w:val="23"/>
                <w:szCs w:val="23"/>
              </w:rPr>
              <w:t>单位：</w:t>
            </w:r>
            <w:r>
              <w:rPr>
                <w:spacing w:val="25"/>
                <w:sz w:val="23"/>
                <w:szCs w:val="23"/>
              </w:rPr>
              <w:t xml:space="preserve"> </w:t>
            </w:r>
            <w:r>
              <w:rPr>
                <w:b/>
                <w:bCs/>
                <w:sz w:val="23"/>
                <w:szCs w:val="23"/>
              </w:rPr>
              <w:t>dB</w:t>
            </w:r>
            <w:r>
              <w:rPr>
                <w:b/>
                <w:bCs/>
                <w:spacing w:val="25"/>
                <w:sz w:val="23"/>
                <w:szCs w:val="23"/>
              </w:rPr>
              <w:t>(A)</w:t>
            </w:r>
          </w:p>
        </w:tc>
      </w:tr>
      <w:tr w14:paraId="37075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65" w:type="dxa"/>
            <w:vMerge w:val="continue"/>
            <w:tcBorders>
              <w:top w:val="nil"/>
              <w:bottom w:val="nil"/>
            </w:tcBorders>
            <w:vAlign w:val="top"/>
          </w:tcPr>
          <w:p w14:paraId="40839309">
            <w:pPr>
              <w:rPr>
                <w:rFonts w:ascii="Arial"/>
                <w:sz w:val="21"/>
              </w:rPr>
            </w:pPr>
          </w:p>
        </w:tc>
        <w:tc>
          <w:tcPr>
            <w:tcW w:w="699" w:type="dxa"/>
            <w:vMerge w:val="restart"/>
            <w:tcBorders>
              <w:bottom w:val="nil"/>
            </w:tcBorders>
            <w:vAlign w:val="top"/>
          </w:tcPr>
          <w:p w14:paraId="326A5246">
            <w:pPr>
              <w:spacing w:line="354" w:lineRule="auto"/>
              <w:rPr>
                <w:rFonts w:ascii="Arial"/>
                <w:sz w:val="21"/>
              </w:rPr>
            </w:pPr>
          </w:p>
          <w:p w14:paraId="2E314219">
            <w:pPr>
              <w:pStyle w:val="6"/>
              <w:spacing w:before="75" w:line="221" w:lineRule="auto"/>
              <w:ind w:left="110"/>
              <w:rPr>
                <w:sz w:val="23"/>
                <w:szCs w:val="23"/>
              </w:rPr>
            </w:pPr>
            <w:r>
              <w:rPr>
                <w:spacing w:val="7"/>
                <w:sz w:val="23"/>
                <w:szCs w:val="23"/>
              </w:rPr>
              <w:t>序号</w:t>
            </w:r>
          </w:p>
        </w:tc>
        <w:tc>
          <w:tcPr>
            <w:tcW w:w="679" w:type="dxa"/>
            <w:vMerge w:val="restart"/>
            <w:tcBorders>
              <w:bottom w:val="nil"/>
            </w:tcBorders>
            <w:vAlign w:val="top"/>
          </w:tcPr>
          <w:p w14:paraId="41551272">
            <w:pPr>
              <w:pStyle w:val="6"/>
              <w:spacing w:before="301" w:line="218" w:lineRule="auto"/>
              <w:ind w:left="100"/>
              <w:rPr>
                <w:sz w:val="23"/>
                <w:szCs w:val="23"/>
              </w:rPr>
            </w:pPr>
            <w:r>
              <w:rPr>
                <w:spacing w:val="4"/>
                <w:sz w:val="23"/>
                <w:szCs w:val="23"/>
              </w:rPr>
              <w:t>声源</w:t>
            </w:r>
          </w:p>
          <w:p w14:paraId="4A354EE6">
            <w:pPr>
              <w:pStyle w:val="6"/>
              <w:spacing w:line="221" w:lineRule="auto"/>
              <w:ind w:left="100"/>
              <w:rPr>
                <w:sz w:val="23"/>
                <w:szCs w:val="23"/>
              </w:rPr>
            </w:pPr>
            <w:r>
              <w:rPr>
                <w:spacing w:val="5"/>
                <w:sz w:val="23"/>
                <w:szCs w:val="23"/>
              </w:rPr>
              <w:t>名称</w:t>
            </w:r>
          </w:p>
        </w:tc>
        <w:tc>
          <w:tcPr>
            <w:tcW w:w="1408" w:type="dxa"/>
            <w:vMerge w:val="restart"/>
            <w:tcBorders>
              <w:bottom w:val="nil"/>
            </w:tcBorders>
            <w:vAlign w:val="top"/>
          </w:tcPr>
          <w:p w14:paraId="2EF2FB85">
            <w:pPr>
              <w:spacing w:line="354" w:lineRule="auto"/>
              <w:rPr>
                <w:rFonts w:ascii="Arial"/>
                <w:sz w:val="21"/>
              </w:rPr>
            </w:pPr>
          </w:p>
          <w:p w14:paraId="6A5FB35A">
            <w:pPr>
              <w:pStyle w:val="6"/>
              <w:spacing w:before="75" w:line="221" w:lineRule="auto"/>
              <w:ind w:left="461"/>
              <w:rPr>
                <w:sz w:val="23"/>
                <w:szCs w:val="23"/>
              </w:rPr>
            </w:pPr>
            <w:r>
              <w:rPr>
                <w:spacing w:val="7"/>
                <w:sz w:val="23"/>
                <w:szCs w:val="23"/>
              </w:rPr>
              <w:t>型号</w:t>
            </w:r>
          </w:p>
        </w:tc>
        <w:tc>
          <w:tcPr>
            <w:tcW w:w="2037" w:type="dxa"/>
            <w:gridSpan w:val="3"/>
            <w:vAlign w:val="top"/>
          </w:tcPr>
          <w:p w14:paraId="0EC2B6DE">
            <w:pPr>
              <w:pStyle w:val="6"/>
              <w:spacing w:before="32" w:line="191" w:lineRule="auto"/>
              <w:ind w:left="284"/>
              <w:rPr>
                <w:sz w:val="23"/>
                <w:szCs w:val="23"/>
              </w:rPr>
            </w:pPr>
            <w:r>
              <w:rPr>
                <w:spacing w:val="-2"/>
                <w:sz w:val="23"/>
                <w:szCs w:val="23"/>
              </w:rPr>
              <w:t>空间相对位置/m</w:t>
            </w:r>
          </w:p>
        </w:tc>
        <w:tc>
          <w:tcPr>
            <w:tcW w:w="1099" w:type="dxa"/>
            <w:vMerge w:val="restart"/>
            <w:tcBorders>
              <w:bottom w:val="nil"/>
            </w:tcBorders>
            <w:vAlign w:val="top"/>
          </w:tcPr>
          <w:p w14:paraId="35FFA8F0">
            <w:pPr>
              <w:pStyle w:val="6"/>
              <w:spacing w:before="40" w:line="219" w:lineRule="auto"/>
              <w:ind w:left="196"/>
              <w:rPr>
                <w:sz w:val="23"/>
                <w:szCs w:val="23"/>
              </w:rPr>
            </w:pPr>
            <w:r>
              <w:rPr>
                <w:spacing w:val="3"/>
                <w:sz w:val="23"/>
                <w:szCs w:val="23"/>
              </w:rPr>
              <w:t>声源源</w:t>
            </w:r>
          </w:p>
          <w:p w14:paraId="3E3E3F43">
            <w:pPr>
              <w:pStyle w:val="6"/>
              <w:spacing w:line="222" w:lineRule="auto"/>
              <w:ind w:left="427"/>
              <w:rPr>
                <w:sz w:val="23"/>
                <w:szCs w:val="23"/>
              </w:rPr>
            </w:pPr>
            <w:r>
              <w:rPr>
                <w:sz w:val="23"/>
                <w:szCs w:val="23"/>
              </w:rPr>
              <w:t>强</w:t>
            </w:r>
          </w:p>
          <w:p w14:paraId="6009B868">
            <w:pPr>
              <w:pStyle w:val="6"/>
              <w:spacing w:before="12" w:line="201" w:lineRule="auto"/>
              <w:ind w:left="196"/>
              <w:rPr>
                <w:sz w:val="23"/>
                <w:szCs w:val="23"/>
              </w:rPr>
            </w:pPr>
            <w:r>
              <w:rPr>
                <w:spacing w:val="-7"/>
                <w:sz w:val="23"/>
                <w:szCs w:val="23"/>
              </w:rPr>
              <w:t>(dB(A)</w:t>
            </w:r>
          </w:p>
          <w:p w14:paraId="07FEA564">
            <w:pPr>
              <w:pStyle w:val="6"/>
              <w:spacing w:line="180" w:lineRule="auto"/>
              <w:ind w:left="486"/>
              <w:rPr>
                <w:sz w:val="23"/>
                <w:szCs w:val="23"/>
              </w:rPr>
            </w:pPr>
            <w:r>
              <w:rPr>
                <w:sz w:val="23"/>
                <w:szCs w:val="23"/>
              </w:rPr>
              <w:t>)</w:t>
            </w:r>
          </w:p>
        </w:tc>
        <w:tc>
          <w:tcPr>
            <w:tcW w:w="1548" w:type="dxa"/>
            <w:vMerge w:val="restart"/>
            <w:tcBorders>
              <w:bottom w:val="nil"/>
            </w:tcBorders>
            <w:vAlign w:val="top"/>
          </w:tcPr>
          <w:p w14:paraId="3D23A332">
            <w:pPr>
              <w:spacing w:line="354" w:lineRule="auto"/>
              <w:rPr>
                <w:rFonts w:ascii="Arial"/>
                <w:sz w:val="21"/>
              </w:rPr>
            </w:pPr>
          </w:p>
          <w:p w14:paraId="7A092DD7">
            <w:pPr>
              <w:pStyle w:val="6"/>
              <w:spacing w:before="74" w:line="220" w:lineRule="auto"/>
              <w:ind w:left="77"/>
              <w:rPr>
                <w:sz w:val="23"/>
                <w:szCs w:val="23"/>
              </w:rPr>
            </w:pPr>
            <w:r>
              <w:rPr>
                <w:spacing w:val="1"/>
                <w:sz w:val="23"/>
                <w:szCs w:val="23"/>
              </w:rPr>
              <w:t>声源控制措施</w:t>
            </w:r>
          </w:p>
        </w:tc>
        <w:tc>
          <w:tcPr>
            <w:tcW w:w="954" w:type="dxa"/>
            <w:vMerge w:val="restart"/>
            <w:tcBorders>
              <w:bottom w:val="nil"/>
            </w:tcBorders>
            <w:vAlign w:val="top"/>
          </w:tcPr>
          <w:p w14:paraId="51A68DCE">
            <w:pPr>
              <w:spacing w:line="354" w:lineRule="auto"/>
              <w:rPr>
                <w:rFonts w:ascii="Arial"/>
                <w:sz w:val="21"/>
              </w:rPr>
            </w:pPr>
          </w:p>
          <w:p w14:paraId="6F7EAC65">
            <w:pPr>
              <w:pStyle w:val="6"/>
              <w:spacing w:before="74" w:line="220" w:lineRule="auto"/>
              <w:ind w:left="9"/>
              <w:rPr>
                <w:sz w:val="23"/>
                <w:szCs w:val="23"/>
              </w:rPr>
            </w:pPr>
            <w:r>
              <w:rPr>
                <w:spacing w:val="-2"/>
                <w:sz w:val="23"/>
                <w:szCs w:val="23"/>
              </w:rPr>
              <w:t>运行时段</w:t>
            </w:r>
          </w:p>
        </w:tc>
      </w:tr>
      <w:tr w14:paraId="1901A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465" w:type="dxa"/>
            <w:vMerge w:val="continue"/>
            <w:tcBorders>
              <w:top w:val="nil"/>
              <w:bottom w:val="nil"/>
            </w:tcBorders>
            <w:vAlign w:val="top"/>
          </w:tcPr>
          <w:p w14:paraId="37550DA1">
            <w:pPr>
              <w:rPr>
                <w:rFonts w:ascii="Arial"/>
                <w:sz w:val="21"/>
              </w:rPr>
            </w:pPr>
          </w:p>
        </w:tc>
        <w:tc>
          <w:tcPr>
            <w:tcW w:w="699" w:type="dxa"/>
            <w:vMerge w:val="continue"/>
            <w:tcBorders>
              <w:top w:val="nil"/>
            </w:tcBorders>
            <w:vAlign w:val="top"/>
          </w:tcPr>
          <w:p w14:paraId="22FD8BFC">
            <w:pPr>
              <w:rPr>
                <w:rFonts w:ascii="Arial"/>
                <w:sz w:val="21"/>
              </w:rPr>
            </w:pPr>
          </w:p>
        </w:tc>
        <w:tc>
          <w:tcPr>
            <w:tcW w:w="679" w:type="dxa"/>
            <w:vMerge w:val="continue"/>
            <w:tcBorders>
              <w:top w:val="nil"/>
            </w:tcBorders>
            <w:vAlign w:val="top"/>
          </w:tcPr>
          <w:p w14:paraId="3F63FE55">
            <w:pPr>
              <w:rPr>
                <w:rFonts w:ascii="Arial"/>
                <w:sz w:val="21"/>
              </w:rPr>
            </w:pPr>
          </w:p>
        </w:tc>
        <w:tc>
          <w:tcPr>
            <w:tcW w:w="1408" w:type="dxa"/>
            <w:vMerge w:val="continue"/>
            <w:tcBorders>
              <w:top w:val="nil"/>
            </w:tcBorders>
            <w:vAlign w:val="top"/>
          </w:tcPr>
          <w:p w14:paraId="660684DD">
            <w:pPr>
              <w:rPr>
                <w:rFonts w:ascii="Arial"/>
                <w:sz w:val="21"/>
              </w:rPr>
            </w:pPr>
          </w:p>
        </w:tc>
        <w:tc>
          <w:tcPr>
            <w:tcW w:w="599" w:type="dxa"/>
            <w:vAlign w:val="top"/>
          </w:tcPr>
          <w:p w14:paraId="2544EC59">
            <w:pPr>
              <w:spacing w:line="274" w:lineRule="auto"/>
              <w:rPr>
                <w:rFonts w:ascii="Arial"/>
                <w:sz w:val="21"/>
              </w:rPr>
            </w:pPr>
          </w:p>
          <w:p w14:paraId="16F8E10A">
            <w:pPr>
              <w:pStyle w:val="6"/>
              <w:spacing w:before="75" w:line="182" w:lineRule="auto"/>
              <w:ind w:left="233"/>
              <w:rPr>
                <w:sz w:val="23"/>
                <w:szCs w:val="23"/>
              </w:rPr>
            </w:pPr>
            <w:r>
              <w:rPr>
                <w:sz w:val="23"/>
                <w:szCs w:val="23"/>
              </w:rPr>
              <w:t>X</w:t>
            </w:r>
          </w:p>
        </w:tc>
        <w:tc>
          <w:tcPr>
            <w:tcW w:w="789" w:type="dxa"/>
            <w:vAlign w:val="top"/>
          </w:tcPr>
          <w:p w14:paraId="0B891823">
            <w:pPr>
              <w:spacing w:line="274" w:lineRule="auto"/>
              <w:rPr>
                <w:rFonts w:ascii="Arial"/>
                <w:sz w:val="21"/>
              </w:rPr>
            </w:pPr>
          </w:p>
          <w:p w14:paraId="5EEB17DA">
            <w:pPr>
              <w:pStyle w:val="6"/>
              <w:spacing w:before="75" w:line="182" w:lineRule="auto"/>
              <w:ind w:left="324"/>
              <w:rPr>
                <w:sz w:val="23"/>
                <w:szCs w:val="23"/>
              </w:rPr>
            </w:pPr>
            <w:r>
              <w:rPr>
                <w:sz w:val="23"/>
                <w:szCs w:val="23"/>
              </w:rPr>
              <w:t>Y</w:t>
            </w:r>
          </w:p>
        </w:tc>
        <w:tc>
          <w:tcPr>
            <w:tcW w:w="649" w:type="dxa"/>
            <w:vAlign w:val="top"/>
          </w:tcPr>
          <w:p w14:paraId="107620EF">
            <w:pPr>
              <w:spacing w:line="274" w:lineRule="auto"/>
              <w:rPr>
                <w:rFonts w:ascii="Arial"/>
                <w:sz w:val="21"/>
              </w:rPr>
            </w:pPr>
          </w:p>
          <w:p w14:paraId="195383F1">
            <w:pPr>
              <w:pStyle w:val="6"/>
              <w:spacing w:before="75" w:line="182" w:lineRule="auto"/>
              <w:ind w:left="256"/>
              <w:rPr>
                <w:sz w:val="23"/>
                <w:szCs w:val="23"/>
              </w:rPr>
            </w:pPr>
            <w:r>
              <w:rPr>
                <w:sz w:val="23"/>
                <w:szCs w:val="23"/>
              </w:rPr>
              <w:t>Z</w:t>
            </w:r>
          </w:p>
        </w:tc>
        <w:tc>
          <w:tcPr>
            <w:tcW w:w="1099" w:type="dxa"/>
            <w:vMerge w:val="continue"/>
            <w:tcBorders>
              <w:top w:val="nil"/>
            </w:tcBorders>
            <w:vAlign w:val="top"/>
          </w:tcPr>
          <w:p w14:paraId="6188963A">
            <w:pPr>
              <w:rPr>
                <w:rFonts w:ascii="Arial"/>
                <w:sz w:val="21"/>
              </w:rPr>
            </w:pPr>
          </w:p>
        </w:tc>
        <w:tc>
          <w:tcPr>
            <w:tcW w:w="1548" w:type="dxa"/>
            <w:vMerge w:val="continue"/>
            <w:tcBorders>
              <w:top w:val="nil"/>
            </w:tcBorders>
            <w:vAlign w:val="top"/>
          </w:tcPr>
          <w:p w14:paraId="034556FB">
            <w:pPr>
              <w:rPr>
                <w:rFonts w:ascii="Arial"/>
                <w:sz w:val="21"/>
              </w:rPr>
            </w:pPr>
          </w:p>
        </w:tc>
        <w:tc>
          <w:tcPr>
            <w:tcW w:w="954" w:type="dxa"/>
            <w:vMerge w:val="continue"/>
            <w:tcBorders>
              <w:top w:val="nil"/>
            </w:tcBorders>
            <w:vAlign w:val="top"/>
          </w:tcPr>
          <w:p w14:paraId="2B3B8C4A">
            <w:pPr>
              <w:rPr>
                <w:rFonts w:ascii="Arial"/>
                <w:sz w:val="21"/>
              </w:rPr>
            </w:pPr>
          </w:p>
        </w:tc>
      </w:tr>
      <w:tr w14:paraId="3C50F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65" w:type="dxa"/>
            <w:vMerge w:val="continue"/>
            <w:tcBorders>
              <w:top w:val="nil"/>
              <w:bottom w:val="nil"/>
            </w:tcBorders>
            <w:vAlign w:val="top"/>
          </w:tcPr>
          <w:p w14:paraId="3BD3468D">
            <w:pPr>
              <w:rPr>
                <w:rFonts w:ascii="Arial"/>
                <w:sz w:val="21"/>
              </w:rPr>
            </w:pPr>
          </w:p>
        </w:tc>
        <w:tc>
          <w:tcPr>
            <w:tcW w:w="699" w:type="dxa"/>
            <w:vAlign w:val="top"/>
          </w:tcPr>
          <w:p w14:paraId="55E20972">
            <w:pPr>
              <w:pStyle w:val="6"/>
              <w:spacing w:before="314" w:line="241" w:lineRule="auto"/>
              <w:ind w:left="279"/>
              <w:rPr>
                <w:sz w:val="23"/>
                <w:szCs w:val="23"/>
              </w:rPr>
            </w:pPr>
            <w:r>
              <w:rPr>
                <w:sz w:val="23"/>
                <w:szCs w:val="23"/>
              </w:rPr>
              <w:t>1</w:t>
            </w:r>
          </w:p>
        </w:tc>
        <w:tc>
          <w:tcPr>
            <w:tcW w:w="679" w:type="dxa"/>
            <w:vAlign w:val="top"/>
          </w:tcPr>
          <w:p w14:paraId="44F000A0">
            <w:pPr>
              <w:pStyle w:val="6"/>
              <w:spacing w:before="172" w:line="219" w:lineRule="auto"/>
              <w:ind w:left="100"/>
              <w:rPr>
                <w:sz w:val="23"/>
                <w:szCs w:val="23"/>
              </w:rPr>
            </w:pPr>
            <w:r>
              <w:rPr>
                <w:spacing w:val="4"/>
                <w:sz w:val="23"/>
                <w:szCs w:val="23"/>
              </w:rPr>
              <w:t>主变</w:t>
            </w:r>
          </w:p>
          <w:p w14:paraId="31C9EDD3">
            <w:pPr>
              <w:pStyle w:val="6"/>
              <w:spacing w:before="1" w:line="222" w:lineRule="auto"/>
              <w:ind w:left="100"/>
              <w:rPr>
                <w:sz w:val="23"/>
                <w:szCs w:val="23"/>
              </w:rPr>
            </w:pPr>
            <w:r>
              <w:rPr>
                <w:spacing w:val="-3"/>
                <w:sz w:val="23"/>
                <w:szCs w:val="23"/>
              </w:rPr>
              <w:t>压器</w:t>
            </w:r>
          </w:p>
        </w:tc>
        <w:tc>
          <w:tcPr>
            <w:tcW w:w="1408" w:type="dxa"/>
            <w:vAlign w:val="top"/>
          </w:tcPr>
          <w:p w14:paraId="07316628">
            <w:pPr>
              <w:pStyle w:val="6"/>
              <w:spacing w:before="223" w:line="202" w:lineRule="auto"/>
              <w:ind w:left="291" w:right="80" w:hanging="229"/>
              <w:rPr>
                <w:sz w:val="23"/>
                <w:szCs w:val="23"/>
              </w:rPr>
            </w:pPr>
            <w:r>
              <w:rPr>
                <w:spacing w:val="-1"/>
                <w:sz w:val="23"/>
                <w:szCs w:val="23"/>
              </w:rPr>
              <w:t>SFZ18-12000</w:t>
            </w:r>
            <w:r>
              <w:rPr>
                <w:sz w:val="23"/>
                <w:szCs w:val="23"/>
              </w:rPr>
              <w:t xml:space="preserve"> </w:t>
            </w:r>
            <w:r>
              <w:rPr>
                <w:spacing w:val="-2"/>
                <w:sz w:val="23"/>
                <w:szCs w:val="23"/>
              </w:rPr>
              <w:t>0/220GY</w:t>
            </w:r>
          </w:p>
        </w:tc>
        <w:tc>
          <w:tcPr>
            <w:tcW w:w="599" w:type="dxa"/>
            <w:vAlign w:val="top"/>
          </w:tcPr>
          <w:p w14:paraId="27092DF4">
            <w:pPr>
              <w:pStyle w:val="6"/>
              <w:spacing w:before="314" w:line="239" w:lineRule="auto"/>
              <w:ind w:left="63"/>
              <w:rPr>
                <w:sz w:val="23"/>
                <w:szCs w:val="23"/>
              </w:rPr>
            </w:pPr>
            <w:r>
              <w:rPr>
                <w:spacing w:val="-2"/>
                <w:sz w:val="23"/>
                <w:szCs w:val="23"/>
              </w:rPr>
              <w:t>44.5</w:t>
            </w:r>
          </w:p>
        </w:tc>
        <w:tc>
          <w:tcPr>
            <w:tcW w:w="789" w:type="dxa"/>
            <w:vAlign w:val="top"/>
          </w:tcPr>
          <w:p w14:paraId="0E335ABA">
            <w:pPr>
              <w:pStyle w:val="6"/>
              <w:spacing w:before="314" w:line="241" w:lineRule="auto"/>
              <w:ind w:left="274"/>
              <w:rPr>
                <w:sz w:val="23"/>
                <w:szCs w:val="23"/>
              </w:rPr>
            </w:pPr>
            <w:r>
              <w:rPr>
                <w:spacing w:val="-3"/>
                <w:sz w:val="23"/>
                <w:szCs w:val="23"/>
              </w:rPr>
              <w:t>21</w:t>
            </w:r>
          </w:p>
        </w:tc>
        <w:tc>
          <w:tcPr>
            <w:tcW w:w="649" w:type="dxa"/>
            <w:vAlign w:val="top"/>
          </w:tcPr>
          <w:p w14:paraId="3B943D29">
            <w:pPr>
              <w:pStyle w:val="6"/>
              <w:spacing w:before="314" w:line="241" w:lineRule="auto"/>
              <w:ind w:left="256"/>
              <w:rPr>
                <w:sz w:val="23"/>
                <w:szCs w:val="23"/>
              </w:rPr>
            </w:pPr>
            <w:r>
              <w:rPr>
                <w:sz w:val="23"/>
                <w:szCs w:val="23"/>
              </w:rPr>
              <w:t>1</w:t>
            </w:r>
          </w:p>
        </w:tc>
        <w:tc>
          <w:tcPr>
            <w:tcW w:w="1099" w:type="dxa"/>
            <w:vAlign w:val="top"/>
          </w:tcPr>
          <w:p w14:paraId="28DA95FD">
            <w:pPr>
              <w:pStyle w:val="6"/>
              <w:spacing w:before="314" w:line="239" w:lineRule="auto"/>
              <w:ind w:left="316"/>
              <w:rPr>
                <w:sz w:val="23"/>
                <w:szCs w:val="23"/>
              </w:rPr>
            </w:pPr>
            <w:r>
              <w:rPr>
                <w:spacing w:val="-3"/>
                <w:sz w:val="23"/>
                <w:szCs w:val="23"/>
              </w:rPr>
              <w:t>63.7</w:t>
            </w:r>
          </w:p>
        </w:tc>
        <w:tc>
          <w:tcPr>
            <w:tcW w:w="1548" w:type="dxa"/>
            <w:vAlign w:val="top"/>
          </w:tcPr>
          <w:p w14:paraId="58F0BDD3">
            <w:pPr>
              <w:pStyle w:val="6"/>
              <w:spacing w:before="41" w:line="216" w:lineRule="auto"/>
              <w:ind w:left="77"/>
              <w:rPr>
                <w:sz w:val="23"/>
                <w:szCs w:val="23"/>
              </w:rPr>
            </w:pPr>
            <w:r>
              <w:rPr>
                <w:spacing w:val="2"/>
                <w:sz w:val="23"/>
                <w:szCs w:val="23"/>
              </w:rPr>
              <w:t>基础减震、站</w:t>
            </w:r>
          </w:p>
          <w:p w14:paraId="28CA98C3">
            <w:pPr>
              <w:pStyle w:val="6"/>
              <w:spacing w:line="193" w:lineRule="auto"/>
              <w:ind w:left="77"/>
              <w:rPr>
                <w:sz w:val="23"/>
                <w:szCs w:val="23"/>
              </w:rPr>
            </w:pPr>
            <w:r>
              <w:rPr>
                <w:spacing w:val="1"/>
                <w:sz w:val="23"/>
                <w:szCs w:val="23"/>
              </w:rPr>
              <w:t>内绿化，厂界</w:t>
            </w:r>
          </w:p>
          <w:p w14:paraId="136CF8B5">
            <w:pPr>
              <w:pStyle w:val="6"/>
              <w:spacing w:line="198" w:lineRule="auto"/>
              <w:ind w:left="537"/>
              <w:rPr>
                <w:sz w:val="23"/>
                <w:szCs w:val="23"/>
              </w:rPr>
            </w:pPr>
            <w:r>
              <w:rPr>
                <w:spacing w:val="4"/>
                <w:sz w:val="23"/>
                <w:szCs w:val="23"/>
              </w:rPr>
              <w:t>围墙</w:t>
            </w:r>
          </w:p>
        </w:tc>
        <w:tc>
          <w:tcPr>
            <w:tcW w:w="954" w:type="dxa"/>
            <w:vMerge w:val="restart"/>
            <w:tcBorders>
              <w:bottom w:val="nil"/>
            </w:tcBorders>
            <w:vAlign w:val="top"/>
          </w:tcPr>
          <w:p w14:paraId="77AB89A0">
            <w:pPr>
              <w:spacing w:line="298" w:lineRule="auto"/>
              <w:rPr>
                <w:rFonts w:ascii="Arial"/>
                <w:sz w:val="21"/>
              </w:rPr>
            </w:pPr>
          </w:p>
          <w:p w14:paraId="68D05689">
            <w:pPr>
              <w:spacing w:line="299" w:lineRule="auto"/>
              <w:rPr>
                <w:rFonts w:ascii="Arial"/>
                <w:sz w:val="21"/>
              </w:rPr>
            </w:pPr>
          </w:p>
          <w:p w14:paraId="57D41BFB">
            <w:pPr>
              <w:spacing w:line="299" w:lineRule="auto"/>
              <w:rPr>
                <w:rFonts w:ascii="Arial"/>
                <w:sz w:val="21"/>
              </w:rPr>
            </w:pPr>
          </w:p>
          <w:p w14:paraId="21612200">
            <w:pPr>
              <w:spacing w:line="299" w:lineRule="auto"/>
              <w:rPr>
                <w:rFonts w:ascii="Arial"/>
                <w:sz w:val="21"/>
              </w:rPr>
            </w:pPr>
          </w:p>
          <w:p w14:paraId="7F3E929E">
            <w:pPr>
              <w:pStyle w:val="6"/>
              <w:spacing w:before="69" w:line="239" w:lineRule="auto"/>
              <w:jc w:val="right"/>
              <w:rPr>
                <w:sz w:val="21"/>
                <w:szCs w:val="21"/>
              </w:rPr>
            </w:pPr>
            <w:r>
              <w:rPr>
                <w:spacing w:val="-14"/>
                <w:sz w:val="21"/>
                <w:szCs w:val="21"/>
              </w:rPr>
              <w:t>0:</w:t>
            </w:r>
            <w:r>
              <w:rPr>
                <w:spacing w:val="-13"/>
                <w:sz w:val="21"/>
                <w:szCs w:val="21"/>
              </w:rPr>
              <w:t>00-24:0</w:t>
            </w:r>
            <w:r>
              <w:rPr>
                <w:spacing w:val="-11"/>
                <w:sz w:val="21"/>
                <w:szCs w:val="21"/>
              </w:rPr>
              <w:t>0</w:t>
            </w:r>
          </w:p>
        </w:tc>
      </w:tr>
      <w:tr w14:paraId="0FAE8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465" w:type="dxa"/>
            <w:vMerge w:val="continue"/>
            <w:tcBorders>
              <w:top w:val="nil"/>
              <w:bottom w:val="nil"/>
            </w:tcBorders>
            <w:vAlign w:val="top"/>
          </w:tcPr>
          <w:p w14:paraId="55508B31">
            <w:pPr>
              <w:rPr>
                <w:rFonts w:ascii="Arial"/>
                <w:sz w:val="21"/>
              </w:rPr>
            </w:pPr>
          </w:p>
        </w:tc>
        <w:tc>
          <w:tcPr>
            <w:tcW w:w="699" w:type="dxa"/>
            <w:vAlign w:val="top"/>
          </w:tcPr>
          <w:p w14:paraId="3A21326F">
            <w:pPr>
              <w:spacing w:line="248" w:lineRule="auto"/>
              <w:rPr>
                <w:rFonts w:ascii="Arial"/>
                <w:sz w:val="21"/>
              </w:rPr>
            </w:pPr>
          </w:p>
          <w:p w14:paraId="68C318FF">
            <w:pPr>
              <w:pStyle w:val="6"/>
              <w:spacing w:before="75" w:line="241" w:lineRule="auto"/>
              <w:ind w:left="279"/>
              <w:rPr>
                <w:sz w:val="23"/>
                <w:szCs w:val="23"/>
              </w:rPr>
            </w:pPr>
            <w:r>
              <w:rPr>
                <w:sz w:val="23"/>
                <w:szCs w:val="23"/>
              </w:rPr>
              <w:t>2</w:t>
            </w:r>
          </w:p>
        </w:tc>
        <w:tc>
          <w:tcPr>
            <w:tcW w:w="679" w:type="dxa"/>
            <w:vAlign w:val="top"/>
          </w:tcPr>
          <w:p w14:paraId="4C17B4D0">
            <w:pPr>
              <w:pStyle w:val="6"/>
              <w:spacing w:before="186" w:line="217" w:lineRule="auto"/>
              <w:ind w:left="100" w:right="94"/>
              <w:rPr>
                <w:sz w:val="23"/>
                <w:szCs w:val="23"/>
              </w:rPr>
            </w:pPr>
            <w:r>
              <w:rPr>
                <w:spacing w:val="6"/>
                <w:sz w:val="23"/>
                <w:szCs w:val="23"/>
              </w:rPr>
              <w:t>配电</w:t>
            </w:r>
            <w:r>
              <w:rPr>
                <w:sz w:val="23"/>
                <w:szCs w:val="23"/>
              </w:rPr>
              <w:t xml:space="preserve"> </w:t>
            </w:r>
            <w:r>
              <w:rPr>
                <w:spacing w:val="-3"/>
                <w:sz w:val="23"/>
                <w:szCs w:val="23"/>
              </w:rPr>
              <w:t>装置</w:t>
            </w:r>
          </w:p>
        </w:tc>
        <w:tc>
          <w:tcPr>
            <w:tcW w:w="1408" w:type="dxa"/>
            <w:vAlign w:val="top"/>
          </w:tcPr>
          <w:p w14:paraId="6E89C1BC">
            <w:pPr>
              <w:pStyle w:val="6"/>
              <w:spacing w:before="308" w:line="224" w:lineRule="auto"/>
              <w:ind w:left="632"/>
              <w:rPr>
                <w:sz w:val="23"/>
                <w:szCs w:val="23"/>
              </w:rPr>
            </w:pPr>
            <w:r>
              <w:rPr>
                <w:sz w:val="23"/>
                <w:szCs w:val="23"/>
              </w:rPr>
              <w:t>/</w:t>
            </w:r>
          </w:p>
        </w:tc>
        <w:tc>
          <w:tcPr>
            <w:tcW w:w="599" w:type="dxa"/>
            <w:vAlign w:val="top"/>
          </w:tcPr>
          <w:p w14:paraId="3A283071">
            <w:pPr>
              <w:spacing w:line="248" w:lineRule="auto"/>
              <w:rPr>
                <w:rFonts w:ascii="Arial"/>
                <w:sz w:val="21"/>
              </w:rPr>
            </w:pPr>
          </w:p>
          <w:p w14:paraId="30EDE264">
            <w:pPr>
              <w:pStyle w:val="6"/>
              <w:spacing w:before="75" w:line="239" w:lineRule="auto"/>
              <w:ind w:left="63"/>
              <w:rPr>
                <w:sz w:val="23"/>
                <w:szCs w:val="23"/>
              </w:rPr>
            </w:pPr>
            <w:r>
              <w:rPr>
                <w:spacing w:val="-3"/>
                <w:sz w:val="23"/>
                <w:szCs w:val="23"/>
              </w:rPr>
              <w:t>51.7</w:t>
            </w:r>
          </w:p>
        </w:tc>
        <w:tc>
          <w:tcPr>
            <w:tcW w:w="789" w:type="dxa"/>
            <w:vAlign w:val="top"/>
          </w:tcPr>
          <w:p w14:paraId="7B375FE7">
            <w:pPr>
              <w:spacing w:line="248" w:lineRule="auto"/>
              <w:rPr>
                <w:rFonts w:ascii="Arial"/>
                <w:sz w:val="21"/>
              </w:rPr>
            </w:pPr>
          </w:p>
          <w:p w14:paraId="4BE4167E">
            <w:pPr>
              <w:pStyle w:val="6"/>
              <w:spacing w:before="75" w:line="239" w:lineRule="auto"/>
              <w:ind w:left="154"/>
              <w:rPr>
                <w:sz w:val="23"/>
                <w:szCs w:val="23"/>
              </w:rPr>
            </w:pPr>
            <w:r>
              <w:rPr>
                <w:spacing w:val="-5"/>
                <w:sz w:val="23"/>
                <w:szCs w:val="23"/>
              </w:rPr>
              <w:t>10.6</w:t>
            </w:r>
          </w:p>
        </w:tc>
        <w:tc>
          <w:tcPr>
            <w:tcW w:w="649" w:type="dxa"/>
            <w:vAlign w:val="top"/>
          </w:tcPr>
          <w:p w14:paraId="0ECE4B93">
            <w:pPr>
              <w:spacing w:line="248" w:lineRule="auto"/>
              <w:rPr>
                <w:rFonts w:ascii="Arial"/>
                <w:sz w:val="21"/>
              </w:rPr>
            </w:pPr>
          </w:p>
          <w:p w14:paraId="357A61E7">
            <w:pPr>
              <w:pStyle w:val="6"/>
              <w:spacing w:before="75" w:line="241" w:lineRule="auto"/>
              <w:ind w:left="256"/>
              <w:rPr>
                <w:sz w:val="23"/>
                <w:szCs w:val="23"/>
              </w:rPr>
            </w:pPr>
            <w:r>
              <w:rPr>
                <w:sz w:val="23"/>
                <w:szCs w:val="23"/>
              </w:rPr>
              <w:t>1</w:t>
            </w:r>
          </w:p>
        </w:tc>
        <w:tc>
          <w:tcPr>
            <w:tcW w:w="1099" w:type="dxa"/>
            <w:vAlign w:val="top"/>
          </w:tcPr>
          <w:p w14:paraId="6E2A1324">
            <w:pPr>
              <w:spacing w:line="248" w:lineRule="auto"/>
              <w:rPr>
                <w:rFonts w:ascii="Arial"/>
                <w:sz w:val="21"/>
              </w:rPr>
            </w:pPr>
          </w:p>
          <w:p w14:paraId="68FFDF1D">
            <w:pPr>
              <w:pStyle w:val="6"/>
              <w:spacing w:before="75"/>
              <w:ind w:left="427"/>
              <w:rPr>
                <w:sz w:val="23"/>
                <w:szCs w:val="23"/>
              </w:rPr>
            </w:pPr>
            <w:r>
              <w:rPr>
                <w:spacing w:val="-3"/>
                <w:sz w:val="23"/>
                <w:szCs w:val="23"/>
              </w:rPr>
              <w:t>60</w:t>
            </w:r>
          </w:p>
        </w:tc>
        <w:tc>
          <w:tcPr>
            <w:tcW w:w="1548" w:type="dxa"/>
            <w:vAlign w:val="top"/>
          </w:tcPr>
          <w:p w14:paraId="0ABA9275">
            <w:pPr>
              <w:pStyle w:val="6"/>
              <w:spacing w:before="52" w:line="216" w:lineRule="auto"/>
              <w:ind w:left="77"/>
              <w:rPr>
                <w:sz w:val="23"/>
                <w:szCs w:val="23"/>
              </w:rPr>
            </w:pPr>
            <w:r>
              <w:rPr>
                <w:spacing w:val="2"/>
                <w:sz w:val="23"/>
                <w:szCs w:val="23"/>
              </w:rPr>
              <w:t>基础减震、站</w:t>
            </w:r>
          </w:p>
          <w:p w14:paraId="20207900">
            <w:pPr>
              <w:pStyle w:val="6"/>
              <w:spacing w:line="217" w:lineRule="auto"/>
              <w:ind w:left="77"/>
              <w:rPr>
                <w:sz w:val="23"/>
                <w:szCs w:val="23"/>
              </w:rPr>
            </w:pPr>
            <w:r>
              <w:rPr>
                <w:spacing w:val="1"/>
                <w:sz w:val="23"/>
                <w:szCs w:val="23"/>
              </w:rPr>
              <w:t>内绿化，厂界</w:t>
            </w:r>
          </w:p>
          <w:p w14:paraId="6AD0F642">
            <w:pPr>
              <w:pStyle w:val="6"/>
              <w:spacing w:line="181" w:lineRule="auto"/>
              <w:ind w:left="537"/>
              <w:rPr>
                <w:sz w:val="23"/>
                <w:szCs w:val="23"/>
              </w:rPr>
            </w:pPr>
            <w:r>
              <w:rPr>
                <w:spacing w:val="4"/>
                <w:sz w:val="23"/>
                <w:szCs w:val="23"/>
              </w:rPr>
              <w:t>围墙</w:t>
            </w:r>
          </w:p>
        </w:tc>
        <w:tc>
          <w:tcPr>
            <w:tcW w:w="954" w:type="dxa"/>
            <w:vMerge w:val="continue"/>
            <w:tcBorders>
              <w:top w:val="nil"/>
              <w:bottom w:val="nil"/>
            </w:tcBorders>
            <w:vAlign w:val="top"/>
          </w:tcPr>
          <w:p w14:paraId="11343A9F">
            <w:pPr>
              <w:rPr>
                <w:rFonts w:ascii="Arial"/>
                <w:sz w:val="21"/>
              </w:rPr>
            </w:pPr>
          </w:p>
        </w:tc>
      </w:tr>
      <w:tr w14:paraId="7C1C3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465" w:type="dxa"/>
            <w:vMerge w:val="continue"/>
            <w:tcBorders>
              <w:top w:val="nil"/>
              <w:bottom w:val="nil"/>
            </w:tcBorders>
            <w:vAlign w:val="top"/>
          </w:tcPr>
          <w:p w14:paraId="6F5CEE27">
            <w:pPr>
              <w:rPr>
                <w:rFonts w:ascii="Arial"/>
                <w:sz w:val="21"/>
              </w:rPr>
            </w:pPr>
          </w:p>
        </w:tc>
        <w:tc>
          <w:tcPr>
            <w:tcW w:w="699" w:type="dxa"/>
            <w:vAlign w:val="top"/>
          </w:tcPr>
          <w:p w14:paraId="550766FF">
            <w:pPr>
              <w:spacing w:line="368" w:lineRule="auto"/>
              <w:rPr>
                <w:rFonts w:ascii="Arial"/>
                <w:sz w:val="21"/>
              </w:rPr>
            </w:pPr>
          </w:p>
          <w:p w14:paraId="752C74CF">
            <w:pPr>
              <w:pStyle w:val="6"/>
              <w:spacing w:before="75"/>
              <w:ind w:left="279"/>
              <w:rPr>
                <w:sz w:val="23"/>
                <w:szCs w:val="23"/>
              </w:rPr>
            </w:pPr>
            <w:r>
              <w:rPr>
                <w:sz w:val="23"/>
                <w:szCs w:val="23"/>
              </w:rPr>
              <w:t>3</w:t>
            </w:r>
          </w:p>
        </w:tc>
        <w:tc>
          <w:tcPr>
            <w:tcW w:w="679" w:type="dxa"/>
            <w:vAlign w:val="top"/>
          </w:tcPr>
          <w:p w14:paraId="63FF8B25">
            <w:pPr>
              <w:pStyle w:val="6"/>
              <w:spacing w:before="22" w:line="208" w:lineRule="auto"/>
              <w:ind w:left="100" w:right="56"/>
              <w:jc w:val="both"/>
              <w:rPr>
                <w:sz w:val="23"/>
                <w:szCs w:val="23"/>
              </w:rPr>
            </w:pPr>
            <w:r>
              <w:rPr>
                <w:spacing w:val="5"/>
                <w:sz w:val="23"/>
                <w:szCs w:val="23"/>
              </w:rPr>
              <w:t>动态</w:t>
            </w:r>
            <w:r>
              <w:rPr>
                <w:sz w:val="23"/>
                <w:szCs w:val="23"/>
              </w:rPr>
              <w:t xml:space="preserve"> </w:t>
            </w:r>
            <w:r>
              <w:rPr>
                <w:spacing w:val="7"/>
                <w:sz w:val="23"/>
                <w:szCs w:val="23"/>
              </w:rPr>
              <w:t>无功</w:t>
            </w:r>
            <w:r>
              <w:rPr>
                <w:sz w:val="23"/>
                <w:szCs w:val="23"/>
              </w:rPr>
              <w:t xml:space="preserve"> </w:t>
            </w:r>
            <w:r>
              <w:rPr>
                <w:spacing w:val="25"/>
                <w:sz w:val="23"/>
                <w:szCs w:val="23"/>
              </w:rPr>
              <w:t>补偿</w:t>
            </w:r>
            <w:r>
              <w:rPr>
                <w:sz w:val="23"/>
                <w:szCs w:val="23"/>
              </w:rPr>
              <w:t xml:space="preserve"> </w:t>
            </w:r>
            <w:r>
              <w:rPr>
                <w:spacing w:val="10"/>
                <w:sz w:val="23"/>
                <w:szCs w:val="23"/>
              </w:rPr>
              <w:t>装置</w:t>
            </w:r>
          </w:p>
        </w:tc>
        <w:tc>
          <w:tcPr>
            <w:tcW w:w="1408" w:type="dxa"/>
            <w:vAlign w:val="top"/>
          </w:tcPr>
          <w:p w14:paraId="23118132">
            <w:pPr>
              <w:spacing w:line="353" w:lineRule="auto"/>
              <w:rPr>
                <w:rFonts w:ascii="Arial"/>
                <w:sz w:val="21"/>
              </w:rPr>
            </w:pPr>
          </w:p>
          <w:p w14:paraId="2C2B677A">
            <w:pPr>
              <w:pStyle w:val="6"/>
              <w:spacing w:before="74" w:line="224" w:lineRule="auto"/>
              <w:ind w:left="632"/>
              <w:rPr>
                <w:sz w:val="23"/>
                <w:szCs w:val="23"/>
              </w:rPr>
            </w:pPr>
            <w:r>
              <w:rPr>
                <w:sz w:val="23"/>
                <w:szCs w:val="23"/>
              </w:rPr>
              <w:t>/</w:t>
            </w:r>
          </w:p>
        </w:tc>
        <w:tc>
          <w:tcPr>
            <w:tcW w:w="599" w:type="dxa"/>
            <w:vAlign w:val="top"/>
          </w:tcPr>
          <w:p w14:paraId="37E84274">
            <w:pPr>
              <w:spacing w:line="369" w:lineRule="auto"/>
              <w:rPr>
                <w:rFonts w:ascii="Arial"/>
                <w:sz w:val="21"/>
              </w:rPr>
            </w:pPr>
          </w:p>
          <w:p w14:paraId="57A16D82">
            <w:pPr>
              <w:pStyle w:val="6"/>
              <w:spacing w:before="74" w:line="239" w:lineRule="auto"/>
              <w:ind w:left="63"/>
              <w:rPr>
                <w:sz w:val="23"/>
                <w:szCs w:val="23"/>
              </w:rPr>
            </w:pPr>
            <w:r>
              <w:rPr>
                <w:spacing w:val="-3"/>
                <w:sz w:val="23"/>
                <w:szCs w:val="23"/>
              </w:rPr>
              <w:t>65.6</w:t>
            </w:r>
          </w:p>
        </w:tc>
        <w:tc>
          <w:tcPr>
            <w:tcW w:w="789" w:type="dxa"/>
            <w:vAlign w:val="top"/>
          </w:tcPr>
          <w:p w14:paraId="422A7E82">
            <w:pPr>
              <w:spacing w:line="368" w:lineRule="auto"/>
              <w:rPr>
                <w:rFonts w:ascii="Arial"/>
                <w:sz w:val="21"/>
              </w:rPr>
            </w:pPr>
          </w:p>
          <w:p w14:paraId="746BD7F7">
            <w:pPr>
              <w:pStyle w:val="6"/>
              <w:spacing w:before="75"/>
              <w:ind w:left="274"/>
              <w:rPr>
                <w:sz w:val="23"/>
                <w:szCs w:val="23"/>
              </w:rPr>
            </w:pPr>
            <w:r>
              <w:rPr>
                <w:spacing w:val="-3"/>
                <w:sz w:val="23"/>
                <w:szCs w:val="23"/>
              </w:rPr>
              <w:t>43</w:t>
            </w:r>
          </w:p>
        </w:tc>
        <w:tc>
          <w:tcPr>
            <w:tcW w:w="649" w:type="dxa"/>
            <w:vAlign w:val="top"/>
          </w:tcPr>
          <w:p w14:paraId="7F633BAA">
            <w:pPr>
              <w:spacing w:line="369" w:lineRule="auto"/>
              <w:rPr>
                <w:rFonts w:ascii="Arial"/>
                <w:sz w:val="21"/>
              </w:rPr>
            </w:pPr>
          </w:p>
          <w:p w14:paraId="42B8761F">
            <w:pPr>
              <w:pStyle w:val="6"/>
              <w:spacing w:before="75" w:line="241" w:lineRule="auto"/>
              <w:ind w:left="256"/>
              <w:rPr>
                <w:sz w:val="23"/>
                <w:szCs w:val="23"/>
              </w:rPr>
            </w:pPr>
            <w:r>
              <w:rPr>
                <w:sz w:val="23"/>
                <w:szCs w:val="23"/>
              </w:rPr>
              <w:t>1</w:t>
            </w:r>
          </w:p>
        </w:tc>
        <w:tc>
          <w:tcPr>
            <w:tcW w:w="1099" w:type="dxa"/>
            <w:vAlign w:val="top"/>
          </w:tcPr>
          <w:p w14:paraId="357AD8C7">
            <w:pPr>
              <w:spacing w:line="368" w:lineRule="auto"/>
              <w:rPr>
                <w:rFonts w:ascii="Arial"/>
                <w:sz w:val="21"/>
              </w:rPr>
            </w:pPr>
          </w:p>
          <w:p w14:paraId="156DFD72">
            <w:pPr>
              <w:pStyle w:val="6"/>
              <w:spacing w:before="75"/>
              <w:ind w:left="427"/>
              <w:rPr>
                <w:sz w:val="23"/>
                <w:szCs w:val="23"/>
              </w:rPr>
            </w:pPr>
            <w:r>
              <w:rPr>
                <w:spacing w:val="-3"/>
                <w:sz w:val="23"/>
                <w:szCs w:val="23"/>
              </w:rPr>
              <w:t>60</w:t>
            </w:r>
          </w:p>
        </w:tc>
        <w:tc>
          <w:tcPr>
            <w:tcW w:w="1548" w:type="dxa"/>
            <w:vAlign w:val="top"/>
          </w:tcPr>
          <w:p w14:paraId="7245E58B">
            <w:pPr>
              <w:pStyle w:val="6"/>
              <w:spacing w:before="173" w:line="208" w:lineRule="auto"/>
              <w:ind w:left="77"/>
              <w:rPr>
                <w:sz w:val="23"/>
                <w:szCs w:val="23"/>
              </w:rPr>
            </w:pPr>
            <w:r>
              <w:rPr>
                <w:spacing w:val="2"/>
                <w:sz w:val="23"/>
                <w:szCs w:val="23"/>
              </w:rPr>
              <w:t>基础减震、站</w:t>
            </w:r>
          </w:p>
          <w:p w14:paraId="64EB9430">
            <w:pPr>
              <w:pStyle w:val="6"/>
              <w:spacing w:line="217" w:lineRule="auto"/>
              <w:ind w:left="77"/>
              <w:rPr>
                <w:sz w:val="23"/>
                <w:szCs w:val="23"/>
              </w:rPr>
            </w:pPr>
            <w:r>
              <w:rPr>
                <w:spacing w:val="1"/>
                <w:sz w:val="23"/>
                <w:szCs w:val="23"/>
              </w:rPr>
              <w:t>内绿化，厂界</w:t>
            </w:r>
          </w:p>
          <w:p w14:paraId="3DBFC396">
            <w:pPr>
              <w:pStyle w:val="6"/>
              <w:spacing w:line="220" w:lineRule="auto"/>
              <w:ind w:left="537"/>
              <w:rPr>
                <w:sz w:val="23"/>
                <w:szCs w:val="23"/>
              </w:rPr>
            </w:pPr>
            <w:r>
              <w:rPr>
                <w:spacing w:val="4"/>
                <w:sz w:val="23"/>
                <w:szCs w:val="23"/>
              </w:rPr>
              <w:t>围墙</w:t>
            </w:r>
          </w:p>
        </w:tc>
        <w:tc>
          <w:tcPr>
            <w:tcW w:w="954" w:type="dxa"/>
            <w:vMerge w:val="continue"/>
            <w:tcBorders>
              <w:top w:val="nil"/>
            </w:tcBorders>
            <w:vAlign w:val="top"/>
          </w:tcPr>
          <w:p w14:paraId="58C5C1EA">
            <w:pPr>
              <w:rPr>
                <w:rFonts w:ascii="Arial"/>
                <w:sz w:val="21"/>
              </w:rPr>
            </w:pPr>
          </w:p>
        </w:tc>
      </w:tr>
      <w:tr w14:paraId="39214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465" w:type="dxa"/>
            <w:vMerge w:val="continue"/>
            <w:tcBorders>
              <w:top w:val="nil"/>
              <w:bottom w:val="nil"/>
            </w:tcBorders>
            <w:vAlign w:val="top"/>
          </w:tcPr>
          <w:p w14:paraId="0A9AE5EA">
            <w:pPr>
              <w:rPr>
                <w:rFonts w:ascii="Arial"/>
                <w:sz w:val="21"/>
              </w:rPr>
            </w:pPr>
          </w:p>
        </w:tc>
        <w:tc>
          <w:tcPr>
            <w:tcW w:w="699" w:type="dxa"/>
            <w:vAlign w:val="top"/>
          </w:tcPr>
          <w:p w14:paraId="713D0F06">
            <w:pPr>
              <w:spacing w:line="390" w:lineRule="auto"/>
              <w:rPr>
                <w:rFonts w:ascii="Arial"/>
                <w:sz w:val="21"/>
              </w:rPr>
            </w:pPr>
          </w:p>
          <w:p w14:paraId="47ADA0CD">
            <w:pPr>
              <w:pStyle w:val="6"/>
              <w:spacing w:before="74" w:line="241" w:lineRule="auto"/>
              <w:ind w:left="279"/>
              <w:rPr>
                <w:sz w:val="23"/>
                <w:szCs w:val="23"/>
              </w:rPr>
            </w:pPr>
            <w:r>
              <w:rPr>
                <w:sz w:val="23"/>
                <w:szCs w:val="23"/>
              </w:rPr>
              <w:t>4</w:t>
            </w:r>
          </w:p>
        </w:tc>
        <w:tc>
          <w:tcPr>
            <w:tcW w:w="679" w:type="dxa"/>
            <w:vAlign w:val="top"/>
          </w:tcPr>
          <w:p w14:paraId="11179C8C">
            <w:pPr>
              <w:spacing w:line="367" w:lineRule="auto"/>
              <w:rPr>
                <w:rFonts w:ascii="Arial"/>
                <w:sz w:val="21"/>
              </w:rPr>
            </w:pPr>
          </w:p>
          <w:p w14:paraId="1E6056AA">
            <w:pPr>
              <w:pStyle w:val="6"/>
              <w:spacing w:before="75" w:line="219" w:lineRule="auto"/>
              <w:ind w:left="100"/>
              <w:rPr>
                <w:sz w:val="23"/>
                <w:szCs w:val="23"/>
              </w:rPr>
            </w:pPr>
            <w:r>
              <w:rPr>
                <w:spacing w:val="5"/>
                <w:sz w:val="23"/>
                <w:szCs w:val="23"/>
              </w:rPr>
              <w:t>水泵</w:t>
            </w:r>
          </w:p>
        </w:tc>
        <w:tc>
          <w:tcPr>
            <w:tcW w:w="1408" w:type="dxa"/>
            <w:vAlign w:val="top"/>
          </w:tcPr>
          <w:p w14:paraId="02AB4221">
            <w:pPr>
              <w:spacing w:line="373" w:lineRule="auto"/>
              <w:rPr>
                <w:rFonts w:ascii="Arial"/>
                <w:sz w:val="21"/>
              </w:rPr>
            </w:pPr>
          </w:p>
          <w:p w14:paraId="79B310B5">
            <w:pPr>
              <w:pStyle w:val="6"/>
              <w:spacing w:before="75" w:line="224" w:lineRule="auto"/>
              <w:ind w:left="632"/>
              <w:rPr>
                <w:sz w:val="23"/>
                <w:szCs w:val="23"/>
              </w:rPr>
            </w:pPr>
            <w:r>
              <w:rPr>
                <w:sz w:val="23"/>
                <w:szCs w:val="23"/>
              </w:rPr>
              <w:t>/</w:t>
            </w:r>
          </w:p>
        </w:tc>
        <w:tc>
          <w:tcPr>
            <w:tcW w:w="599" w:type="dxa"/>
            <w:vAlign w:val="top"/>
          </w:tcPr>
          <w:p w14:paraId="33A423E5">
            <w:pPr>
              <w:spacing w:line="389" w:lineRule="auto"/>
              <w:rPr>
                <w:rFonts w:ascii="Arial"/>
                <w:sz w:val="21"/>
              </w:rPr>
            </w:pPr>
          </w:p>
          <w:p w14:paraId="7B780AD1">
            <w:pPr>
              <w:pStyle w:val="6"/>
              <w:spacing w:before="75" w:line="239" w:lineRule="auto"/>
              <w:ind w:left="63"/>
              <w:rPr>
                <w:sz w:val="23"/>
                <w:szCs w:val="23"/>
              </w:rPr>
            </w:pPr>
            <w:r>
              <w:rPr>
                <w:spacing w:val="-5"/>
                <w:sz w:val="23"/>
                <w:szCs w:val="23"/>
              </w:rPr>
              <w:t>10.8</w:t>
            </w:r>
          </w:p>
        </w:tc>
        <w:tc>
          <w:tcPr>
            <w:tcW w:w="789" w:type="dxa"/>
            <w:vAlign w:val="top"/>
          </w:tcPr>
          <w:p w14:paraId="6C8822C9">
            <w:pPr>
              <w:spacing w:line="389" w:lineRule="auto"/>
              <w:rPr>
                <w:rFonts w:ascii="Arial"/>
                <w:sz w:val="21"/>
              </w:rPr>
            </w:pPr>
          </w:p>
          <w:p w14:paraId="6A171CA3">
            <w:pPr>
              <w:pStyle w:val="6"/>
              <w:spacing w:before="75" w:line="239" w:lineRule="auto"/>
              <w:ind w:left="154"/>
              <w:rPr>
                <w:sz w:val="23"/>
                <w:szCs w:val="23"/>
              </w:rPr>
            </w:pPr>
            <w:r>
              <w:rPr>
                <w:spacing w:val="-3"/>
                <w:sz w:val="23"/>
                <w:szCs w:val="23"/>
              </w:rPr>
              <w:t>23.4</w:t>
            </w:r>
          </w:p>
        </w:tc>
        <w:tc>
          <w:tcPr>
            <w:tcW w:w="649" w:type="dxa"/>
            <w:vAlign w:val="top"/>
          </w:tcPr>
          <w:p w14:paraId="1B0CB22E">
            <w:pPr>
              <w:spacing w:line="390" w:lineRule="auto"/>
              <w:rPr>
                <w:rFonts w:ascii="Arial"/>
                <w:sz w:val="21"/>
              </w:rPr>
            </w:pPr>
          </w:p>
          <w:p w14:paraId="167DFC78">
            <w:pPr>
              <w:pStyle w:val="6"/>
              <w:spacing w:before="74" w:line="241" w:lineRule="auto"/>
              <w:ind w:left="256"/>
              <w:rPr>
                <w:sz w:val="23"/>
                <w:szCs w:val="23"/>
              </w:rPr>
            </w:pPr>
            <w:r>
              <w:rPr>
                <w:sz w:val="23"/>
                <w:szCs w:val="23"/>
              </w:rPr>
              <w:t>1</w:t>
            </w:r>
          </w:p>
        </w:tc>
        <w:tc>
          <w:tcPr>
            <w:tcW w:w="1099" w:type="dxa"/>
            <w:vAlign w:val="top"/>
          </w:tcPr>
          <w:p w14:paraId="1468FFC9">
            <w:pPr>
              <w:spacing w:line="389" w:lineRule="auto"/>
              <w:rPr>
                <w:rFonts w:ascii="Arial"/>
                <w:sz w:val="21"/>
              </w:rPr>
            </w:pPr>
          </w:p>
          <w:p w14:paraId="0717092B">
            <w:pPr>
              <w:pStyle w:val="6"/>
              <w:spacing w:before="75"/>
              <w:ind w:left="427"/>
              <w:rPr>
                <w:sz w:val="23"/>
                <w:szCs w:val="23"/>
              </w:rPr>
            </w:pPr>
            <w:r>
              <w:rPr>
                <w:spacing w:val="-3"/>
                <w:sz w:val="23"/>
                <w:szCs w:val="23"/>
              </w:rPr>
              <w:t>65</w:t>
            </w:r>
          </w:p>
        </w:tc>
        <w:tc>
          <w:tcPr>
            <w:tcW w:w="1548" w:type="dxa"/>
            <w:vAlign w:val="top"/>
          </w:tcPr>
          <w:p w14:paraId="63F33A20">
            <w:pPr>
              <w:pStyle w:val="6"/>
              <w:spacing w:before="55" w:line="216" w:lineRule="auto"/>
              <w:ind w:left="77"/>
              <w:rPr>
                <w:sz w:val="23"/>
                <w:szCs w:val="23"/>
              </w:rPr>
            </w:pPr>
            <w:r>
              <w:rPr>
                <w:spacing w:val="-2"/>
                <w:sz w:val="23"/>
                <w:szCs w:val="23"/>
              </w:rPr>
              <w:t>基础减震、置</w:t>
            </w:r>
          </w:p>
          <w:p w14:paraId="6A095A4E">
            <w:pPr>
              <w:pStyle w:val="6"/>
              <w:spacing w:line="217" w:lineRule="auto"/>
              <w:ind w:left="77"/>
              <w:rPr>
                <w:sz w:val="23"/>
                <w:szCs w:val="23"/>
              </w:rPr>
            </w:pPr>
            <w:r>
              <w:rPr>
                <w:spacing w:val="5"/>
                <w:sz w:val="23"/>
                <w:szCs w:val="23"/>
              </w:rPr>
              <w:t>于泵房、站内</w:t>
            </w:r>
          </w:p>
          <w:p w14:paraId="57AFB714">
            <w:pPr>
              <w:pStyle w:val="6"/>
              <w:spacing w:line="220" w:lineRule="auto"/>
              <w:ind w:left="77"/>
              <w:rPr>
                <w:sz w:val="23"/>
                <w:szCs w:val="23"/>
              </w:rPr>
            </w:pPr>
            <w:r>
              <w:rPr>
                <w:spacing w:val="3"/>
                <w:sz w:val="23"/>
                <w:szCs w:val="23"/>
              </w:rPr>
              <w:t>绿化，厂界围</w:t>
            </w:r>
          </w:p>
          <w:p w14:paraId="5008DE6F">
            <w:pPr>
              <w:pStyle w:val="6"/>
              <w:spacing w:before="1" w:line="175" w:lineRule="auto"/>
              <w:ind w:left="658"/>
              <w:rPr>
                <w:sz w:val="23"/>
                <w:szCs w:val="23"/>
              </w:rPr>
            </w:pPr>
            <w:r>
              <w:rPr>
                <w:sz w:val="23"/>
                <w:szCs w:val="23"/>
              </w:rPr>
              <w:t>墙</w:t>
            </w:r>
          </w:p>
        </w:tc>
        <w:tc>
          <w:tcPr>
            <w:tcW w:w="954" w:type="dxa"/>
            <w:vAlign w:val="top"/>
          </w:tcPr>
          <w:p w14:paraId="29B76121">
            <w:pPr>
              <w:spacing w:line="393" w:lineRule="auto"/>
              <w:rPr>
                <w:rFonts w:ascii="Arial"/>
                <w:sz w:val="21"/>
              </w:rPr>
            </w:pPr>
          </w:p>
          <w:p w14:paraId="7E1290DB">
            <w:pPr>
              <w:pStyle w:val="6"/>
              <w:spacing w:before="68" w:line="239" w:lineRule="auto"/>
              <w:jc w:val="right"/>
              <w:rPr>
                <w:sz w:val="21"/>
                <w:szCs w:val="21"/>
              </w:rPr>
            </w:pPr>
            <w:r>
              <w:rPr>
                <w:spacing w:val="-14"/>
                <w:sz w:val="21"/>
                <w:szCs w:val="21"/>
              </w:rPr>
              <w:t>6:</w:t>
            </w:r>
            <w:r>
              <w:rPr>
                <w:spacing w:val="-13"/>
                <w:sz w:val="21"/>
                <w:szCs w:val="21"/>
              </w:rPr>
              <w:t>00-22:0</w:t>
            </w:r>
            <w:r>
              <w:rPr>
                <w:spacing w:val="-11"/>
                <w:sz w:val="21"/>
                <w:szCs w:val="21"/>
              </w:rPr>
              <w:t>0</w:t>
            </w:r>
          </w:p>
        </w:tc>
      </w:tr>
      <w:tr w14:paraId="37EC9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0" w:hRule="atLeast"/>
        </w:trPr>
        <w:tc>
          <w:tcPr>
            <w:tcW w:w="465" w:type="dxa"/>
            <w:vMerge w:val="continue"/>
            <w:tcBorders>
              <w:top w:val="nil"/>
            </w:tcBorders>
            <w:vAlign w:val="top"/>
          </w:tcPr>
          <w:p w14:paraId="1778A8C9">
            <w:pPr>
              <w:rPr>
                <w:rFonts w:ascii="Arial"/>
                <w:sz w:val="21"/>
              </w:rPr>
            </w:pPr>
          </w:p>
        </w:tc>
        <w:tc>
          <w:tcPr>
            <w:tcW w:w="8424" w:type="dxa"/>
            <w:gridSpan w:val="9"/>
            <w:vAlign w:val="top"/>
          </w:tcPr>
          <w:p w14:paraId="25B8C1FD">
            <w:pPr>
              <w:pStyle w:val="6"/>
              <w:spacing w:before="30" w:line="219" w:lineRule="auto"/>
              <w:ind w:left="1333"/>
              <w:rPr>
                <w:sz w:val="23"/>
                <w:szCs w:val="23"/>
              </w:rPr>
            </w:pPr>
            <w:r>
              <w:rPr>
                <w:b/>
                <w:bCs/>
                <w:spacing w:val="26"/>
                <w:sz w:val="23"/>
                <w:szCs w:val="23"/>
              </w:rPr>
              <w:t>表4-</w:t>
            </w:r>
            <w:r>
              <w:rPr>
                <w:spacing w:val="-66"/>
                <w:sz w:val="23"/>
                <w:szCs w:val="23"/>
              </w:rPr>
              <w:t xml:space="preserve"> </w:t>
            </w:r>
            <w:r>
              <w:rPr>
                <w:b/>
                <w:bCs/>
                <w:spacing w:val="26"/>
                <w:sz w:val="23"/>
                <w:szCs w:val="23"/>
              </w:rPr>
              <w:t>6光伏片区噪声源强调查清单</w:t>
            </w:r>
            <w:r>
              <w:rPr>
                <w:spacing w:val="87"/>
                <w:sz w:val="23"/>
                <w:szCs w:val="23"/>
              </w:rPr>
              <w:t xml:space="preserve"> </w:t>
            </w:r>
            <w:r>
              <w:rPr>
                <w:b/>
                <w:bCs/>
                <w:spacing w:val="26"/>
                <w:sz w:val="23"/>
                <w:szCs w:val="23"/>
              </w:rPr>
              <w:t>单位：</w:t>
            </w:r>
            <w:r>
              <w:rPr>
                <w:spacing w:val="26"/>
                <w:sz w:val="23"/>
                <w:szCs w:val="23"/>
              </w:rPr>
              <w:t xml:space="preserve"> </w:t>
            </w:r>
            <w:r>
              <w:rPr>
                <w:b/>
                <w:bCs/>
                <w:sz w:val="23"/>
                <w:szCs w:val="23"/>
              </w:rPr>
              <w:t>dB</w:t>
            </w:r>
            <w:r>
              <w:rPr>
                <w:b/>
                <w:bCs/>
                <w:spacing w:val="26"/>
                <w:sz w:val="23"/>
                <w:szCs w:val="23"/>
              </w:rPr>
              <w:t>(A)</w:t>
            </w:r>
          </w:p>
          <w:p w14:paraId="38572914">
            <w:pPr>
              <w:spacing w:line="147" w:lineRule="exact"/>
            </w:pPr>
          </w:p>
          <w:tbl>
            <w:tblPr>
              <w:tblStyle w:val="5"/>
              <w:tblW w:w="8219"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839"/>
              <w:gridCol w:w="819"/>
              <w:gridCol w:w="649"/>
              <w:gridCol w:w="729"/>
              <w:gridCol w:w="439"/>
              <w:gridCol w:w="1748"/>
              <w:gridCol w:w="1229"/>
              <w:gridCol w:w="1123"/>
            </w:tblGrid>
            <w:tr w14:paraId="7CD8D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644" w:type="dxa"/>
                  <w:vMerge w:val="restart"/>
                  <w:tcBorders>
                    <w:bottom w:val="nil"/>
                  </w:tcBorders>
                  <w:vAlign w:val="top"/>
                </w:tcPr>
                <w:p w14:paraId="467F7592">
                  <w:pPr>
                    <w:pStyle w:val="6"/>
                    <w:spacing w:before="174" w:line="221" w:lineRule="auto"/>
                    <w:ind w:left="104"/>
                    <w:rPr>
                      <w:sz w:val="21"/>
                      <w:szCs w:val="21"/>
                    </w:rPr>
                  </w:pPr>
                  <w:r>
                    <w:rPr>
                      <w:spacing w:val="6"/>
                      <w:sz w:val="21"/>
                      <w:szCs w:val="21"/>
                    </w:rPr>
                    <w:t>序号</w:t>
                  </w:r>
                </w:p>
              </w:tc>
              <w:tc>
                <w:tcPr>
                  <w:tcW w:w="839" w:type="dxa"/>
                  <w:vMerge w:val="restart"/>
                  <w:tcBorders>
                    <w:bottom w:val="nil"/>
                  </w:tcBorders>
                  <w:vAlign w:val="top"/>
                </w:tcPr>
                <w:p w14:paraId="2F81EE5F">
                  <w:pPr>
                    <w:pStyle w:val="6"/>
                    <w:spacing w:before="24" w:line="220" w:lineRule="auto"/>
                    <w:ind w:left="201"/>
                    <w:rPr>
                      <w:sz w:val="21"/>
                      <w:szCs w:val="21"/>
                    </w:rPr>
                  </w:pPr>
                  <w:r>
                    <w:rPr>
                      <w:spacing w:val="4"/>
                      <w:sz w:val="21"/>
                      <w:szCs w:val="21"/>
                    </w:rPr>
                    <w:t>声源</w:t>
                  </w:r>
                </w:p>
                <w:p w14:paraId="499A8BCB">
                  <w:pPr>
                    <w:pStyle w:val="6"/>
                    <w:spacing w:before="41" w:line="198" w:lineRule="auto"/>
                    <w:ind w:left="201"/>
                    <w:rPr>
                      <w:sz w:val="21"/>
                      <w:szCs w:val="21"/>
                    </w:rPr>
                  </w:pPr>
                  <w:r>
                    <w:rPr>
                      <w:spacing w:val="5"/>
                      <w:sz w:val="21"/>
                      <w:szCs w:val="21"/>
                    </w:rPr>
                    <w:t>名称</w:t>
                  </w:r>
                </w:p>
              </w:tc>
              <w:tc>
                <w:tcPr>
                  <w:tcW w:w="819" w:type="dxa"/>
                  <w:vMerge w:val="restart"/>
                  <w:tcBorders>
                    <w:bottom w:val="nil"/>
                  </w:tcBorders>
                  <w:vAlign w:val="top"/>
                </w:tcPr>
                <w:p w14:paraId="799EF2DF">
                  <w:pPr>
                    <w:pStyle w:val="6"/>
                    <w:spacing w:before="174" w:line="221" w:lineRule="auto"/>
                    <w:ind w:left="192"/>
                    <w:rPr>
                      <w:sz w:val="21"/>
                      <w:szCs w:val="21"/>
                    </w:rPr>
                  </w:pPr>
                  <w:r>
                    <w:rPr>
                      <w:spacing w:val="6"/>
                      <w:sz w:val="21"/>
                      <w:szCs w:val="21"/>
                    </w:rPr>
                    <w:t>型号</w:t>
                  </w:r>
                </w:p>
              </w:tc>
              <w:tc>
                <w:tcPr>
                  <w:tcW w:w="1817" w:type="dxa"/>
                  <w:gridSpan w:val="3"/>
                  <w:vAlign w:val="top"/>
                </w:tcPr>
                <w:p w14:paraId="7E8BEBB9">
                  <w:pPr>
                    <w:pStyle w:val="6"/>
                    <w:spacing w:before="45" w:line="209" w:lineRule="auto"/>
                    <w:ind w:left="163"/>
                    <w:rPr>
                      <w:sz w:val="21"/>
                      <w:szCs w:val="21"/>
                    </w:rPr>
                  </w:pPr>
                  <w:r>
                    <w:rPr>
                      <w:spacing w:val="-2"/>
                      <w:sz w:val="21"/>
                      <w:szCs w:val="21"/>
                    </w:rPr>
                    <w:t>空间相对位置/m</w:t>
                  </w:r>
                </w:p>
              </w:tc>
              <w:tc>
                <w:tcPr>
                  <w:tcW w:w="1748" w:type="dxa"/>
                  <w:vMerge w:val="restart"/>
                  <w:tcBorders>
                    <w:bottom w:val="nil"/>
                  </w:tcBorders>
                  <w:vAlign w:val="top"/>
                </w:tcPr>
                <w:p w14:paraId="0FB0444A">
                  <w:pPr>
                    <w:pStyle w:val="6"/>
                    <w:spacing w:before="174" w:line="220" w:lineRule="auto"/>
                    <w:ind w:left="75"/>
                    <w:rPr>
                      <w:sz w:val="21"/>
                      <w:szCs w:val="21"/>
                    </w:rPr>
                  </w:pPr>
                  <w:r>
                    <w:rPr>
                      <w:spacing w:val="5"/>
                      <w:sz w:val="21"/>
                      <w:szCs w:val="21"/>
                    </w:rPr>
                    <w:t>声源源强(</w:t>
                  </w:r>
                  <w:r>
                    <w:rPr>
                      <w:sz w:val="21"/>
                      <w:szCs w:val="21"/>
                    </w:rPr>
                    <w:t>dB</w:t>
                  </w:r>
                  <w:r>
                    <w:rPr>
                      <w:spacing w:val="5"/>
                      <w:sz w:val="21"/>
                      <w:szCs w:val="21"/>
                    </w:rPr>
                    <w:t>(A))</w:t>
                  </w:r>
                </w:p>
              </w:tc>
              <w:tc>
                <w:tcPr>
                  <w:tcW w:w="1229" w:type="dxa"/>
                  <w:vMerge w:val="restart"/>
                  <w:tcBorders>
                    <w:bottom w:val="nil"/>
                  </w:tcBorders>
                  <w:vAlign w:val="top"/>
                </w:tcPr>
                <w:p w14:paraId="4430ECDA">
                  <w:pPr>
                    <w:pStyle w:val="6"/>
                    <w:spacing w:before="24" w:line="227" w:lineRule="auto"/>
                    <w:ind w:left="397" w:right="172" w:hanging="210"/>
                    <w:rPr>
                      <w:sz w:val="21"/>
                      <w:szCs w:val="21"/>
                    </w:rPr>
                  </w:pPr>
                  <w:r>
                    <w:rPr>
                      <w:spacing w:val="4"/>
                      <w:sz w:val="21"/>
                      <w:szCs w:val="21"/>
                    </w:rPr>
                    <w:t>声源控制</w:t>
                  </w:r>
                  <w:r>
                    <w:rPr>
                      <w:spacing w:val="1"/>
                      <w:sz w:val="21"/>
                      <w:szCs w:val="21"/>
                    </w:rPr>
                    <w:t xml:space="preserve"> </w:t>
                  </w:r>
                  <w:r>
                    <w:rPr>
                      <w:spacing w:val="-3"/>
                      <w:sz w:val="21"/>
                      <w:szCs w:val="21"/>
                    </w:rPr>
                    <w:t>措施</w:t>
                  </w:r>
                </w:p>
              </w:tc>
              <w:tc>
                <w:tcPr>
                  <w:tcW w:w="1123" w:type="dxa"/>
                  <w:vMerge w:val="restart"/>
                  <w:tcBorders>
                    <w:bottom w:val="nil"/>
                  </w:tcBorders>
                  <w:vAlign w:val="top"/>
                </w:tcPr>
                <w:p w14:paraId="700D9103">
                  <w:pPr>
                    <w:pStyle w:val="6"/>
                    <w:spacing w:before="174" w:line="220" w:lineRule="auto"/>
                    <w:ind w:left="138"/>
                    <w:rPr>
                      <w:sz w:val="21"/>
                      <w:szCs w:val="21"/>
                    </w:rPr>
                  </w:pPr>
                  <w:r>
                    <w:rPr>
                      <w:spacing w:val="-2"/>
                      <w:sz w:val="21"/>
                      <w:szCs w:val="21"/>
                    </w:rPr>
                    <w:t>运行时段</w:t>
                  </w:r>
                </w:p>
              </w:tc>
            </w:tr>
            <w:tr w14:paraId="46A44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644" w:type="dxa"/>
                  <w:vMerge w:val="continue"/>
                  <w:tcBorders>
                    <w:top w:val="nil"/>
                  </w:tcBorders>
                  <w:vAlign w:val="top"/>
                </w:tcPr>
                <w:p w14:paraId="17B20134">
                  <w:pPr>
                    <w:rPr>
                      <w:rFonts w:ascii="Arial"/>
                      <w:sz w:val="21"/>
                    </w:rPr>
                  </w:pPr>
                </w:p>
              </w:tc>
              <w:tc>
                <w:tcPr>
                  <w:tcW w:w="839" w:type="dxa"/>
                  <w:vMerge w:val="continue"/>
                  <w:tcBorders>
                    <w:top w:val="nil"/>
                  </w:tcBorders>
                  <w:vAlign w:val="top"/>
                </w:tcPr>
                <w:p w14:paraId="67FCDCB5">
                  <w:pPr>
                    <w:rPr>
                      <w:rFonts w:ascii="Arial"/>
                      <w:sz w:val="21"/>
                    </w:rPr>
                  </w:pPr>
                </w:p>
              </w:tc>
              <w:tc>
                <w:tcPr>
                  <w:tcW w:w="819" w:type="dxa"/>
                  <w:vMerge w:val="continue"/>
                  <w:tcBorders>
                    <w:top w:val="nil"/>
                  </w:tcBorders>
                  <w:vAlign w:val="top"/>
                </w:tcPr>
                <w:p w14:paraId="3777B496">
                  <w:pPr>
                    <w:rPr>
                      <w:rFonts w:ascii="Arial"/>
                      <w:sz w:val="21"/>
                    </w:rPr>
                  </w:pPr>
                </w:p>
              </w:tc>
              <w:tc>
                <w:tcPr>
                  <w:tcW w:w="649" w:type="dxa"/>
                  <w:vAlign w:val="top"/>
                </w:tcPr>
                <w:p w14:paraId="79AFAEEC">
                  <w:pPr>
                    <w:pStyle w:val="6"/>
                    <w:spacing w:before="76" w:line="161" w:lineRule="exact"/>
                    <w:ind w:left="262"/>
                    <w:rPr>
                      <w:sz w:val="21"/>
                      <w:szCs w:val="21"/>
                    </w:rPr>
                  </w:pPr>
                  <w:r>
                    <w:rPr>
                      <w:position w:val="-2"/>
                      <w:sz w:val="21"/>
                      <w:szCs w:val="21"/>
                    </w:rPr>
                    <w:t>X</w:t>
                  </w:r>
                </w:p>
              </w:tc>
              <w:tc>
                <w:tcPr>
                  <w:tcW w:w="729" w:type="dxa"/>
                  <w:vAlign w:val="top"/>
                </w:tcPr>
                <w:p w14:paraId="5D32B979">
                  <w:pPr>
                    <w:pStyle w:val="6"/>
                    <w:spacing w:before="76" w:line="161" w:lineRule="exact"/>
                    <w:ind w:left="304"/>
                    <w:rPr>
                      <w:sz w:val="21"/>
                      <w:szCs w:val="21"/>
                    </w:rPr>
                  </w:pPr>
                  <w:r>
                    <w:rPr>
                      <w:position w:val="-2"/>
                      <w:sz w:val="21"/>
                      <w:szCs w:val="21"/>
                    </w:rPr>
                    <w:t>Y</w:t>
                  </w:r>
                </w:p>
              </w:tc>
              <w:tc>
                <w:tcPr>
                  <w:tcW w:w="439" w:type="dxa"/>
                  <w:vAlign w:val="top"/>
                </w:tcPr>
                <w:p w14:paraId="1ADC15DE">
                  <w:pPr>
                    <w:pStyle w:val="6"/>
                    <w:spacing w:before="76" w:line="161" w:lineRule="exact"/>
                    <w:ind w:left="155"/>
                    <w:rPr>
                      <w:sz w:val="21"/>
                      <w:szCs w:val="21"/>
                    </w:rPr>
                  </w:pPr>
                  <w:r>
                    <w:rPr>
                      <w:position w:val="-2"/>
                      <w:sz w:val="21"/>
                      <w:szCs w:val="21"/>
                    </w:rPr>
                    <w:t>Z</w:t>
                  </w:r>
                </w:p>
              </w:tc>
              <w:tc>
                <w:tcPr>
                  <w:tcW w:w="1748" w:type="dxa"/>
                  <w:vMerge w:val="continue"/>
                  <w:tcBorders>
                    <w:top w:val="nil"/>
                  </w:tcBorders>
                  <w:vAlign w:val="top"/>
                </w:tcPr>
                <w:p w14:paraId="7753CF25">
                  <w:pPr>
                    <w:rPr>
                      <w:rFonts w:ascii="Arial"/>
                      <w:sz w:val="21"/>
                    </w:rPr>
                  </w:pPr>
                </w:p>
              </w:tc>
              <w:tc>
                <w:tcPr>
                  <w:tcW w:w="1229" w:type="dxa"/>
                  <w:vMerge w:val="continue"/>
                  <w:tcBorders>
                    <w:top w:val="nil"/>
                  </w:tcBorders>
                  <w:vAlign w:val="top"/>
                </w:tcPr>
                <w:p w14:paraId="7561F1DE">
                  <w:pPr>
                    <w:rPr>
                      <w:rFonts w:ascii="Arial"/>
                      <w:sz w:val="21"/>
                    </w:rPr>
                  </w:pPr>
                </w:p>
              </w:tc>
              <w:tc>
                <w:tcPr>
                  <w:tcW w:w="1123" w:type="dxa"/>
                  <w:vMerge w:val="continue"/>
                  <w:tcBorders>
                    <w:top w:val="nil"/>
                  </w:tcBorders>
                  <w:vAlign w:val="top"/>
                </w:tcPr>
                <w:p w14:paraId="126EB995">
                  <w:pPr>
                    <w:rPr>
                      <w:rFonts w:ascii="Arial"/>
                      <w:sz w:val="21"/>
                    </w:rPr>
                  </w:pPr>
                </w:p>
              </w:tc>
            </w:tr>
            <w:tr w14:paraId="3BAAB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644" w:type="dxa"/>
                  <w:vAlign w:val="top"/>
                </w:tcPr>
                <w:p w14:paraId="22F35798">
                  <w:pPr>
                    <w:pStyle w:val="6"/>
                    <w:spacing w:before="193" w:line="241" w:lineRule="auto"/>
                    <w:ind w:left="254"/>
                    <w:rPr>
                      <w:sz w:val="21"/>
                      <w:szCs w:val="21"/>
                    </w:rPr>
                  </w:pPr>
                  <w:r>
                    <w:rPr>
                      <w:sz w:val="21"/>
                      <w:szCs w:val="21"/>
                    </w:rPr>
                    <w:t>1</w:t>
                  </w:r>
                </w:p>
              </w:tc>
              <w:tc>
                <w:tcPr>
                  <w:tcW w:w="839" w:type="dxa"/>
                  <w:vAlign w:val="top"/>
                </w:tcPr>
                <w:p w14:paraId="75D008C8">
                  <w:pPr>
                    <w:pStyle w:val="6"/>
                    <w:spacing w:before="33" w:line="217" w:lineRule="auto"/>
                    <w:ind w:left="300" w:right="215" w:hanging="99"/>
                    <w:rPr>
                      <w:sz w:val="21"/>
                      <w:szCs w:val="21"/>
                    </w:rPr>
                  </w:pPr>
                  <w:r>
                    <w:rPr>
                      <w:spacing w:val="-4"/>
                      <w:sz w:val="21"/>
                      <w:szCs w:val="21"/>
                    </w:rPr>
                    <w:t>逆变</w:t>
                  </w:r>
                  <w:r>
                    <w:rPr>
                      <w:sz w:val="21"/>
                      <w:szCs w:val="21"/>
                    </w:rPr>
                    <w:t xml:space="preserve"> 器</w:t>
                  </w:r>
                </w:p>
              </w:tc>
              <w:tc>
                <w:tcPr>
                  <w:tcW w:w="819" w:type="dxa"/>
                  <w:vAlign w:val="top"/>
                </w:tcPr>
                <w:p w14:paraId="6F71D265">
                  <w:pPr>
                    <w:pStyle w:val="6"/>
                    <w:spacing w:before="178" w:line="224" w:lineRule="auto"/>
                    <w:ind w:left="341"/>
                    <w:rPr>
                      <w:sz w:val="21"/>
                      <w:szCs w:val="21"/>
                    </w:rPr>
                  </w:pPr>
                  <w:r>
                    <w:rPr>
                      <w:sz w:val="21"/>
                      <w:szCs w:val="21"/>
                    </w:rPr>
                    <w:t>/</w:t>
                  </w:r>
                </w:p>
              </w:tc>
              <w:tc>
                <w:tcPr>
                  <w:tcW w:w="649" w:type="dxa"/>
                  <w:vAlign w:val="top"/>
                </w:tcPr>
                <w:p w14:paraId="11C7F8B2">
                  <w:pPr>
                    <w:pStyle w:val="6"/>
                    <w:spacing w:before="178" w:line="224" w:lineRule="auto"/>
                    <w:ind w:left="262"/>
                    <w:rPr>
                      <w:sz w:val="21"/>
                      <w:szCs w:val="21"/>
                    </w:rPr>
                  </w:pPr>
                  <w:r>
                    <w:rPr>
                      <w:sz w:val="21"/>
                      <w:szCs w:val="21"/>
                    </w:rPr>
                    <w:t>/</w:t>
                  </w:r>
                </w:p>
              </w:tc>
              <w:tc>
                <w:tcPr>
                  <w:tcW w:w="729" w:type="dxa"/>
                  <w:vAlign w:val="top"/>
                </w:tcPr>
                <w:p w14:paraId="36E871C0">
                  <w:pPr>
                    <w:pStyle w:val="6"/>
                    <w:spacing w:before="178" w:line="224" w:lineRule="auto"/>
                    <w:ind w:left="304"/>
                    <w:rPr>
                      <w:sz w:val="21"/>
                      <w:szCs w:val="21"/>
                    </w:rPr>
                  </w:pPr>
                  <w:r>
                    <w:rPr>
                      <w:sz w:val="21"/>
                      <w:szCs w:val="21"/>
                    </w:rPr>
                    <w:t>/</w:t>
                  </w:r>
                </w:p>
              </w:tc>
              <w:tc>
                <w:tcPr>
                  <w:tcW w:w="439" w:type="dxa"/>
                  <w:vAlign w:val="top"/>
                </w:tcPr>
                <w:p w14:paraId="2151A7F2">
                  <w:pPr>
                    <w:pStyle w:val="6"/>
                    <w:spacing w:before="178" w:line="224" w:lineRule="auto"/>
                    <w:ind w:left="155"/>
                    <w:rPr>
                      <w:sz w:val="21"/>
                      <w:szCs w:val="21"/>
                    </w:rPr>
                  </w:pPr>
                  <w:r>
                    <w:rPr>
                      <w:sz w:val="21"/>
                      <w:szCs w:val="21"/>
                    </w:rPr>
                    <w:t>/</w:t>
                  </w:r>
                </w:p>
              </w:tc>
              <w:tc>
                <w:tcPr>
                  <w:tcW w:w="1748" w:type="dxa"/>
                  <w:vAlign w:val="top"/>
                </w:tcPr>
                <w:p w14:paraId="0314BD20">
                  <w:pPr>
                    <w:pStyle w:val="6"/>
                    <w:spacing w:before="193"/>
                    <w:ind w:left="766"/>
                    <w:rPr>
                      <w:sz w:val="21"/>
                      <w:szCs w:val="21"/>
                    </w:rPr>
                  </w:pPr>
                  <w:r>
                    <w:rPr>
                      <w:spacing w:val="-3"/>
                      <w:sz w:val="21"/>
                      <w:szCs w:val="21"/>
                    </w:rPr>
                    <w:t>60</w:t>
                  </w:r>
                </w:p>
              </w:tc>
              <w:tc>
                <w:tcPr>
                  <w:tcW w:w="1229" w:type="dxa"/>
                  <w:vAlign w:val="top"/>
                </w:tcPr>
                <w:p w14:paraId="1CEBBC7D">
                  <w:pPr>
                    <w:pStyle w:val="6"/>
                    <w:spacing w:before="42" w:line="213" w:lineRule="auto"/>
                    <w:ind w:left="187" w:right="66" w:hanging="99"/>
                    <w:rPr>
                      <w:sz w:val="21"/>
                      <w:szCs w:val="21"/>
                    </w:rPr>
                  </w:pPr>
                  <w:r>
                    <w:rPr>
                      <w:spacing w:val="2"/>
                      <w:sz w:val="21"/>
                      <w:szCs w:val="21"/>
                    </w:rPr>
                    <w:t>集装箱式房</w:t>
                  </w:r>
                  <w:r>
                    <w:rPr>
                      <w:spacing w:val="3"/>
                      <w:sz w:val="21"/>
                      <w:szCs w:val="21"/>
                    </w:rPr>
                    <w:t xml:space="preserve"> 舱体隔声</w:t>
                  </w:r>
                </w:p>
              </w:tc>
              <w:tc>
                <w:tcPr>
                  <w:tcW w:w="1123" w:type="dxa"/>
                  <w:vMerge w:val="restart"/>
                  <w:tcBorders>
                    <w:bottom w:val="nil"/>
                  </w:tcBorders>
                  <w:vAlign w:val="top"/>
                </w:tcPr>
                <w:p w14:paraId="37529EA9">
                  <w:pPr>
                    <w:spacing w:line="442" w:lineRule="auto"/>
                    <w:rPr>
                      <w:rFonts w:ascii="Arial"/>
                      <w:sz w:val="21"/>
                    </w:rPr>
                  </w:pPr>
                </w:p>
                <w:p w14:paraId="5462659D">
                  <w:pPr>
                    <w:pStyle w:val="6"/>
                    <w:spacing w:before="69" w:line="202" w:lineRule="auto"/>
                    <w:ind w:left="78"/>
                    <w:rPr>
                      <w:sz w:val="21"/>
                      <w:szCs w:val="21"/>
                    </w:rPr>
                  </w:pPr>
                  <w:r>
                    <w:rPr>
                      <w:spacing w:val="-2"/>
                      <w:sz w:val="21"/>
                      <w:szCs w:val="21"/>
                    </w:rPr>
                    <w:t>7:00~19:0</w:t>
                  </w:r>
                </w:p>
                <w:p w14:paraId="378CB8B3">
                  <w:pPr>
                    <w:pStyle w:val="6"/>
                    <w:spacing w:line="239" w:lineRule="auto"/>
                    <w:ind w:left="499"/>
                    <w:rPr>
                      <w:sz w:val="21"/>
                      <w:szCs w:val="21"/>
                    </w:rPr>
                  </w:pPr>
                  <w:r>
                    <w:rPr>
                      <w:sz w:val="21"/>
                      <w:szCs w:val="21"/>
                    </w:rPr>
                    <w:t>0</w:t>
                  </w:r>
                </w:p>
              </w:tc>
            </w:tr>
            <w:tr w14:paraId="76892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644" w:type="dxa"/>
                  <w:vAlign w:val="top"/>
                </w:tcPr>
                <w:p w14:paraId="43629981">
                  <w:pPr>
                    <w:spacing w:line="266" w:lineRule="auto"/>
                    <w:rPr>
                      <w:rFonts w:ascii="Arial"/>
                      <w:sz w:val="21"/>
                    </w:rPr>
                  </w:pPr>
                </w:p>
                <w:p w14:paraId="2BA8E4DD">
                  <w:pPr>
                    <w:pStyle w:val="6"/>
                    <w:spacing w:before="68" w:line="241" w:lineRule="auto"/>
                    <w:ind w:left="254"/>
                    <w:rPr>
                      <w:sz w:val="21"/>
                      <w:szCs w:val="21"/>
                    </w:rPr>
                  </w:pPr>
                  <w:r>
                    <w:rPr>
                      <w:sz w:val="21"/>
                      <w:szCs w:val="21"/>
                    </w:rPr>
                    <w:t>2</w:t>
                  </w:r>
                </w:p>
              </w:tc>
              <w:tc>
                <w:tcPr>
                  <w:tcW w:w="839" w:type="dxa"/>
                  <w:vAlign w:val="top"/>
                </w:tcPr>
                <w:p w14:paraId="73B44036">
                  <w:pPr>
                    <w:pStyle w:val="6"/>
                    <w:spacing w:before="46" w:line="220" w:lineRule="auto"/>
                    <w:ind w:left="201"/>
                    <w:rPr>
                      <w:sz w:val="21"/>
                      <w:szCs w:val="21"/>
                    </w:rPr>
                  </w:pPr>
                  <w:r>
                    <w:rPr>
                      <w:spacing w:val="-3"/>
                      <w:sz w:val="21"/>
                      <w:szCs w:val="21"/>
                    </w:rPr>
                    <w:t>箱式</w:t>
                  </w:r>
                </w:p>
                <w:p w14:paraId="6D03FF18">
                  <w:pPr>
                    <w:pStyle w:val="6"/>
                    <w:spacing w:before="11" w:line="221" w:lineRule="auto"/>
                    <w:ind w:left="300" w:right="216" w:hanging="99"/>
                    <w:rPr>
                      <w:sz w:val="21"/>
                      <w:szCs w:val="21"/>
                    </w:rPr>
                  </w:pPr>
                  <w:r>
                    <w:rPr>
                      <w:spacing w:val="-5"/>
                      <w:sz w:val="21"/>
                      <w:szCs w:val="21"/>
                    </w:rPr>
                    <w:t>变压</w:t>
                  </w:r>
                  <w:r>
                    <w:rPr>
                      <w:sz w:val="21"/>
                      <w:szCs w:val="21"/>
                    </w:rPr>
                    <w:t xml:space="preserve"> 器</w:t>
                  </w:r>
                </w:p>
              </w:tc>
              <w:tc>
                <w:tcPr>
                  <w:tcW w:w="819" w:type="dxa"/>
                  <w:vAlign w:val="top"/>
                </w:tcPr>
                <w:p w14:paraId="6807247B">
                  <w:pPr>
                    <w:spacing w:line="251" w:lineRule="auto"/>
                    <w:rPr>
                      <w:rFonts w:ascii="Arial"/>
                      <w:sz w:val="21"/>
                    </w:rPr>
                  </w:pPr>
                </w:p>
                <w:p w14:paraId="30C44A85">
                  <w:pPr>
                    <w:pStyle w:val="6"/>
                    <w:spacing w:before="69" w:line="224" w:lineRule="auto"/>
                    <w:ind w:left="341"/>
                    <w:rPr>
                      <w:sz w:val="21"/>
                      <w:szCs w:val="21"/>
                    </w:rPr>
                  </w:pPr>
                  <w:r>
                    <w:rPr>
                      <w:sz w:val="21"/>
                      <w:szCs w:val="21"/>
                    </w:rPr>
                    <w:t>/</w:t>
                  </w:r>
                </w:p>
              </w:tc>
              <w:tc>
                <w:tcPr>
                  <w:tcW w:w="649" w:type="dxa"/>
                  <w:vAlign w:val="top"/>
                </w:tcPr>
                <w:p w14:paraId="2EB8727F">
                  <w:pPr>
                    <w:spacing w:line="251" w:lineRule="auto"/>
                    <w:rPr>
                      <w:rFonts w:ascii="Arial"/>
                      <w:sz w:val="21"/>
                    </w:rPr>
                  </w:pPr>
                </w:p>
                <w:p w14:paraId="0BFB20D2">
                  <w:pPr>
                    <w:pStyle w:val="6"/>
                    <w:spacing w:before="69" w:line="224" w:lineRule="auto"/>
                    <w:ind w:left="262"/>
                    <w:rPr>
                      <w:sz w:val="21"/>
                      <w:szCs w:val="21"/>
                    </w:rPr>
                  </w:pPr>
                  <w:r>
                    <w:rPr>
                      <w:sz w:val="21"/>
                      <w:szCs w:val="21"/>
                    </w:rPr>
                    <w:t>/</w:t>
                  </w:r>
                </w:p>
              </w:tc>
              <w:tc>
                <w:tcPr>
                  <w:tcW w:w="729" w:type="dxa"/>
                  <w:vAlign w:val="top"/>
                </w:tcPr>
                <w:p w14:paraId="05CFD6B0">
                  <w:pPr>
                    <w:spacing w:line="251" w:lineRule="auto"/>
                    <w:rPr>
                      <w:rFonts w:ascii="Arial"/>
                      <w:sz w:val="21"/>
                    </w:rPr>
                  </w:pPr>
                </w:p>
                <w:p w14:paraId="20E86B60">
                  <w:pPr>
                    <w:pStyle w:val="6"/>
                    <w:spacing w:before="69" w:line="224" w:lineRule="auto"/>
                    <w:ind w:left="304"/>
                    <w:rPr>
                      <w:sz w:val="21"/>
                      <w:szCs w:val="21"/>
                    </w:rPr>
                  </w:pPr>
                  <w:r>
                    <w:rPr>
                      <w:sz w:val="21"/>
                      <w:szCs w:val="21"/>
                    </w:rPr>
                    <w:t>/</w:t>
                  </w:r>
                </w:p>
              </w:tc>
              <w:tc>
                <w:tcPr>
                  <w:tcW w:w="439" w:type="dxa"/>
                  <w:vAlign w:val="top"/>
                </w:tcPr>
                <w:p w14:paraId="469814D6">
                  <w:pPr>
                    <w:spacing w:line="251" w:lineRule="auto"/>
                    <w:rPr>
                      <w:rFonts w:ascii="Arial"/>
                      <w:sz w:val="21"/>
                    </w:rPr>
                  </w:pPr>
                </w:p>
                <w:p w14:paraId="7858AB98">
                  <w:pPr>
                    <w:pStyle w:val="6"/>
                    <w:spacing w:before="69" w:line="224" w:lineRule="auto"/>
                    <w:ind w:left="155"/>
                    <w:rPr>
                      <w:sz w:val="21"/>
                      <w:szCs w:val="21"/>
                    </w:rPr>
                  </w:pPr>
                  <w:r>
                    <w:rPr>
                      <w:sz w:val="21"/>
                      <w:szCs w:val="21"/>
                    </w:rPr>
                    <w:t>/</w:t>
                  </w:r>
                </w:p>
              </w:tc>
              <w:tc>
                <w:tcPr>
                  <w:tcW w:w="1748" w:type="dxa"/>
                  <w:vAlign w:val="top"/>
                </w:tcPr>
                <w:p w14:paraId="726CCA7B">
                  <w:pPr>
                    <w:spacing w:line="266" w:lineRule="auto"/>
                    <w:rPr>
                      <w:rFonts w:ascii="Arial"/>
                      <w:sz w:val="21"/>
                    </w:rPr>
                  </w:pPr>
                </w:p>
                <w:p w14:paraId="4AEC5314">
                  <w:pPr>
                    <w:pStyle w:val="6"/>
                    <w:spacing w:before="68"/>
                    <w:ind w:left="766"/>
                    <w:rPr>
                      <w:sz w:val="21"/>
                      <w:szCs w:val="21"/>
                    </w:rPr>
                  </w:pPr>
                  <w:r>
                    <w:rPr>
                      <w:spacing w:val="-3"/>
                      <w:sz w:val="21"/>
                      <w:szCs w:val="21"/>
                    </w:rPr>
                    <w:t>60</w:t>
                  </w:r>
                </w:p>
              </w:tc>
              <w:tc>
                <w:tcPr>
                  <w:tcW w:w="1229" w:type="dxa"/>
                  <w:vAlign w:val="top"/>
                </w:tcPr>
                <w:p w14:paraId="748654C2">
                  <w:pPr>
                    <w:pStyle w:val="6"/>
                    <w:spacing w:before="194" w:line="232" w:lineRule="auto"/>
                    <w:ind w:left="187" w:right="66" w:hanging="99"/>
                    <w:rPr>
                      <w:sz w:val="21"/>
                      <w:szCs w:val="21"/>
                    </w:rPr>
                  </w:pPr>
                  <w:r>
                    <w:rPr>
                      <w:spacing w:val="2"/>
                      <w:sz w:val="21"/>
                      <w:szCs w:val="21"/>
                    </w:rPr>
                    <w:t>集装箱式房</w:t>
                  </w:r>
                  <w:r>
                    <w:rPr>
                      <w:spacing w:val="3"/>
                      <w:sz w:val="21"/>
                      <w:szCs w:val="21"/>
                    </w:rPr>
                    <w:t xml:space="preserve"> 舱体隔声</w:t>
                  </w:r>
                </w:p>
              </w:tc>
              <w:tc>
                <w:tcPr>
                  <w:tcW w:w="1123" w:type="dxa"/>
                  <w:vMerge w:val="continue"/>
                  <w:tcBorders>
                    <w:top w:val="nil"/>
                  </w:tcBorders>
                  <w:vAlign w:val="top"/>
                </w:tcPr>
                <w:p w14:paraId="41FC074C">
                  <w:pPr>
                    <w:rPr>
                      <w:rFonts w:ascii="Arial"/>
                      <w:sz w:val="21"/>
                    </w:rPr>
                  </w:pPr>
                </w:p>
              </w:tc>
            </w:tr>
          </w:tbl>
          <w:p w14:paraId="7907464A">
            <w:pPr>
              <w:pStyle w:val="6"/>
              <w:spacing w:before="74" w:line="219" w:lineRule="auto"/>
              <w:ind w:left="579"/>
              <w:rPr>
                <w:sz w:val="23"/>
                <w:szCs w:val="23"/>
              </w:rPr>
            </w:pPr>
            <w:r>
              <w:rPr>
                <w:sz w:val="23"/>
                <w:szCs w:val="23"/>
              </w:rPr>
              <w:t>(2)预测模式</w:t>
            </w:r>
          </w:p>
          <w:p w14:paraId="7C8B40C6">
            <w:pPr>
              <w:pStyle w:val="6"/>
              <w:spacing w:before="174" w:line="374" w:lineRule="auto"/>
              <w:ind w:left="49" w:right="320" w:firstLine="439"/>
              <w:rPr>
                <w:sz w:val="23"/>
                <w:szCs w:val="23"/>
              </w:rPr>
            </w:pPr>
            <w:r>
              <w:rPr>
                <w:sz w:val="23"/>
                <w:szCs w:val="23"/>
              </w:rPr>
              <w:t>采用《环境影响评价技术声环境》(HJ2.4-2021)中的噪声预测模式预测本项</w:t>
            </w:r>
            <w:r>
              <w:rPr>
                <w:spacing w:val="12"/>
                <w:sz w:val="23"/>
                <w:szCs w:val="23"/>
              </w:rPr>
              <w:t xml:space="preserve"> </w:t>
            </w:r>
            <w:r>
              <w:rPr>
                <w:spacing w:val="-1"/>
                <w:sz w:val="23"/>
                <w:szCs w:val="23"/>
              </w:rPr>
              <w:t>目的主要噪声设备对周围声环境的影响。</w:t>
            </w:r>
          </w:p>
          <w:p w14:paraId="6818443C">
            <w:pPr>
              <w:pStyle w:val="6"/>
              <w:spacing w:before="1" w:line="219" w:lineRule="auto"/>
              <w:ind w:left="579"/>
              <w:rPr>
                <w:sz w:val="23"/>
                <w:szCs w:val="23"/>
              </w:rPr>
            </w:pPr>
            <w:r>
              <w:rPr>
                <w:spacing w:val="-1"/>
                <w:sz w:val="23"/>
                <w:szCs w:val="23"/>
              </w:rPr>
              <w:t>预测模式如下：</w:t>
            </w:r>
          </w:p>
          <w:p w14:paraId="64B009AA">
            <w:pPr>
              <w:pStyle w:val="6"/>
              <w:spacing w:before="197" w:line="219" w:lineRule="auto"/>
              <w:ind w:left="579"/>
              <w:rPr>
                <w:sz w:val="23"/>
                <w:szCs w:val="23"/>
              </w:rPr>
            </w:pPr>
            <w:r>
              <w:rPr>
                <w:spacing w:val="-1"/>
                <w:sz w:val="23"/>
                <w:szCs w:val="23"/>
              </w:rPr>
              <w:t>单个噪声源的预测公式为：</w:t>
            </w:r>
          </w:p>
          <w:p w14:paraId="1113BD3C">
            <w:pPr>
              <w:spacing w:before="117" w:line="470" w:lineRule="exact"/>
              <w:ind w:firstLine="1639"/>
            </w:pPr>
            <w:r>
              <w:rPr>
                <w:position w:val="-9"/>
              </w:rPr>
              <w:drawing>
                <wp:inline distT="0" distB="0" distL="0" distR="0">
                  <wp:extent cx="3574415" cy="29845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200"/>
                          <a:stretch>
                            <a:fillRect/>
                          </a:stretch>
                        </pic:blipFill>
                        <pic:spPr>
                          <a:xfrm>
                            <a:off x="0" y="0"/>
                            <a:ext cx="3575034" cy="298452"/>
                          </a:xfrm>
                          <a:prstGeom prst="rect">
                            <a:avLst/>
                          </a:prstGeom>
                        </pic:spPr>
                      </pic:pic>
                    </a:graphicData>
                  </a:graphic>
                </wp:inline>
              </w:drawing>
            </w:r>
          </w:p>
          <w:p w14:paraId="7EEC2A0E">
            <w:pPr>
              <w:pStyle w:val="6"/>
              <w:spacing w:before="163" w:line="214" w:lineRule="auto"/>
              <w:ind w:left="579"/>
              <w:rPr>
                <w:sz w:val="23"/>
                <w:szCs w:val="23"/>
              </w:rPr>
            </w:pPr>
            <w:r>
              <w:rPr>
                <w:spacing w:val="3"/>
                <w:sz w:val="23"/>
                <w:szCs w:val="23"/>
              </w:rPr>
              <w:t>式中：</w:t>
            </w:r>
            <w:r>
              <w:rPr>
                <w:sz w:val="23"/>
                <w:szCs w:val="23"/>
              </w:rPr>
              <w:t>Lpor</w:t>
            </w:r>
            <w:r>
              <w:rPr>
                <w:spacing w:val="3"/>
                <w:sz w:val="23"/>
                <w:szCs w:val="23"/>
              </w:rPr>
              <w:t>)--预测点处声压级，</w:t>
            </w:r>
            <w:r>
              <w:rPr>
                <w:sz w:val="23"/>
                <w:szCs w:val="23"/>
              </w:rPr>
              <w:t>dB</w:t>
            </w:r>
            <w:r>
              <w:rPr>
                <w:spacing w:val="3"/>
                <w:sz w:val="23"/>
                <w:szCs w:val="23"/>
              </w:rPr>
              <w:t>;</w:t>
            </w:r>
          </w:p>
          <w:p w14:paraId="5E992B89">
            <w:pPr>
              <w:pStyle w:val="6"/>
              <w:spacing w:before="204" w:line="214" w:lineRule="auto"/>
              <w:ind w:left="1219"/>
              <w:rPr>
                <w:sz w:val="23"/>
                <w:szCs w:val="23"/>
              </w:rPr>
            </w:pPr>
            <w:r>
              <w:rPr>
                <w:sz w:val="23"/>
                <w:szCs w:val="23"/>
              </w:rPr>
              <w:t>Lpro--参考位置ro处的声压级，</w:t>
            </w:r>
            <w:r>
              <w:rPr>
                <w:spacing w:val="-68"/>
                <w:sz w:val="23"/>
                <w:szCs w:val="23"/>
              </w:rPr>
              <w:t xml:space="preserve"> </w:t>
            </w:r>
            <w:r>
              <w:rPr>
                <w:sz w:val="23"/>
                <w:szCs w:val="23"/>
              </w:rPr>
              <w:t>d</w:t>
            </w:r>
            <w:r>
              <w:rPr>
                <w:spacing w:val="-1"/>
                <w:sz w:val="23"/>
                <w:szCs w:val="23"/>
              </w:rPr>
              <w:t>B;</w:t>
            </w:r>
          </w:p>
          <w:p w14:paraId="19901C06">
            <w:pPr>
              <w:pStyle w:val="6"/>
              <w:spacing w:before="209" w:line="347" w:lineRule="auto"/>
              <w:ind w:left="80" w:right="308" w:firstLine="1129"/>
              <w:rPr>
                <w:sz w:val="23"/>
                <w:szCs w:val="23"/>
              </w:rPr>
            </w:pPr>
            <w:r>
              <w:rPr>
                <w:sz w:val="23"/>
                <w:szCs w:val="23"/>
              </w:rPr>
              <w:t>Dc--指向性校正，它描述点声源的等效连续声压级与产生</w:t>
            </w:r>
            <w:r>
              <w:rPr>
                <w:spacing w:val="-1"/>
                <w:sz w:val="23"/>
                <w:szCs w:val="23"/>
              </w:rPr>
              <w:t>声功率级Lw</w:t>
            </w:r>
            <w:r>
              <w:rPr>
                <w:sz w:val="23"/>
                <w:szCs w:val="23"/>
              </w:rPr>
              <w:t xml:space="preserve"> </w:t>
            </w:r>
            <w:r>
              <w:rPr>
                <w:spacing w:val="-1"/>
                <w:sz w:val="23"/>
                <w:szCs w:val="23"/>
              </w:rPr>
              <w:t>的全向点声源在规定方向的声级的偏差程度，</w:t>
            </w:r>
            <w:r>
              <w:rPr>
                <w:spacing w:val="-48"/>
                <w:sz w:val="23"/>
                <w:szCs w:val="23"/>
              </w:rPr>
              <w:t xml:space="preserve"> </w:t>
            </w:r>
            <w:r>
              <w:rPr>
                <w:spacing w:val="-1"/>
                <w:sz w:val="23"/>
                <w:szCs w:val="23"/>
              </w:rPr>
              <w:t>dB;</w:t>
            </w:r>
          </w:p>
        </w:tc>
      </w:tr>
    </w:tbl>
    <w:p w14:paraId="574BE4C6">
      <w:pPr>
        <w:pStyle w:val="2"/>
      </w:pPr>
    </w:p>
    <w:p w14:paraId="34EEA011">
      <w:pPr>
        <w:sectPr>
          <w:footerReference r:id="rId100" w:type="default"/>
          <w:pgSz w:w="11910" w:h="16840"/>
          <w:pgMar w:top="1431" w:right="1574" w:bottom="1284" w:left="1435" w:header="0" w:footer="1051" w:gutter="0"/>
          <w:cols w:space="720" w:num="1"/>
        </w:sectPr>
      </w:pPr>
    </w:p>
    <w:p w14:paraId="59AE83A1">
      <w:pPr>
        <w:spacing w:line="58" w:lineRule="exact"/>
      </w:pPr>
    </w:p>
    <w:tbl>
      <w:tblPr>
        <w:tblStyle w:val="5"/>
        <w:tblW w:w="90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8573"/>
      </w:tblGrid>
      <w:tr w14:paraId="69C94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6" w:hRule="atLeast"/>
        </w:trPr>
        <w:tc>
          <w:tcPr>
            <w:tcW w:w="444" w:type="dxa"/>
            <w:vMerge w:val="restart"/>
            <w:tcBorders>
              <w:bottom w:val="nil"/>
            </w:tcBorders>
            <w:vAlign w:val="top"/>
          </w:tcPr>
          <w:p w14:paraId="6B3E5733">
            <w:pPr>
              <w:rPr>
                <w:rFonts w:ascii="Arial"/>
                <w:sz w:val="21"/>
              </w:rPr>
            </w:pPr>
          </w:p>
        </w:tc>
        <w:tc>
          <w:tcPr>
            <w:tcW w:w="8573" w:type="dxa"/>
            <w:tcBorders>
              <w:right w:val="single" w:color="000000" w:sz="6" w:space="0"/>
            </w:tcBorders>
            <w:vAlign w:val="top"/>
          </w:tcPr>
          <w:p w14:paraId="58F319D0">
            <w:pPr>
              <w:pStyle w:val="6"/>
              <w:spacing w:before="34" w:line="212" w:lineRule="auto"/>
              <w:ind w:left="1265"/>
              <w:rPr>
                <w:rFonts w:ascii="Times New Roman" w:hAnsi="Times New Roman" w:eastAsia="Times New Roman" w:cs="Times New Roman"/>
              </w:rPr>
            </w:pPr>
            <w:r>
              <w:rPr>
                <w:rFonts w:ascii="Times New Roman" w:hAnsi="Times New Roman" w:eastAsia="Times New Roman" w:cs="Times New Roman"/>
                <w:spacing w:val="-4"/>
              </w:rPr>
              <w:t>Adi--</w:t>
            </w:r>
            <w:r>
              <w:rPr>
                <w:spacing w:val="-4"/>
              </w:rPr>
              <w:t>几何发散引起的衰减，</w:t>
            </w:r>
            <w:r>
              <w:rPr>
                <w:rFonts w:ascii="Times New Roman" w:hAnsi="Times New Roman" w:eastAsia="Times New Roman" w:cs="Times New Roman"/>
                <w:spacing w:val="-4"/>
              </w:rPr>
              <w:t>dB;</w:t>
            </w:r>
          </w:p>
          <w:p w14:paraId="5D133B10">
            <w:pPr>
              <w:pStyle w:val="6"/>
              <w:spacing w:before="204" w:line="212" w:lineRule="auto"/>
              <w:ind w:left="1265"/>
              <w:rPr>
                <w:rFonts w:ascii="Times New Roman" w:hAnsi="Times New Roman" w:eastAsia="Times New Roman" w:cs="Times New Roman"/>
              </w:rPr>
            </w:pPr>
            <w:r>
              <w:rPr>
                <w:rFonts w:ascii="Times New Roman" w:hAnsi="Times New Roman" w:eastAsia="Times New Roman" w:cs="Times New Roman"/>
                <w:spacing w:val="-12"/>
              </w:rPr>
              <w:t>A</w:t>
            </w:r>
            <w:r>
              <w:rPr>
                <w:rFonts w:ascii="Times New Roman" w:hAnsi="Times New Roman" w:eastAsia="Times New Roman" w:cs="Times New Roman"/>
                <w:i/>
                <w:iCs/>
                <w:spacing w:val="-12"/>
              </w:rPr>
              <w:t>atm--</w:t>
            </w:r>
            <w:r>
              <w:rPr>
                <w:spacing w:val="-12"/>
              </w:rPr>
              <w:t>大气吸收引起的衰减，</w:t>
            </w:r>
            <w:r>
              <w:rPr>
                <w:rFonts w:ascii="Times New Roman" w:hAnsi="Times New Roman" w:eastAsia="Times New Roman" w:cs="Times New Roman"/>
                <w:spacing w:val="-12"/>
              </w:rPr>
              <w:t>dB;</w:t>
            </w:r>
          </w:p>
          <w:p w14:paraId="24AE1F32">
            <w:pPr>
              <w:pStyle w:val="6"/>
              <w:spacing w:before="202" w:line="212" w:lineRule="auto"/>
              <w:ind w:left="1265"/>
              <w:rPr>
                <w:rFonts w:ascii="Times New Roman" w:hAnsi="Times New Roman" w:eastAsia="Times New Roman" w:cs="Times New Roman"/>
              </w:rPr>
            </w:pPr>
            <w:r>
              <w:rPr>
                <w:rFonts w:ascii="Times New Roman" w:hAnsi="Times New Roman" w:eastAsia="Times New Roman" w:cs="Times New Roman"/>
                <w:spacing w:val="-4"/>
              </w:rPr>
              <w:t>Ag--</w:t>
            </w:r>
            <w:r>
              <w:rPr>
                <w:rFonts w:ascii="Times New Roman" w:hAnsi="Times New Roman" w:eastAsia="Times New Roman" w:cs="Times New Roman"/>
                <w:spacing w:val="-13"/>
              </w:rPr>
              <w:t xml:space="preserve"> </w:t>
            </w:r>
            <w:r>
              <w:rPr>
                <w:spacing w:val="-4"/>
              </w:rPr>
              <w:t>地面效应引起的衰减，</w:t>
            </w:r>
            <w:r>
              <w:rPr>
                <w:rFonts w:ascii="Times New Roman" w:hAnsi="Times New Roman" w:eastAsia="Times New Roman" w:cs="Times New Roman"/>
                <w:spacing w:val="-4"/>
              </w:rPr>
              <w:t>dB;</w:t>
            </w:r>
          </w:p>
          <w:p w14:paraId="646F280D">
            <w:pPr>
              <w:pStyle w:val="6"/>
              <w:spacing w:before="146" w:line="319" w:lineRule="exact"/>
              <w:ind w:left="1265"/>
              <w:rPr>
                <w:rFonts w:ascii="Times New Roman" w:hAnsi="Times New Roman" w:eastAsia="Times New Roman" w:cs="Times New Roman"/>
              </w:rPr>
            </w:pPr>
            <w:r>
              <w:rPr>
                <w:rFonts w:ascii="Times New Roman" w:hAnsi="Times New Roman" w:eastAsia="Times New Roman" w:cs="Times New Roman"/>
                <w:spacing w:val="-11"/>
                <w:position w:val="2"/>
              </w:rPr>
              <w:t>A</w:t>
            </w:r>
            <w:r>
              <w:rPr>
                <w:rFonts w:ascii="Times New Roman" w:hAnsi="Times New Roman" w:eastAsia="Times New Roman" w:cs="Times New Roman"/>
                <w:i/>
                <w:iCs/>
                <w:spacing w:val="-11"/>
                <w:position w:val="2"/>
              </w:rPr>
              <w:t>bar-</w:t>
            </w:r>
            <w:r>
              <w:rPr>
                <w:spacing w:val="-11"/>
                <w:position w:val="2"/>
              </w:rPr>
              <w:t>-障碍物屏蔽引起的衰减，</w:t>
            </w:r>
            <w:r>
              <w:rPr>
                <w:rFonts w:ascii="Times New Roman" w:hAnsi="Times New Roman" w:eastAsia="Times New Roman" w:cs="Times New Roman"/>
                <w:spacing w:val="-11"/>
                <w:position w:val="2"/>
              </w:rPr>
              <w:t>dB;</w:t>
            </w:r>
          </w:p>
          <w:p w14:paraId="2BF974A3">
            <w:pPr>
              <w:pStyle w:val="6"/>
              <w:spacing w:before="197" w:line="220" w:lineRule="auto"/>
              <w:ind w:left="1265"/>
            </w:pPr>
            <w:r>
              <w:rPr>
                <w:rFonts w:ascii="Times New Roman" w:hAnsi="Times New Roman" w:eastAsia="Times New Roman" w:cs="Times New Roman"/>
                <w:i/>
                <w:iCs/>
                <w:spacing w:val="-8"/>
              </w:rPr>
              <w:t>Amisc--</w:t>
            </w:r>
            <w:r>
              <w:rPr>
                <w:spacing w:val="-8"/>
              </w:rPr>
              <w:t>其他多方面效应引起的衰减，</w:t>
            </w:r>
            <w:r>
              <w:rPr>
                <w:rFonts w:ascii="Times New Roman" w:hAnsi="Times New Roman" w:eastAsia="Times New Roman" w:cs="Times New Roman"/>
                <w:spacing w:val="-8"/>
              </w:rPr>
              <w:t>dB</w:t>
            </w:r>
            <w:r>
              <w:rPr>
                <w:spacing w:val="-8"/>
              </w:rPr>
              <w:t>。</w:t>
            </w:r>
          </w:p>
          <w:p w14:paraId="7F4FA6DA">
            <w:pPr>
              <w:pStyle w:val="6"/>
              <w:spacing w:before="181" w:line="219" w:lineRule="auto"/>
              <w:ind w:left="555"/>
            </w:pPr>
            <w:r>
              <w:rPr>
                <w:spacing w:val="-7"/>
              </w:rPr>
              <w:t>只考虑几何发散衰减时：</w:t>
            </w:r>
          </w:p>
          <w:p w14:paraId="233BD6BD">
            <w:pPr>
              <w:spacing w:before="205" w:line="192" w:lineRule="auto"/>
              <w:ind w:left="3555"/>
              <w:rPr>
                <w:rFonts w:ascii="Times New Roman" w:hAnsi="Times New Roman" w:eastAsia="Times New Roman" w:cs="Times New Roman"/>
                <w:sz w:val="22"/>
                <w:szCs w:val="22"/>
              </w:rPr>
            </w:pPr>
            <w:r>
              <w:rPr>
                <w:rFonts w:ascii="Times New Roman" w:hAnsi="Times New Roman" w:eastAsia="Times New Roman" w:cs="Times New Roman"/>
                <w:i/>
                <w:iCs/>
                <w:sz w:val="22"/>
                <w:szCs w:val="22"/>
              </w:rPr>
              <w:t>LA</w:t>
            </w:r>
            <w:r>
              <w:rPr>
                <w:rFonts w:ascii="Times New Roman" w:hAnsi="Times New Roman" w:eastAsia="Times New Roman" w:cs="Times New Roman"/>
                <w:i/>
                <w:iCs/>
                <w:spacing w:val="1"/>
                <w:sz w:val="22"/>
                <w:szCs w:val="22"/>
              </w:rPr>
              <w:t>(r)=</w:t>
            </w:r>
            <w:r>
              <w:rPr>
                <w:rFonts w:ascii="Times New Roman" w:hAnsi="Times New Roman" w:eastAsia="Times New Roman" w:cs="Times New Roman"/>
                <w:i/>
                <w:iCs/>
                <w:sz w:val="22"/>
                <w:szCs w:val="22"/>
              </w:rPr>
              <w:t>LA</w:t>
            </w:r>
            <w:r>
              <w:rPr>
                <w:rFonts w:ascii="Times New Roman" w:hAnsi="Times New Roman" w:eastAsia="Times New Roman" w:cs="Times New Roman"/>
                <w:i/>
                <w:iCs/>
                <w:spacing w:val="1"/>
                <w:sz w:val="22"/>
                <w:szCs w:val="22"/>
              </w:rPr>
              <w:t>(</w:t>
            </w:r>
            <w:r>
              <w:rPr>
                <w:rFonts w:ascii="Times New Roman" w:hAnsi="Times New Roman" w:eastAsia="Times New Roman" w:cs="Times New Roman"/>
                <w:i/>
                <w:iCs/>
                <w:sz w:val="22"/>
                <w:szCs w:val="22"/>
              </w:rPr>
              <w:t>rO</w:t>
            </w:r>
            <w:r>
              <w:rPr>
                <w:rFonts w:ascii="Times New Roman" w:hAnsi="Times New Roman" w:eastAsia="Times New Roman" w:cs="Times New Roman"/>
                <w:i/>
                <w:iCs/>
                <w:spacing w:val="1"/>
                <w:sz w:val="22"/>
                <w:szCs w:val="22"/>
              </w:rPr>
              <w:t>)-</w:t>
            </w:r>
            <w:r>
              <w:rPr>
                <w:rFonts w:ascii="Times New Roman" w:hAnsi="Times New Roman" w:eastAsia="Times New Roman" w:cs="Times New Roman"/>
                <w:i/>
                <w:iCs/>
                <w:sz w:val="22"/>
                <w:szCs w:val="22"/>
              </w:rPr>
              <w:t>Adiv</w:t>
            </w:r>
          </w:p>
          <w:p w14:paraId="22E51052">
            <w:pPr>
              <w:pStyle w:val="6"/>
              <w:spacing w:before="172" w:line="212" w:lineRule="auto"/>
              <w:ind w:left="555"/>
              <w:rPr>
                <w:rFonts w:ascii="Times New Roman" w:hAnsi="Times New Roman" w:eastAsia="Times New Roman" w:cs="Times New Roman"/>
              </w:rPr>
            </w:pPr>
            <w:r>
              <w:rPr>
                <w:spacing w:val="-7"/>
              </w:rPr>
              <w:t>式中：</w:t>
            </w:r>
            <w:r>
              <w:rPr>
                <w:rFonts w:ascii="Times New Roman" w:hAnsi="Times New Roman" w:eastAsia="Times New Roman" w:cs="Times New Roman"/>
                <w:spacing w:val="-7"/>
              </w:rPr>
              <w:t>LAn)--</w:t>
            </w:r>
            <w:r>
              <w:rPr>
                <w:spacing w:val="-7"/>
              </w:rPr>
              <w:t>距声源</w:t>
            </w:r>
            <w:r>
              <w:rPr>
                <w:rFonts w:ascii="Times New Roman" w:hAnsi="Times New Roman" w:eastAsia="Times New Roman" w:cs="Times New Roman"/>
                <w:spacing w:val="-7"/>
              </w:rPr>
              <w:t xml:space="preserve">r </w:t>
            </w:r>
            <w:r>
              <w:rPr>
                <w:spacing w:val="-7"/>
              </w:rPr>
              <w:t>处的</w:t>
            </w:r>
            <w:r>
              <w:rPr>
                <w:rFonts w:ascii="Times New Roman" w:hAnsi="Times New Roman" w:eastAsia="Times New Roman" w:cs="Times New Roman"/>
                <w:spacing w:val="-7"/>
              </w:rPr>
              <w:t>A</w:t>
            </w:r>
            <w:r>
              <w:rPr>
                <w:rFonts w:ascii="Times New Roman" w:hAnsi="Times New Roman" w:eastAsia="Times New Roman" w:cs="Times New Roman"/>
                <w:spacing w:val="19"/>
                <w:w w:val="101"/>
              </w:rPr>
              <w:t xml:space="preserve"> </w:t>
            </w:r>
            <w:r>
              <w:rPr>
                <w:spacing w:val="-7"/>
              </w:rPr>
              <w:t>声</w:t>
            </w:r>
            <w:r>
              <w:rPr>
                <w:spacing w:val="-48"/>
              </w:rPr>
              <w:t xml:space="preserve"> </w:t>
            </w:r>
            <w:r>
              <w:rPr>
                <w:spacing w:val="-7"/>
              </w:rPr>
              <w:t>级</w:t>
            </w:r>
            <w:r>
              <w:rPr>
                <w:spacing w:val="-62"/>
              </w:rPr>
              <w:t xml:space="preserve"> </w:t>
            </w:r>
            <w:r>
              <w:rPr>
                <w:spacing w:val="-7"/>
              </w:rPr>
              <w:t>，</w:t>
            </w:r>
            <w:r>
              <w:rPr>
                <w:rFonts w:ascii="Times New Roman" w:hAnsi="Times New Roman" w:eastAsia="Times New Roman" w:cs="Times New Roman"/>
                <w:spacing w:val="-7"/>
              </w:rPr>
              <w:t>dB(A);</w:t>
            </w:r>
          </w:p>
          <w:p w14:paraId="73FB8FFB">
            <w:pPr>
              <w:pStyle w:val="6"/>
              <w:spacing w:before="185" w:line="212" w:lineRule="auto"/>
              <w:ind w:left="1265"/>
              <w:rPr>
                <w:rFonts w:ascii="Times New Roman" w:hAnsi="Times New Roman" w:eastAsia="Times New Roman" w:cs="Times New Roman"/>
              </w:rPr>
            </w:pPr>
            <w:r>
              <w:rPr>
                <w:rFonts w:ascii="Times New Roman" w:hAnsi="Times New Roman" w:eastAsia="Times New Roman" w:cs="Times New Roman"/>
                <w:spacing w:val="-6"/>
              </w:rPr>
              <w:t>LAr₀--</w:t>
            </w:r>
            <w:r>
              <w:rPr>
                <w:rFonts w:ascii="Times New Roman" w:hAnsi="Times New Roman" w:eastAsia="Times New Roman" w:cs="Times New Roman"/>
                <w:spacing w:val="-11"/>
              </w:rPr>
              <w:t xml:space="preserve"> </w:t>
            </w:r>
            <w:r>
              <w:rPr>
                <w:spacing w:val="-6"/>
              </w:rPr>
              <w:t>参考位置</w:t>
            </w:r>
            <w:r>
              <w:rPr>
                <w:rFonts w:ascii="Times New Roman" w:hAnsi="Times New Roman" w:eastAsia="Times New Roman" w:cs="Times New Roman"/>
                <w:spacing w:val="-6"/>
              </w:rPr>
              <w:t>r0</w:t>
            </w:r>
            <w:r>
              <w:rPr>
                <w:rFonts w:ascii="Times New Roman" w:hAnsi="Times New Roman" w:eastAsia="Times New Roman" w:cs="Times New Roman"/>
                <w:spacing w:val="22"/>
              </w:rPr>
              <w:t xml:space="preserve"> </w:t>
            </w:r>
            <w:r>
              <w:rPr>
                <w:spacing w:val="-6"/>
              </w:rPr>
              <w:t>处的</w:t>
            </w:r>
            <w:r>
              <w:rPr>
                <w:rFonts w:ascii="Times New Roman" w:hAnsi="Times New Roman" w:eastAsia="Times New Roman" w:cs="Times New Roman"/>
                <w:spacing w:val="-6"/>
              </w:rPr>
              <w:t>A</w:t>
            </w:r>
            <w:r>
              <w:rPr>
                <w:rFonts w:ascii="Times New Roman" w:hAnsi="Times New Roman" w:eastAsia="Times New Roman" w:cs="Times New Roman"/>
                <w:spacing w:val="18"/>
                <w:w w:val="101"/>
              </w:rPr>
              <w:t xml:space="preserve"> </w:t>
            </w:r>
            <w:r>
              <w:rPr>
                <w:spacing w:val="-6"/>
              </w:rPr>
              <w:t>声</w:t>
            </w:r>
            <w:r>
              <w:rPr>
                <w:spacing w:val="-38"/>
              </w:rPr>
              <w:t xml:space="preserve"> </w:t>
            </w:r>
            <w:r>
              <w:rPr>
                <w:spacing w:val="-6"/>
              </w:rPr>
              <w:t>级</w:t>
            </w:r>
            <w:r>
              <w:rPr>
                <w:spacing w:val="-51"/>
              </w:rPr>
              <w:t xml:space="preserve"> </w:t>
            </w:r>
            <w:r>
              <w:rPr>
                <w:spacing w:val="-6"/>
              </w:rPr>
              <w:t>，</w:t>
            </w:r>
            <w:r>
              <w:rPr>
                <w:rFonts w:ascii="Times New Roman" w:hAnsi="Times New Roman" w:eastAsia="Times New Roman" w:cs="Times New Roman"/>
                <w:spacing w:val="-6"/>
              </w:rPr>
              <w:t>dB(A);</w:t>
            </w:r>
          </w:p>
          <w:p w14:paraId="54BE935D">
            <w:pPr>
              <w:pStyle w:val="6"/>
              <w:spacing w:before="200" w:line="219" w:lineRule="auto"/>
              <w:ind w:left="1265"/>
            </w:pPr>
            <w:r>
              <w:rPr>
                <w:rFonts w:ascii="Times New Roman" w:hAnsi="Times New Roman" w:eastAsia="Times New Roman" w:cs="Times New Roman"/>
                <w:spacing w:val="-10"/>
              </w:rPr>
              <w:t>Adiv--</w:t>
            </w:r>
            <w:r>
              <w:rPr>
                <w:spacing w:val="-10"/>
              </w:rPr>
              <w:t>几何发散引起的衰减，</w:t>
            </w:r>
            <w:r>
              <w:rPr>
                <w:rFonts w:ascii="Times New Roman" w:hAnsi="Times New Roman" w:eastAsia="Times New Roman" w:cs="Times New Roman"/>
                <w:spacing w:val="-10"/>
              </w:rPr>
              <w:t>dB</w:t>
            </w:r>
            <w:r>
              <w:rPr>
                <w:spacing w:val="-10"/>
              </w:rPr>
              <w:t>。</w:t>
            </w:r>
          </w:p>
          <w:p w14:paraId="5DE19F5C">
            <w:pPr>
              <w:pStyle w:val="6"/>
              <w:spacing w:before="195" w:line="219" w:lineRule="auto"/>
              <w:ind w:left="555"/>
            </w:pPr>
            <w:r>
              <w:rPr>
                <w:spacing w:val="-3"/>
              </w:rPr>
              <w:t>无指向性点声源几何发散衰减的公式：</w:t>
            </w:r>
          </w:p>
          <w:p w14:paraId="35BCE8AD">
            <w:pPr>
              <w:pStyle w:val="6"/>
              <w:spacing w:before="206" w:line="183" w:lineRule="auto"/>
              <w:ind w:left="2885"/>
              <w:rPr>
                <w:rFonts w:ascii="Times New Roman" w:hAnsi="Times New Roman" w:eastAsia="Times New Roman" w:cs="Times New Roman"/>
                <w:sz w:val="35"/>
                <w:szCs w:val="35"/>
              </w:rPr>
            </w:pPr>
            <w:r>
              <w:rPr>
                <w:rFonts w:ascii="Times New Roman" w:hAnsi="Times New Roman" w:eastAsia="Times New Roman" w:cs="Times New Roman"/>
                <w:spacing w:val="-17"/>
                <w:w w:val="96"/>
                <w:sz w:val="35"/>
                <w:szCs w:val="35"/>
              </w:rPr>
              <w:t>L,(r)=L,(r₀)-201g(r</w:t>
            </w:r>
            <w:r>
              <w:rPr>
                <w:rFonts w:ascii="Times New Roman" w:hAnsi="Times New Roman" w:eastAsia="Times New Roman" w:cs="Times New Roman"/>
                <w:spacing w:val="-18"/>
                <w:w w:val="96"/>
                <w:sz w:val="35"/>
                <w:szCs w:val="35"/>
              </w:rPr>
              <w:t>/r</w:t>
            </w:r>
            <w:r>
              <w:rPr>
                <w:spacing w:val="-18"/>
                <w:w w:val="96"/>
                <w:sz w:val="35"/>
                <w:szCs w:val="35"/>
              </w:rPr>
              <w:t>。</w:t>
            </w:r>
            <w:r>
              <w:rPr>
                <w:rFonts w:ascii="Times New Roman" w:hAnsi="Times New Roman" w:eastAsia="Times New Roman" w:cs="Times New Roman"/>
                <w:spacing w:val="-18"/>
                <w:w w:val="96"/>
                <w:sz w:val="35"/>
                <w:szCs w:val="35"/>
              </w:rPr>
              <w:t>)</w:t>
            </w:r>
          </w:p>
          <w:p w14:paraId="730F719E">
            <w:pPr>
              <w:pStyle w:val="6"/>
              <w:spacing w:before="207" w:line="212" w:lineRule="auto"/>
              <w:ind w:left="555"/>
              <w:rPr>
                <w:rFonts w:ascii="Times New Roman" w:hAnsi="Times New Roman" w:eastAsia="Times New Roman" w:cs="Times New Roman"/>
              </w:rPr>
            </w:pPr>
            <w:r>
              <w:rPr>
                <w:spacing w:val="-6"/>
              </w:rPr>
              <w:t>式中：</w:t>
            </w:r>
            <w:r>
              <w:rPr>
                <w:rFonts w:ascii="Times New Roman" w:hAnsi="Times New Roman" w:eastAsia="Times New Roman" w:cs="Times New Roman"/>
                <w:i/>
                <w:iCs/>
                <w:spacing w:val="-6"/>
              </w:rPr>
              <w:t>Lprv)-</w:t>
            </w:r>
            <w:r>
              <w:rPr>
                <w:spacing w:val="-6"/>
              </w:rPr>
              <w:t>预测点处声压级，</w:t>
            </w:r>
            <w:r>
              <w:rPr>
                <w:rFonts w:ascii="Times New Roman" w:hAnsi="Times New Roman" w:eastAsia="Times New Roman" w:cs="Times New Roman"/>
                <w:spacing w:val="-6"/>
              </w:rPr>
              <w:t>dB;</w:t>
            </w:r>
          </w:p>
          <w:p w14:paraId="168E79B8">
            <w:pPr>
              <w:pStyle w:val="6"/>
              <w:spacing w:before="155" w:line="319" w:lineRule="exact"/>
              <w:ind w:left="1265"/>
              <w:rPr>
                <w:rFonts w:ascii="Times New Roman" w:hAnsi="Times New Roman" w:eastAsia="Times New Roman" w:cs="Times New Roman"/>
              </w:rPr>
            </w:pPr>
            <w:r>
              <w:rPr>
                <w:rFonts w:ascii="Times New Roman" w:hAnsi="Times New Roman" w:eastAsia="Times New Roman" w:cs="Times New Roman"/>
                <w:spacing w:val="-8"/>
                <w:position w:val="2"/>
              </w:rPr>
              <w:t>L</w:t>
            </w:r>
            <w:r>
              <w:rPr>
                <w:rFonts w:ascii="Times New Roman" w:hAnsi="Times New Roman" w:eastAsia="Times New Roman" w:cs="Times New Roman"/>
                <w:i/>
                <w:iCs/>
                <w:spacing w:val="-8"/>
                <w:position w:val="2"/>
              </w:rPr>
              <w:t>piro)-</w:t>
            </w:r>
            <w:r>
              <w:rPr>
                <w:spacing w:val="-8"/>
                <w:position w:val="2"/>
              </w:rPr>
              <w:t>-参考位置</w:t>
            </w:r>
            <w:r>
              <w:rPr>
                <w:rFonts w:ascii="Times New Roman" w:hAnsi="Times New Roman" w:eastAsia="Times New Roman" w:cs="Times New Roman"/>
                <w:spacing w:val="-8"/>
                <w:position w:val="2"/>
              </w:rPr>
              <w:t>ro</w:t>
            </w:r>
            <w:r>
              <w:rPr>
                <w:spacing w:val="-8"/>
                <w:position w:val="2"/>
              </w:rPr>
              <w:t>处的声压级，</w:t>
            </w:r>
            <w:r>
              <w:rPr>
                <w:rFonts w:ascii="Times New Roman" w:hAnsi="Times New Roman" w:eastAsia="Times New Roman" w:cs="Times New Roman"/>
                <w:spacing w:val="-8"/>
                <w:position w:val="2"/>
              </w:rPr>
              <w:t>d</w:t>
            </w:r>
            <w:r>
              <w:rPr>
                <w:rFonts w:ascii="Times New Roman" w:hAnsi="Times New Roman" w:eastAsia="Times New Roman" w:cs="Times New Roman"/>
                <w:spacing w:val="-9"/>
                <w:position w:val="2"/>
              </w:rPr>
              <w:t>B;</w:t>
            </w:r>
          </w:p>
          <w:p w14:paraId="2D51EA54">
            <w:pPr>
              <w:pStyle w:val="6"/>
              <w:spacing w:before="188" w:line="220" w:lineRule="auto"/>
              <w:ind w:left="1265"/>
            </w:pPr>
            <w:r>
              <w:rPr>
                <w:rFonts w:ascii="Times New Roman" w:hAnsi="Times New Roman" w:eastAsia="Times New Roman" w:cs="Times New Roman"/>
                <w:spacing w:val="-3"/>
              </w:rPr>
              <w:t>r--</w:t>
            </w:r>
            <w:r>
              <w:rPr>
                <w:spacing w:val="-3"/>
              </w:rPr>
              <w:t>预测点距声源的距离；</w:t>
            </w:r>
          </w:p>
          <w:p w14:paraId="58AD33B2">
            <w:pPr>
              <w:pStyle w:val="6"/>
              <w:spacing w:before="184" w:line="219" w:lineRule="auto"/>
              <w:ind w:left="1265"/>
            </w:pPr>
            <w:r>
              <w:rPr>
                <w:rFonts w:ascii="Times New Roman" w:hAnsi="Times New Roman" w:eastAsia="Times New Roman" w:cs="Times New Roman"/>
                <w:spacing w:val="-4"/>
              </w:rPr>
              <w:t>ro--</w:t>
            </w:r>
            <w:r>
              <w:rPr>
                <w:spacing w:val="-4"/>
              </w:rPr>
              <w:t>参考位置距声源的距离。</w:t>
            </w:r>
          </w:p>
          <w:p w14:paraId="3A20352B">
            <w:pPr>
              <w:pStyle w:val="6"/>
              <w:spacing w:before="165" w:line="220" w:lineRule="auto"/>
              <w:ind w:left="706"/>
            </w:pPr>
            <w:r>
              <w:rPr>
                <w:spacing w:val="16"/>
              </w:rPr>
              <w:t>(3)预测结果</w:t>
            </w:r>
          </w:p>
          <w:p w14:paraId="0AE190EF">
            <w:pPr>
              <w:pStyle w:val="6"/>
              <w:spacing w:before="184" w:line="220" w:lineRule="auto"/>
              <w:ind w:left="555"/>
            </w:pPr>
            <w:r>
              <w:rPr>
                <w:spacing w:val="8"/>
              </w:rPr>
              <w:t>1)箱式变压器、逆变器</w:t>
            </w:r>
          </w:p>
          <w:p w14:paraId="70AD307D">
            <w:pPr>
              <w:pStyle w:val="6"/>
              <w:spacing w:before="194" w:line="219" w:lineRule="auto"/>
              <w:ind w:left="555"/>
            </w:pPr>
            <w:r>
              <w:rPr>
                <w:spacing w:val="-2"/>
              </w:rPr>
              <w:t>箱式变压器、逆变器距按距离衰减后的噪声贡献值见下表。</w:t>
            </w:r>
          </w:p>
          <w:p w14:paraId="79C5C388">
            <w:pPr>
              <w:pStyle w:val="6"/>
              <w:spacing w:before="126" w:line="219" w:lineRule="auto"/>
              <w:ind w:left="86"/>
              <w:rPr>
                <w:rFonts w:ascii="Times New Roman" w:hAnsi="Times New Roman" w:eastAsia="Times New Roman" w:cs="Times New Roman"/>
                <w:sz w:val="26"/>
                <w:szCs w:val="26"/>
              </w:rPr>
            </w:pPr>
            <w:r>
              <w:t>表4-</w:t>
            </w:r>
            <w:r>
              <w:rPr>
                <w:spacing w:val="-66"/>
              </w:rPr>
              <w:t xml:space="preserve"> </w:t>
            </w:r>
            <w:r>
              <w:t>7</w:t>
            </w:r>
            <w:r>
              <w:rPr>
                <w:spacing w:val="86"/>
              </w:rPr>
              <w:t xml:space="preserve"> </w:t>
            </w:r>
            <w:r>
              <w:t>箱式变压器、逆变器噪声随距离衰减后的贡献值</w:t>
            </w:r>
            <w:r>
              <w:rPr>
                <w:spacing w:val="22"/>
              </w:rPr>
              <w:t xml:space="preserve">     </w:t>
            </w:r>
            <w:r>
              <w:rPr>
                <w:position w:val="2"/>
                <w:sz w:val="26"/>
                <w:szCs w:val="26"/>
              </w:rPr>
              <w:t>单位：</w:t>
            </w:r>
            <w:r>
              <w:rPr>
                <w:rFonts w:ascii="Times New Roman" w:hAnsi="Times New Roman" w:eastAsia="Times New Roman" w:cs="Times New Roman"/>
                <w:position w:val="2"/>
                <w:sz w:val="26"/>
                <w:szCs w:val="26"/>
              </w:rPr>
              <w:t>dB(A)</w:t>
            </w:r>
          </w:p>
          <w:p w14:paraId="7716ED7F">
            <w:pPr>
              <w:spacing w:line="171" w:lineRule="exact"/>
            </w:pPr>
          </w:p>
          <w:tbl>
            <w:tblPr>
              <w:tblStyle w:val="5"/>
              <w:tblW w:w="8339"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3"/>
              <w:gridCol w:w="1059"/>
              <w:gridCol w:w="1069"/>
              <w:gridCol w:w="1078"/>
              <w:gridCol w:w="1078"/>
              <w:gridCol w:w="1069"/>
              <w:gridCol w:w="1073"/>
            </w:tblGrid>
            <w:tr w14:paraId="47A51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913" w:type="dxa"/>
                  <w:tcBorders>
                    <w:top w:val="single" w:color="000000" w:sz="2" w:space="0"/>
                    <w:bottom w:val="nil"/>
                  </w:tcBorders>
                  <w:vAlign w:val="top"/>
                </w:tcPr>
                <w:p w14:paraId="4993A49A">
                  <w:pPr>
                    <w:pStyle w:val="6"/>
                    <w:spacing w:before="73" w:line="207" w:lineRule="auto"/>
                    <w:ind w:left="364"/>
                    <w:rPr>
                      <w:sz w:val="21"/>
                      <w:szCs w:val="21"/>
                    </w:rPr>
                  </w:pPr>
                  <w:r>
                    <w:rPr>
                      <w:spacing w:val="2"/>
                      <w:sz w:val="21"/>
                      <w:szCs w:val="21"/>
                    </w:rPr>
                    <w:t>距声源距离r</w:t>
                  </w:r>
                </w:p>
              </w:tc>
              <w:tc>
                <w:tcPr>
                  <w:tcW w:w="1059" w:type="dxa"/>
                  <w:tcBorders>
                    <w:top w:val="single" w:color="000000" w:sz="2" w:space="0"/>
                    <w:bottom w:val="nil"/>
                  </w:tcBorders>
                  <w:vAlign w:val="top"/>
                </w:tcPr>
                <w:p w14:paraId="5F16C7D9">
                  <w:pPr>
                    <w:pStyle w:val="6"/>
                    <w:spacing w:before="92" w:line="195" w:lineRule="auto"/>
                    <w:ind w:left="411"/>
                    <w:rPr>
                      <w:sz w:val="21"/>
                      <w:szCs w:val="21"/>
                    </w:rPr>
                  </w:pPr>
                  <w:r>
                    <w:rPr>
                      <w:spacing w:val="-4"/>
                      <w:sz w:val="21"/>
                      <w:szCs w:val="21"/>
                    </w:rPr>
                    <w:t>5m</w:t>
                  </w:r>
                </w:p>
              </w:tc>
              <w:tc>
                <w:tcPr>
                  <w:tcW w:w="1069" w:type="dxa"/>
                  <w:tcBorders>
                    <w:top w:val="single" w:color="000000" w:sz="2" w:space="0"/>
                    <w:bottom w:val="nil"/>
                  </w:tcBorders>
                  <w:vAlign w:val="top"/>
                </w:tcPr>
                <w:p w14:paraId="005B219A">
                  <w:pPr>
                    <w:pStyle w:val="6"/>
                    <w:spacing w:before="92" w:line="195" w:lineRule="auto"/>
                    <w:ind w:left="362"/>
                    <w:rPr>
                      <w:sz w:val="21"/>
                      <w:szCs w:val="21"/>
                    </w:rPr>
                  </w:pPr>
                  <w:r>
                    <w:rPr>
                      <w:spacing w:val="-6"/>
                      <w:sz w:val="21"/>
                      <w:szCs w:val="21"/>
                    </w:rPr>
                    <w:t>10m</w:t>
                  </w:r>
                </w:p>
              </w:tc>
              <w:tc>
                <w:tcPr>
                  <w:tcW w:w="1078" w:type="dxa"/>
                  <w:tcBorders>
                    <w:top w:val="single" w:color="000000" w:sz="2" w:space="0"/>
                    <w:bottom w:val="nil"/>
                  </w:tcBorders>
                  <w:vAlign w:val="top"/>
                </w:tcPr>
                <w:p w14:paraId="0291FB72">
                  <w:pPr>
                    <w:pStyle w:val="6"/>
                    <w:spacing w:before="92" w:line="195" w:lineRule="auto"/>
                    <w:ind w:left="373"/>
                    <w:rPr>
                      <w:sz w:val="21"/>
                      <w:szCs w:val="21"/>
                    </w:rPr>
                  </w:pPr>
                  <w:r>
                    <w:rPr>
                      <w:spacing w:val="-3"/>
                      <w:sz w:val="21"/>
                      <w:szCs w:val="21"/>
                    </w:rPr>
                    <w:t>20m</w:t>
                  </w:r>
                </w:p>
              </w:tc>
              <w:tc>
                <w:tcPr>
                  <w:tcW w:w="1078" w:type="dxa"/>
                  <w:tcBorders>
                    <w:top w:val="single" w:color="000000" w:sz="2" w:space="0"/>
                    <w:bottom w:val="nil"/>
                  </w:tcBorders>
                  <w:vAlign w:val="top"/>
                </w:tcPr>
                <w:p w14:paraId="3D596173">
                  <w:pPr>
                    <w:pStyle w:val="6"/>
                    <w:spacing w:before="92" w:line="195" w:lineRule="auto"/>
                    <w:ind w:left="375"/>
                    <w:rPr>
                      <w:sz w:val="21"/>
                      <w:szCs w:val="21"/>
                    </w:rPr>
                  </w:pPr>
                  <w:r>
                    <w:rPr>
                      <w:spacing w:val="-3"/>
                      <w:sz w:val="21"/>
                      <w:szCs w:val="21"/>
                    </w:rPr>
                    <w:t>30m</w:t>
                  </w:r>
                </w:p>
              </w:tc>
              <w:tc>
                <w:tcPr>
                  <w:tcW w:w="1069" w:type="dxa"/>
                  <w:tcBorders>
                    <w:top w:val="single" w:color="000000" w:sz="2" w:space="0"/>
                    <w:bottom w:val="nil"/>
                  </w:tcBorders>
                  <w:vAlign w:val="top"/>
                </w:tcPr>
                <w:p w14:paraId="382AA02E">
                  <w:pPr>
                    <w:pStyle w:val="6"/>
                    <w:spacing w:before="92" w:line="195" w:lineRule="auto"/>
                    <w:ind w:left="367"/>
                    <w:rPr>
                      <w:sz w:val="21"/>
                      <w:szCs w:val="21"/>
                    </w:rPr>
                  </w:pPr>
                  <w:r>
                    <w:rPr>
                      <w:spacing w:val="-3"/>
                      <w:sz w:val="21"/>
                      <w:szCs w:val="21"/>
                    </w:rPr>
                    <w:t>50m</w:t>
                  </w:r>
                </w:p>
              </w:tc>
              <w:tc>
                <w:tcPr>
                  <w:tcW w:w="1073" w:type="dxa"/>
                  <w:tcBorders>
                    <w:top w:val="single" w:color="000000" w:sz="2" w:space="0"/>
                    <w:bottom w:val="nil"/>
                  </w:tcBorders>
                  <w:vAlign w:val="top"/>
                </w:tcPr>
                <w:p w14:paraId="18000EB7">
                  <w:pPr>
                    <w:pStyle w:val="6"/>
                    <w:spacing w:before="92" w:line="195" w:lineRule="auto"/>
                    <w:ind w:left="319"/>
                    <w:rPr>
                      <w:sz w:val="21"/>
                      <w:szCs w:val="21"/>
                    </w:rPr>
                  </w:pPr>
                  <w:r>
                    <w:rPr>
                      <w:spacing w:val="-5"/>
                      <w:sz w:val="21"/>
                      <w:szCs w:val="21"/>
                    </w:rPr>
                    <w:t>100m</w:t>
                  </w:r>
                </w:p>
              </w:tc>
            </w:tr>
          </w:tbl>
          <w:p w14:paraId="10DE181D">
            <w:pPr>
              <w:spacing w:line="14" w:lineRule="auto"/>
              <w:rPr>
                <w:rFonts w:ascii="Arial"/>
                <w:sz w:val="2"/>
              </w:rPr>
            </w:pPr>
          </w:p>
        </w:tc>
      </w:tr>
      <w:tr w14:paraId="125B6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4" w:hRule="atLeast"/>
        </w:trPr>
        <w:tc>
          <w:tcPr>
            <w:tcW w:w="444" w:type="dxa"/>
            <w:vMerge w:val="continue"/>
            <w:tcBorders>
              <w:top w:val="nil"/>
              <w:bottom w:val="single" w:color="000000" w:sz="8" w:space="0"/>
            </w:tcBorders>
            <w:vAlign w:val="top"/>
          </w:tcPr>
          <w:p w14:paraId="09D603D4">
            <w:pPr>
              <w:rPr>
                <w:rFonts w:ascii="Arial"/>
                <w:sz w:val="21"/>
              </w:rPr>
            </w:pPr>
          </w:p>
        </w:tc>
        <w:tc>
          <w:tcPr>
            <w:tcW w:w="8573" w:type="dxa"/>
            <w:tcBorders>
              <w:bottom w:val="single" w:color="000000" w:sz="8" w:space="0"/>
              <w:right w:val="single" w:color="000000" w:sz="6" w:space="0"/>
            </w:tcBorders>
            <w:vAlign w:val="top"/>
          </w:tcPr>
          <w:p w14:paraId="157C459E">
            <w:pPr>
              <w:spacing w:line="42" w:lineRule="auto"/>
              <w:rPr>
                <w:rFonts w:ascii="Arial"/>
                <w:sz w:val="2"/>
              </w:rPr>
            </w:pPr>
          </w:p>
          <w:tbl>
            <w:tblPr>
              <w:tblStyle w:val="5"/>
              <w:tblW w:w="8339"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3"/>
              <w:gridCol w:w="1059"/>
              <w:gridCol w:w="1069"/>
              <w:gridCol w:w="1078"/>
              <w:gridCol w:w="1078"/>
              <w:gridCol w:w="1069"/>
              <w:gridCol w:w="1073"/>
            </w:tblGrid>
            <w:tr w14:paraId="2DD2D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1913" w:type="dxa"/>
                  <w:tcBorders>
                    <w:top w:val="nil"/>
                  </w:tcBorders>
                  <w:vAlign w:val="top"/>
                </w:tcPr>
                <w:p w14:paraId="33AE9418">
                  <w:pPr>
                    <w:pStyle w:val="6"/>
                    <w:spacing w:before="29" w:line="220" w:lineRule="auto"/>
                    <w:ind w:left="104"/>
                    <w:rPr>
                      <w:sz w:val="21"/>
                      <w:szCs w:val="21"/>
                    </w:rPr>
                  </w:pPr>
                  <w:r>
                    <w:rPr>
                      <w:spacing w:val="-2"/>
                      <w:sz w:val="21"/>
                      <w:szCs w:val="21"/>
                    </w:rPr>
                    <w:t>箱式变压器、逆变</w:t>
                  </w:r>
                </w:p>
                <w:p w14:paraId="0AFA0BDF">
                  <w:pPr>
                    <w:pStyle w:val="6"/>
                    <w:spacing w:before="40" w:line="201" w:lineRule="auto"/>
                    <w:ind w:left="104"/>
                    <w:rPr>
                      <w:sz w:val="21"/>
                      <w:szCs w:val="21"/>
                    </w:rPr>
                  </w:pPr>
                  <w:r>
                    <w:rPr>
                      <w:spacing w:val="-1"/>
                      <w:sz w:val="21"/>
                      <w:szCs w:val="21"/>
                    </w:rPr>
                    <w:t>器不同距离处的贡</w:t>
                  </w:r>
                </w:p>
                <w:p w14:paraId="2B06F453">
                  <w:pPr>
                    <w:pStyle w:val="6"/>
                    <w:spacing w:before="1" w:line="216" w:lineRule="auto"/>
                    <w:ind w:left="734"/>
                    <w:rPr>
                      <w:sz w:val="21"/>
                      <w:szCs w:val="21"/>
                    </w:rPr>
                  </w:pPr>
                  <w:r>
                    <w:rPr>
                      <w:spacing w:val="-3"/>
                      <w:sz w:val="21"/>
                      <w:szCs w:val="21"/>
                    </w:rPr>
                    <w:t>献值</w:t>
                  </w:r>
                </w:p>
              </w:tc>
              <w:tc>
                <w:tcPr>
                  <w:tcW w:w="1059" w:type="dxa"/>
                  <w:tcBorders>
                    <w:top w:val="nil"/>
                  </w:tcBorders>
                  <w:vAlign w:val="top"/>
                </w:tcPr>
                <w:p w14:paraId="10C9DBD5">
                  <w:pPr>
                    <w:spacing w:line="259" w:lineRule="auto"/>
                    <w:rPr>
                      <w:rFonts w:ascii="Arial"/>
                      <w:sz w:val="21"/>
                    </w:rPr>
                  </w:pPr>
                </w:p>
                <w:p w14:paraId="2878B282">
                  <w:pPr>
                    <w:pStyle w:val="6"/>
                    <w:spacing w:before="68" w:line="239" w:lineRule="auto"/>
                    <w:ind w:left="252"/>
                    <w:rPr>
                      <w:sz w:val="21"/>
                      <w:szCs w:val="21"/>
                    </w:rPr>
                  </w:pPr>
                  <w:r>
                    <w:rPr>
                      <w:spacing w:val="-2"/>
                      <w:sz w:val="21"/>
                      <w:szCs w:val="21"/>
                    </w:rPr>
                    <w:t>46.02</w:t>
                  </w:r>
                </w:p>
              </w:tc>
              <w:tc>
                <w:tcPr>
                  <w:tcW w:w="1069" w:type="dxa"/>
                  <w:tcBorders>
                    <w:top w:val="nil"/>
                  </w:tcBorders>
                  <w:vAlign w:val="top"/>
                </w:tcPr>
                <w:p w14:paraId="242CA427">
                  <w:pPr>
                    <w:spacing w:line="259" w:lineRule="auto"/>
                    <w:rPr>
                      <w:rFonts w:ascii="Arial"/>
                      <w:sz w:val="21"/>
                    </w:rPr>
                  </w:pPr>
                </w:p>
                <w:p w14:paraId="228671A8">
                  <w:pPr>
                    <w:pStyle w:val="6"/>
                    <w:spacing w:before="68"/>
                    <w:ind w:left="422"/>
                    <w:rPr>
                      <w:sz w:val="21"/>
                      <w:szCs w:val="21"/>
                    </w:rPr>
                  </w:pPr>
                  <w:r>
                    <w:rPr>
                      <w:spacing w:val="-2"/>
                      <w:sz w:val="21"/>
                      <w:szCs w:val="21"/>
                    </w:rPr>
                    <w:t>40</w:t>
                  </w:r>
                </w:p>
              </w:tc>
              <w:tc>
                <w:tcPr>
                  <w:tcW w:w="1078" w:type="dxa"/>
                  <w:tcBorders>
                    <w:top w:val="nil"/>
                  </w:tcBorders>
                  <w:vAlign w:val="top"/>
                </w:tcPr>
                <w:p w14:paraId="49641BDA">
                  <w:pPr>
                    <w:spacing w:line="259" w:lineRule="auto"/>
                    <w:rPr>
                      <w:rFonts w:ascii="Arial"/>
                      <w:sz w:val="21"/>
                    </w:rPr>
                  </w:pPr>
                </w:p>
                <w:p w14:paraId="4EED5C03">
                  <w:pPr>
                    <w:pStyle w:val="6"/>
                    <w:spacing w:before="68" w:line="239" w:lineRule="auto"/>
                    <w:ind w:left="263"/>
                    <w:rPr>
                      <w:sz w:val="21"/>
                      <w:szCs w:val="21"/>
                    </w:rPr>
                  </w:pPr>
                  <w:r>
                    <w:rPr>
                      <w:spacing w:val="-2"/>
                      <w:sz w:val="21"/>
                      <w:szCs w:val="21"/>
                    </w:rPr>
                    <w:t>33.98</w:t>
                  </w:r>
                </w:p>
              </w:tc>
              <w:tc>
                <w:tcPr>
                  <w:tcW w:w="1078" w:type="dxa"/>
                  <w:tcBorders>
                    <w:top w:val="nil"/>
                  </w:tcBorders>
                  <w:vAlign w:val="top"/>
                </w:tcPr>
                <w:p w14:paraId="3E99CB91">
                  <w:pPr>
                    <w:spacing w:line="259" w:lineRule="auto"/>
                    <w:rPr>
                      <w:rFonts w:ascii="Arial"/>
                      <w:sz w:val="21"/>
                    </w:rPr>
                  </w:pPr>
                </w:p>
                <w:p w14:paraId="1B0238D9">
                  <w:pPr>
                    <w:pStyle w:val="6"/>
                    <w:spacing w:before="68" w:line="239" w:lineRule="auto"/>
                    <w:ind w:left="265"/>
                    <w:rPr>
                      <w:sz w:val="21"/>
                      <w:szCs w:val="21"/>
                    </w:rPr>
                  </w:pPr>
                  <w:r>
                    <w:rPr>
                      <w:spacing w:val="-2"/>
                      <w:sz w:val="21"/>
                      <w:szCs w:val="21"/>
                    </w:rPr>
                    <w:t>30.46</w:t>
                  </w:r>
                </w:p>
              </w:tc>
              <w:tc>
                <w:tcPr>
                  <w:tcW w:w="1069" w:type="dxa"/>
                  <w:tcBorders>
                    <w:top w:val="nil"/>
                  </w:tcBorders>
                  <w:vAlign w:val="top"/>
                </w:tcPr>
                <w:p w14:paraId="44599497">
                  <w:pPr>
                    <w:spacing w:line="259" w:lineRule="auto"/>
                    <w:rPr>
                      <w:rFonts w:ascii="Arial"/>
                      <w:sz w:val="21"/>
                    </w:rPr>
                  </w:pPr>
                </w:p>
                <w:p w14:paraId="2F4CE2A6">
                  <w:pPr>
                    <w:pStyle w:val="6"/>
                    <w:spacing w:before="68" w:line="239" w:lineRule="auto"/>
                    <w:ind w:left="267"/>
                    <w:rPr>
                      <w:sz w:val="21"/>
                      <w:szCs w:val="21"/>
                    </w:rPr>
                  </w:pPr>
                  <w:r>
                    <w:rPr>
                      <w:spacing w:val="-2"/>
                      <w:sz w:val="21"/>
                      <w:szCs w:val="21"/>
                    </w:rPr>
                    <w:t>26.02</w:t>
                  </w:r>
                </w:p>
              </w:tc>
              <w:tc>
                <w:tcPr>
                  <w:tcW w:w="1073" w:type="dxa"/>
                  <w:tcBorders>
                    <w:top w:val="nil"/>
                  </w:tcBorders>
                  <w:vAlign w:val="top"/>
                </w:tcPr>
                <w:p w14:paraId="5F0A949A">
                  <w:pPr>
                    <w:spacing w:line="259" w:lineRule="auto"/>
                    <w:rPr>
                      <w:rFonts w:ascii="Arial"/>
                      <w:sz w:val="21"/>
                    </w:rPr>
                  </w:pPr>
                </w:p>
                <w:p w14:paraId="42B90513">
                  <w:pPr>
                    <w:pStyle w:val="6"/>
                    <w:spacing w:before="68"/>
                    <w:ind w:left="428"/>
                    <w:rPr>
                      <w:sz w:val="21"/>
                      <w:szCs w:val="21"/>
                    </w:rPr>
                  </w:pPr>
                  <w:r>
                    <w:rPr>
                      <w:spacing w:val="-3"/>
                      <w:sz w:val="21"/>
                      <w:szCs w:val="21"/>
                    </w:rPr>
                    <w:t>20</w:t>
                  </w:r>
                </w:p>
              </w:tc>
            </w:tr>
          </w:tbl>
          <w:p w14:paraId="781E9C88">
            <w:pPr>
              <w:pStyle w:val="6"/>
              <w:spacing w:before="160" w:line="354" w:lineRule="auto"/>
              <w:ind w:left="106" w:right="112" w:firstLine="449"/>
              <w:jc w:val="both"/>
            </w:pPr>
            <w:r>
              <w:rPr>
                <w:spacing w:val="8"/>
              </w:rPr>
              <w:t>根据表4-7,昼间箱变噪声在距噪声源5</w:t>
            </w:r>
            <w:r>
              <w:rPr>
                <w:rFonts w:ascii="Times New Roman" w:hAnsi="Times New Roman" w:eastAsia="Times New Roman" w:cs="Times New Roman"/>
                <w:spacing w:val="8"/>
              </w:rPr>
              <w:t>m</w:t>
            </w:r>
            <w:r>
              <w:rPr>
                <w:rFonts w:ascii="Times New Roman" w:hAnsi="Times New Roman" w:eastAsia="Times New Roman" w:cs="Times New Roman"/>
                <w:spacing w:val="40"/>
              </w:rPr>
              <w:t xml:space="preserve"> </w:t>
            </w:r>
            <w:r>
              <w:rPr>
                <w:spacing w:val="8"/>
              </w:rPr>
              <w:t>以外可达到《声环境质量标准》</w:t>
            </w:r>
            <w:r>
              <w:t xml:space="preserve"> </w:t>
            </w:r>
            <w:r>
              <w:rPr>
                <w:spacing w:val="7"/>
              </w:rPr>
              <w:t>(</w:t>
            </w:r>
            <w:r>
              <w:rPr>
                <w:rFonts w:ascii="Times New Roman" w:hAnsi="Times New Roman" w:eastAsia="Times New Roman" w:cs="Times New Roman"/>
              </w:rPr>
              <w:t>GB</w:t>
            </w:r>
            <w:r>
              <w:rPr>
                <w:rFonts w:ascii="Times New Roman" w:hAnsi="Times New Roman" w:eastAsia="Times New Roman" w:cs="Times New Roman"/>
                <w:spacing w:val="7"/>
              </w:rPr>
              <w:t xml:space="preserve">3096-2008)1   </w:t>
            </w:r>
            <w:r>
              <w:rPr>
                <w:spacing w:val="7"/>
              </w:rPr>
              <w:t>类标准，本项目箱式变压器</w:t>
            </w:r>
            <w:r>
              <w:rPr>
                <w:spacing w:val="6"/>
              </w:rPr>
              <w:t>与最近居民点距离为95</w:t>
            </w:r>
            <w:r>
              <w:rPr>
                <w:rFonts w:ascii="Times New Roman" w:hAnsi="Times New Roman" w:eastAsia="Times New Roman" w:cs="Times New Roman"/>
                <w:spacing w:val="6"/>
              </w:rPr>
              <w:t>m</w:t>
            </w:r>
            <w:r>
              <w:rPr>
                <w:rFonts w:ascii="Times New Roman" w:hAnsi="Times New Roman" w:eastAsia="Times New Roman" w:cs="Times New Roman"/>
                <w:spacing w:val="36"/>
              </w:rPr>
              <w:t xml:space="preserve"> </w:t>
            </w:r>
            <w:r>
              <w:rPr>
                <w:rFonts w:ascii="Times New Roman" w:hAnsi="Times New Roman" w:eastAsia="Times New Roman" w:cs="Times New Roman"/>
                <w:spacing w:val="6"/>
              </w:rPr>
              <w:t xml:space="preserve">( </w:t>
            </w:r>
            <w:r>
              <w:rPr>
                <w:spacing w:val="6"/>
              </w:rPr>
              <w:t>上南</w:t>
            </w:r>
            <w:r>
              <w:t xml:space="preserve"> </w:t>
            </w:r>
            <w:r>
              <w:rPr>
                <w:spacing w:val="7"/>
              </w:rPr>
              <w:t>屯),因此光伏片区箱变噪声对周围声环境敏感点产生影响可接</w:t>
            </w:r>
            <w:r>
              <w:rPr>
                <w:spacing w:val="6"/>
              </w:rPr>
              <w:t>受。</w:t>
            </w:r>
          </w:p>
          <w:p w14:paraId="541D8DB4">
            <w:pPr>
              <w:pStyle w:val="6"/>
              <w:spacing w:before="25" w:line="221" w:lineRule="auto"/>
              <w:ind w:left="555"/>
            </w:pPr>
            <w:r>
              <w:rPr>
                <w:spacing w:val="14"/>
              </w:rPr>
              <w:t>2)升压站主变压器</w:t>
            </w:r>
          </w:p>
          <w:p w14:paraId="16A2A3FF">
            <w:pPr>
              <w:pStyle w:val="6"/>
              <w:spacing w:before="171" w:line="219" w:lineRule="auto"/>
              <w:ind w:left="555"/>
            </w:pPr>
            <w:r>
              <w:rPr>
                <w:spacing w:val="1"/>
              </w:rPr>
              <w:t>经预测升压站厂界噪声贡献值见表4-8:</w:t>
            </w:r>
          </w:p>
          <w:p w14:paraId="655C53A5">
            <w:pPr>
              <w:pStyle w:val="6"/>
              <w:spacing w:before="136" w:line="212" w:lineRule="auto"/>
              <w:ind w:left="1435"/>
              <w:rPr>
                <w:rFonts w:ascii="Times New Roman" w:hAnsi="Times New Roman" w:eastAsia="Times New Roman" w:cs="Times New Roman"/>
                <w:sz w:val="26"/>
                <w:szCs w:val="26"/>
              </w:rPr>
            </w:pPr>
            <w:r>
              <w:rPr>
                <w:spacing w:val="-11"/>
                <w:sz w:val="26"/>
                <w:szCs w:val="26"/>
              </w:rPr>
              <w:t>表4-8</w:t>
            </w:r>
            <w:r>
              <w:rPr>
                <w:spacing w:val="59"/>
                <w:sz w:val="26"/>
                <w:szCs w:val="26"/>
              </w:rPr>
              <w:t xml:space="preserve"> </w:t>
            </w:r>
            <w:r>
              <w:rPr>
                <w:spacing w:val="-11"/>
                <w:sz w:val="26"/>
                <w:szCs w:val="26"/>
              </w:rPr>
              <w:t>升压站厂界噪声预测贡献值</w:t>
            </w:r>
            <w:r>
              <w:rPr>
                <w:spacing w:val="101"/>
                <w:sz w:val="26"/>
                <w:szCs w:val="26"/>
              </w:rPr>
              <w:t xml:space="preserve"> </w:t>
            </w:r>
            <w:r>
              <w:rPr>
                <w:spacing w:val="-11"/>
                <w:sz w:val="26"/>
                <w:szCs w:val="26"/>
              </w:rPr>
              <w:t>单位：</w:t>
            </w:r>
            <w:r>
              <w:rPr>
                <w:rFonts w:ascii="Times New Roman" w:hAnsi="Times New Roman" w:eastAsia="Times New Roman" w:cs="Times New Roman"/>
                <w:spacing w:val="-12"/>
                <w:sz w:val="26"/>
                <w:szCs w:val="26"/>
              </w:rPr>
              <w:t>dB  (A)</w:t>
            </w:r>
          </w:p>
        </w:tc>
      </w:tr>
    </w:tbl>
    <w:p w14:paraId="1CF93D43">
      <w:pPr>
        <w:pStyle w:val="2"/>
      </w:pPr>
    </w:p>
    <w:p w14:paraId="2E87748C">
      <w:pPr>
        <w:sectPr>
          <w:footerReference r:id="rId101" w:type="default"/>
          <w:pgSz w:w="11910" w:h="16840"/>
          <w:pgMar w:top="1431" w:right="1470" w:bottom="1269" w:left="1410" w:header="0" w:footer="1089" w:gutter="0"/>
          <w:cols w:space="720" w:num="1"/>
        </w:sectPr>
      </w:pPr>
    </w:p>
    <w:p w14:paraId="293A5BF4">
      <w:pPr>
        <w:spacing w:line="93" w:lineRule="exact"/>
      </w:pPr>
    </w:p>
    <w:tbl>
      <w:tblPr>
        <w:tblStyle w:val="5"/>
        <w:tblW w:w="8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4"/>
        <w:gridCol w:w="140"/>
        <w:gridCol w:w="1518"/>
        <w:gridCol w:w="999"/>
        <w:gridCol w:w="1019"/>
        <w:gridCol w:w="1538"/>
        <w:gridCol w:w="859"/>
        <w:gridCol w:w="1189"/>
        <w:gridCol w:w="215"/>
        <w:gridCol w:w="964"/>
        <w:gridCol w:w="115"/>
      </w:tblGrid>
      <w:tr w14:paraId="150A5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404" w:type="dxa"/>
            <w:vMerge w:val="restart"/>
            <w:tcBorders>
              <w:bottom w:val="nil"/>
            </w:tcBorders>
            <w:vAlign w:val="top"/>
          </w:tcPr>
          <w:p w14:paraId="0755C7C5">
            <w:pPr>
              <w:rPr>
                <w:rFonts w:ascii="Arial"/>
                <w:sz w:val="21"/>
              </w:rPr>
            </w:pPr>
          </w:p>
        </w:tc>
        <w:tc>
          <w:tcPr>
            <w:tcW w:w="140" w:type="dxa"/>
            <w:tcBorders>
              <w:bottom w:val="nil"/>
            </w:tcBorders>
            <w:vAlign w:val="top"/>
          </w:tcPr>
          <w:p w14:paraId="4D5D070B">
            <w:pPr>
              <w:rPr>
                <w:rFonts w:ascii="Arial"/>
                <w:sz w:val="21"/>
              </w:rPr>
            </w:pPr>
          </w:p>
        </w:tc>
        <w:tc>
          <w:tcPr>
            <w:tcW w:w="1518" w:type="dxa"/>
            <w:vMerge w:val="restart"/>
            <w:tcBorders>
              <w:bottom w:val="nil"/>
            </w:tcBorders>
            <w:vAlign w:val="top"/>
          </w:tcPr>
          <w:p w14:paraId="783274C0">
            <w:pPr>
              <w:pStyle w:val="6"/>
              <w:spacing w:before="156" w:line="220" w:lineRule="auto"/>
              <w:ind w:left="370"/>
              <w:rPr>
                <w:sz w:val="25"/>
                <w:szCs w:val="25"/>
              </w:rPr>
            </w:pPr>
            <w:r>
              <w:rPr>
                <w:spacing w:val="7"/>
                <w:sz w:val="25"/>
                <w:szCs w:val="25"/>
              </w:rPr>
              <w:t>预测点</w:t>
            </w:r>
          </w:p>
        </w:tc>
        <w:tc>
          <w:tcPr>
            <w:tcW w:w="3556" w:type="dxa"/>
            <w:gridSpan w:val="3"/>
            <w:vAlign w:val="top"/>
          </w:tcPr>
          <w:p w14:paraId="24D3ACEC">
            <w:pPr>
              <w:pStyle w:val="6"/>
              <w:spacing w:before="28" w:line="165" w:lineRule="auto"/>
              <w:ind w:left="1552"/>
              <w:rPr>
                <w:sz w:val="25"/>
                <w:szCs w:val="25"/>
              </w:rPr>
            </w:pPr>
            <w:r>
              <w:rPr>
                <w:spacing w:val="12"/>
                <w:sz w:val="25"/>
                <w:szCs w:val="25"/>
              </w:rPr>
              <w:t>昼间</w:t>
            </w:r>
          </w:p>
        </w:tc>
        <w:tc>
          <w:tcPr>
            <w:tcW w:w="3227" w:type="dxa"/>
            <w:gridSpan w:val="4"/>
            <w:vAlign w:val="top"/>
          </w:tcPr>
          <w:p w14:paraId="014C3510">
            <w:pPr>
              <w:pStyle w:val="6"/>
              <w:spacing w:before="24" w:line="168" w:lineRule="auto"/>
              <w:ind w:left="1396"/>
              <w:rPr>
                <w:sz w:val="25"/>
                <w:szCs w:val="25"/>
              </w:rPr>
            </w:pPr>
            <w:r>
              <w:rPr>
                <w:spacing w:val="12"/>
                <w:sz w:val="25"/>
                <w:szCs w:val="25"/>
              </w:rPr>
              <w:t>夜间</w:t>
            </w:r>
          </w:p>
        </w:tc>
        <w:tc>
          <w:tcPr>
            <w:tcW w:w="115" w:type="dxa"/>
            <w:tcBorders>
              <w:bottom w:val="nil"/>
            </w:tcBorders>
            <w:vAlign w:val="top"/>
          </w:tcPr>
          <w:p w14:paraId="38D10AF8">
            <w:pPr>
              <w:rPr>
                <w:rFonts w:ascii="Arial"/>
                <w:sz w:val="21"/>
              </w:rPr>
            </w:pPr>
          </w:p>
        </w:tc>
      </w:tr>
      <w:tr w14:paraId="4285B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04" w:type="dxa"/>
            <w:vMerge w:val="continue"/>
            <w:tcBorders>
              <w:top w:val="nil"/>
              <w:bottom w:val="nil"/>
            </w:tcBorders>
            <w:vAlign w:val="top"/>
          </w:tcPr>
          <w:p w14:paraId="78A04091">
            <w:pPr>
              <w:rPr>
                <w:rFonts w:ascii="Arial"/>
                <w:sz w:val="21"/>
              </w:rPr>
            </w:pPr>
          </w:p>
        </w:tc>
        <w:tc>
          <w:tcPr>
            <w:tcW w:w="140" w:type="dxa"/>
            <w:tcBorders>
              <w:top w:val="nil"/>
              <w:bottom w:val="nil"/>
            </w:tcBorders>
            <w:vAlign w:val="top"/>
          </w:tcPr>
          <w:p w14:paraId="198AEF43">
            <w:pPr>
              <w:rPr>
                <w:rFonts w:ascii="Arial"/>
                <w:sz w:val="21"/>
              </w:rPr>
            </w:pPr>
          </w:p>
        </w:tc>
        <w:tc>
          <w:tcPr>
            <w:tcW w:w="1518" w:type="dxa"/>
            <w:vMerge w:val="continue"/>
            <w:tcBorders>
              <w:top w:val="nil"/>
            </w:tcBorders>
            <w:vAlign w:val="top"/>
          </w:tcPr>
          <w:p w14:paraId="2643F1E7">
            <w:pPr>
              <w:rPr>
                <w:rFonts w:ascii="Arial"/>
                <w:sz w:val="21"/>
              </w:rPr>
            </w:pPr>
          </w:p>
        </w:tc>
        <w:tc>
          <w:tcPr>
            <w:tcW w:w="999" w:type="dxa"/>
            <w:vAlign w:val="top"/>
          </w:tcPr>
          <w:p w14:paraId="35F3A54D">
            <w:pPr>
              <w:pStyle w:val="6"/>
              <w:spacing w:before="22" w:line="184" w:lineRule="auto"/>
              <w:ind w:left="172"/>
              <w:rPr>
                <w:sz w:val="25"/>
                <w:szCs w:val="25"/>
              </w:rPr>
            </w:pPr>
            <w:r>
              <w:rPr>
                <w:spacing w:val="3"/>
                <w:sz w:val="25"/>
                <w:szCs w:val="25"/>
              </w:rPr>
              <w:t>贡献值</w:t>
            </w:r>
          </w:p>
        </w:tc>
        <w:tc>
          <w:tcPr>
            <w:tcW w:w="1019" w:type="dxa"/>
            <w:vAlign w:val="top"/>
          </w:tcPr>
          <w:p w14:paraId="523DD2F0">
            <w:pPr>
              <w:pStyle w:val="6"/>
              <w:spacing w:before="22" w:line="184" w:lineRule="auto"/>
              <w:ind w:left="123"/>
              <w:rPr>
                <w:sz w:val="25"/>
                <w:szCs w:val="25"/>
              </w:rPr>
            </w:pPr>
            <w:r>
              <w:rPr>
                <w:spacing w:val="3"/>
                <w:sz w:val="25"/>
                <w:szCs w:val="25"/>
              </w:rPr>
              <w:t>标准值</w:t>
            </w:r>
          </w:p>
        </w:tc>
        <w:tc>
          <w:tcPr>
            <w:tcW w:w="1538" w:type="dxa"/>
            <w:vAlign w:val="top"/>
          </w:tcPr>
          <w:p w14:paraId="5E80982F">
            <w:pPr>
              <w:pStyle w:val="6"/>
              <w:spacing w:before="24" w:line="183" w:lineRule="auto"/>
              <w:ind w:left="265"/>
              <w:rPr>
                <w:sz w:val="25"/>
                <w:szCs w:val="25"/>
              </w:rPr>
            </w:pPr>
            <w:r>
              <w:rPr>
                <w:spacing w:val="-2"/>
                <w:sz w:val="25"/>
                <w:szCs w:val="25"/>
              </w:rPr>
              <w:t>达标情况</w:t>
            </w:r>
          </w:p>
        </w:tc>
        <w:tc>
          <w:tcPr>
            <w:tcW w:w="859" w:type="dxa"/>
            <w:vAlign w:val="top"/>
          </w:tcPr>
          <w:p w14:paraId="28DAB22D">
            <w:pPr>
              <w:pStyle w:val="6"/>
              <w:spacing w:before="22" w:line="184" w:lineRule="auto"/>
              <w:jc w:val="right"/>
              <w:rPr>
                <w:sz w:val="25"/>
                <w:szCs w:val="25"/>
              </w:rPr>
            </w:pPr>
            <w:r>
              <w:rPr>
                <w:spacing w:val="-3"/>
                <w:sz w:val="25"/>
                <w:szCs w:val="25"/>
              </w:rPr>
              <w:t>贡献值</w:t>
            </w:r>
          </w:p>
        </w:tc>
        <w:tc>
          <w:tcPr>
            <w:tcW w:w="1189" w:type="dxa"/>
            <w:vAlign w:val="top"/>
          </w:tcPr>
          <w:p w14:paraId="30FA2820">
            <w:pPr>
              <w:pStyle w:val="6"/>
              <w:spacing w:before="22" w:line="184" w:lineRule="auto"/>
              <w:ind w:left="217"/>
              <w:rPr>
                <w:sz w:val="25"/>
                <w:szCs w:val="25"/>
              </w:rPr>
            </w:pPr>
            <w:r>
              <w:rPr>
                <w:spacing w:val="3"/>
                <w:sz w:val="25"/>
                <w:szCs w:val="25"/>
              </w:rPr>
              <w:t>标准值</w:t>
            </w:r>
          </w:p>
        </w:tc>
        <w:tc>
          <w:tcPr>
            <w:tcW w:w="1179" w:type="dxa"/>
            <w:gridSpan w:val="2"/>
            <w:vAlign w:val="top"/>
          </w:tcPr>
          <w:p w14:paraId="66343DC4">
            <w:pPr>
              <w:pStyle w:val="6"/>
              <w:spacing w:before="24" w:line="183" w:lineRule="auto"/>
              <w:ind w:left="88"/>
              <w:rPr>
                <w:sz w:val="25"/>
                <w:szCs w:val="25"/>
              </w:rPr>
            </w:pPr>
            <w:r>
              <w:rPr>
                <w:spacing w:val="-2"/>
                <w:sz w:val="25"/>
                <w:szCs w:val="25"/>
              </w:rPr>
              <w:t>达标情况</w:t>
            </w:r>
          </w:p>
        </w:tc>
        <w:tc>
          <w:tcPr>
            <w:tcW w:w="115" w:type="dxa"/>
            <w:tcBorders>
              <w:top w:val="nil"/>
              <w:bottom w:val="nil"/>
            </w:tcBorders>
            <w:vAlign w:val="top"/>
          </w:tcPr>
          <w:p w14:paraId="4C08AADE">
            <w:pPr>
              <w:rPr>
                <w:rFonts w:ascii="Arial"/>
                <w:sz w:val="21"/>
              </w:rPr>
            </w:pPr>
          </w:p>
        </w:tc>
      </w:tr>
      <w:tr w14:paraId="3149A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04" w:type="dxa"/>
            <w:vMerge w:val="continue"/>
            <w:tcBorders>
              <w:top w:val="nil"/>
              <w:bottom w:val="nil"/>
            </w:tcBorders>
            <w:vAlign w:val="top"/>
          </w:tcPr>
          <w:p w14:paraId="516CDCD4">
            <w:pPr>
              <w:rPr>
                <w:rFonts w:ascii="Arial"/>
                <w:sz w:val="21"/>
              </w:rPr>
            </w:pPr>
          </w:p>
        </w:tc>
        <w:tc>
          <w:tcPr>
            <w:tcW w:w="140" w:type="dxa"/>
            <w:tcBorders>
              <w:top w:val="nil"/>
              <w:bottom w:val="nil"/>
            </w:tcBorders>
            <w:vAlign w:val="top"/>
          </w:tcPr>
          <w:p w14:paraId="06104280">
            <w:pPr>
              <w:rPr>
                <w:rFonts w:ascii="Arial"/>
                <w:sz w:val="21"/>
              </w:rPr>
            </w:pPr>
          </w:p>
        </w:tc>
        <w:tc>
          <w:tcPr>
            <w:tcW w:w="1518" w:type="dxa"/>
            <w:vAlign w:val="top"/>
          </w:tcPr>
          <w:p w14:paraId="40A43110">
            <w:pPr>
              <w:pStyle w:val="6"/>
              <w:spacing w:before="21" w:line="191" w:lineRule="auto"/>
              <w:jc w:val="right"/>
              <w:rPr>
                <w:sz w:val="25"/>
                <w:szCs w:val="25"/>
              </w:rPr>
            </w:pPr>
            <w:r>
              <w:rPr>
                <w:spacing w:val="-1"/>
                <w:sz w:val="25"/>
                <w:szCs w:val="25"/>
              </w:rPr>
              <w:t>升压站北厂界</w:t>
            </w:r>
          </w:p>
        </w:tc>
        <w:tc>
          <w:tcPr>
            <w:tcW w:w="999" w:type="dxa"/>
            <w:vAlign w:val="top"/>
          </w:tcPr>
          <w:p w14:paraId="6A1309F1">
            <w:pPr>
              <w:pStyle w:val="6"/>
              <w:spacing w:before="45" w:line="173" w:lineRule="auto"/>
              <w:ind w:left="302"/>
              <w:rPr>
                <w:sz w:val="25"/>
                <w:szCs w:val="25"/>
              </w:rPr>
            </w:pPr>
            <w:r>
              <w:rPr>
                <w:spacing w:val="-3"/>
                <w:sz w:val="25"/>
                <w:szCs w:val="25"/>
              </w:rPr>
              <w:t>28.78</w:t>
            </w:r>
          </w:p>
        </w:tc>
        <w:tc>
          <w:tcPr>
            <w:tcW w:w="1019" w:type="dxa"/>
            <w:vAlign w:val="top"/>
          </w:tcPr>
          <w:p w14:paraId="1DBC0ACF">
            <w:pPr>
              <w:pStyle w:val="6"/>
              <w:spacing w:before="45" w:line="173" w:lineRule="auto"/>
              <w:ind w:left="373"/>
              <w:rPr>
                <w:sz w:val="25"/>
                <w:szCs w:val="25"/>
              </w:rPr>
            </w:pPr>
            <w:r>
              <w:rPr>
                <w:spacing w:val="-4"/>
                <w:sz w:val="25"/>
                <w:szCs w:val="25"/>
              </w:rPr>
              <w:t>55</w:t>
            </w:r>
          </w:p>
        </w:tc>
        <w:tc>
          <w:tcPr>
            <w:tcW w:w="1538" w:type="dxa"/>
            <w:vAlign w:val="top"/>
          </w:tcPr>
          <w:p w14:paraId="43096181">
            <w:pPr>
              <w:pStyle w:val="6"/>
              <w:spacing w:before="21" w:line="191" w:lineRule="auto"/>
              <w:ind w:left="514"/>
              <w:rPr>
                <w:sz w:val="25"/>
                <w:szCs w:val="25"/>
              </w:rPr>
            </w:pPr>
            <w:r>
              <w:rPr>
                <w:spacing w:val="-3"/>
                <w:sz w:val="25"/>
                <w:szCs w:val="25"/>
              </w:rPr>
              <w:t>达标</w:t>
            </w:r>
          </w:p>
        </w:tc>
        <w:tc>
          <w:tcPr>
            <w:tcW w:w="859" w:type="dxa"/>
            <w:vAlign w:val="top"/>
          </w:tcPr>
          <w:p w14:paraId="07DD4A91">
            <w:pPr>
              <w:pStyle w:val="6"/>
              <w:spacing w:before="45" w:line="173" w:lineRule="auto"/>
              <w:ind w:left="146"/>
              <w:rPr>
                <w:sz w:val="25"/>
                <w:szCs w:val="25"/>
              </w:rPr>
            </w:pPr>
            <w:r>
              <w:rPr>
                <w:spacing w:val="-3"/>
                <w:sz w:val="25"/>
                <w:szCs w:val="25"/>
              </w:rPr>
              <w:t>28.59</w:t>
            </w:r>
          </w:p>
        </w:tc>
        <w:tc>
          <w:tcPr>
            <w:tcW w:w="1189" w:type="dxa"/>
            <w:vAlign w:val="top"/>
          </w:tcPr>
          <w:p w14:paraId="302D696C">
            <w:pPr>
              <w:pStyle w:val="6"/>
              <w:spacing w:before="45" w:line="173" w:lineRule="auto"/>
              <w:ind w:left="467"/>
              <w:rPr>
                <w:sz w:val="25"/>
                <w:szCs w:val="25"/>
              </w:rPr>
            </w:pPr>
            <w:r>
              <w:rPr>
                <w:spacing w:val="-3"/>
                <w:sz w:val="25"/>
                <w:szCs w:val="25"/>
              </w:rPr>
              <w:t>45</w:t>
            </w:r>
          </w:p>
        </w:tc>
        <w:tc>
          <w:tcPr>
            <w:tcW w:w="1179" w:type="dxa"/>
            <w:gridSpan w:val="2"/>
            <w:vAlign w:val="top"/>
          </w:tcPr>
          <w:p w14:paraId="207F9A47">
            <w:pPr>
              <w:pStyle w:val="6"/>
              <w:spacing w:before="21" w:line="191" w:lineRule="auto"/>
              <w:ind w:left="338"/>
              <w:rPr>
                <w:sz w:val="25"/>
                <w:szCs w:val="25"/>
              </w:rPr>
            </w:pPr>
            <w:r>
              <w:rPr>
                <w:spacing w:val="-3"/>
                <w:sz w:val="25"/>
                <w:szCs w:val="25"/>
              </w:rPr>
              <w:t>达标</w:t>
            </w:r>
          </w:p>
        </w:tc>
        <w:tc>
          <w:tcPr>
            <w:tcW w:w="115" w:type="dxa"/>
            <w:tcBorders>
              <w:top w:val="nil"/>
              <w:bottom w:val="nil"/>
            </w:tcBorders>
            <w:vAlign w:val="top"/>
          </w:tcPr>
          <w:p w14:paraId="1B19CB64">
            <w:pPr>
              <w:rPr>
                <w:rFonts w:ascii="Arial"/>
                <w:sz w:val="21"/>
              </w:rPr>
            </w:pPr>
          </w:p>
        </w:tc>
      </w:tr>
      <w:tr w14:paraId="7EDFB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4" w:type="dxa"/>
            <w:vMerge w:val="continue"/>
            <w:tcBorders>
              <w:top w:val="nil"/>
              <w:bottom w:val="nil"/>
            </w:tcBorders>
            <w:vAlign w:val="top"/>
          </w:tcPr>
          <w:p w14:paraId="0FF1CB2F">
            <w:pPr>
              <w:rPr>
                <w:rFonts w:ascii="Arial"/>
                <w:sz w:val="21"/>
              </w:rPr>
            </w:pPr>
          </w:p>
        </w:tc>
        <w:tc>
          <w:tcPr>
            <w:tcW w:w="140" w:type="dxa"/>
            <w:tcBorders>
              <w:top w:val="nil"/>
              <w:bottom w:val="nil"/>
            </w:tcBorders>
            <w:vAlign w:val="top"/>
          </w:tcPr>
          <w:p w14:paraId="352349E7">
            <w:pPr>
              <w:rPr>
                <w:rFonts w:ascii="Arial"/>
                <w:sz w:val="21"/>
              </w:rPr>
            </w:pPr>
          </w:p>
        </w:tc>
        <w:tc>
          <w:tcPr>
            <w:tcW w:w="1518" w:type="dxa"/>
            <w:vAlign w:val="top"/>
          </w:tcPr>
          <w:p w14:paraId="45FCC304">
            <w:pPr>
              <w:pStyle w:val="6"/>
              <w:spacing w:before="21" w:line="169" w:lineRule="auto"/>
              <w:jc w:val="right"/>
              <w:rPr>
                <w:sz w:val="25"/>
                <w:szCs w:val="25"/>
              </w:rPr>
            </w:pPr>
            <w:r>
              <w:rPr>
                <w:spacing w:val="-1"/>
                <w:sz w:val="25"/>
                <w:szCs w:val="25"/>
              </w:rPr>
              <w:t>升压站东厂界</w:t>
            </w:r>
          </w:p>
        </w:tc>
        <w:tc>
          <w:tcPr>
            <w:tcW w:w="999" w:type="dxa"/>
            <w:vAlign w:val="top"/>
          </w:tcPr>
          <w:p w14:paraId="5A6F2504">
            <w:pPr>
              <w:pStyle w:val="6"/>
              <w:spacing w:before="46" w:line="203" w:lineRule="exact"/>
              <w:ind w:left="302"/>
              <w:rPr>
                <w:sz w:val="25"/>
                <w:szCs w:val="25"/>
              </w:rPr>
            </w:pPr>
            <w:r>
              <w:rPr>
                <w:spacing w:val="-3"/>
                <w:position w:val="-3"/>
                <w:sz w:val="25"/>
                <w:szCs w:val="25"/>
              </w:rPr>
              <w:t>28.93</w:t>
            </w:r>
          </w:p>
        </w:tc>
        <w:tc>
          <w:tcPr>
            <w:tcW w:w="1019" w:type="dxa"/>
            <w:vAlign w:val="top"/>
          </w:tcPr>
          <w:p w14:paraId="0A9F0F4A">
            <w:pPr>
              <w:pStyle w:val="6"/>
              <w:spacing w:before="46" w:line="203" w:lineRule="exact"/>
              <w:ind w:left="373"/>
              <w:rPr>
                <w:sz w:val="25"/>
                <w:szCs w:val="25"/>
              </w:rPr>
            </w:pPr>
            <w:r>
              <w:rPr>
                <w:spacing w:val="-4"/>
                <w:position w:val="-3"/>
                <w:sz w:val="25"/>
                <w:szCs w:val="25"/>
              </w:rPr>
              <w:t>55</w:t>
            </w:r>
          </w:p>
        </w:tc>
        <w:tc>
          <w:tcPr>
            <w:tcW w:w="1538" w:type="dxa"/>
            <w:vAlign w:val="top"/>
          </w:tcPr>
          <w:p w14:paraId="368BDA6B">
            <w:pPr>
              <w:pStyle w:val="6"/>
              <w:spacing w:before="22" w:line="168" w:lineRule="auto"/>
              <w:ind w:left="514"/>
              <w:rPr>
                <w:sz w:val="25"/>
                <w:szCs w:val="25"/>
              </w:rPr>
            </w:pPr>
            <w:r>
              <w:rPr>
                <w:spacing w:val="-3"/>
                <w:sz w:val="25"/>
                <w:szCs w:val="25"/>
              </w:rPr>
              <w:t>达标</w:t>
            </w:r>
          </w:p>
        </w:tc>
        <w:tc>
          <w:tcPr>
            <w:tcW w:w="859" w:type="dxa"/>
            <w:vAlign w:val="top"/>
          </w:tcPr>
          <w:p w14:paraId="4667D578">
            <w:pPr>
              <w:pStyle w:val="6"/>
              <w:spacing w:before="46" w:line="203" w:lineRule="exact"/>
              <w:ind w:left="146"/>
              <w:rPr>
                <w:sz w:val="25"/>
                <w:szCs w:val="25"/>
              </w:rPr>
            </w:pPr>
            <w:r>
              <w:rPr>
                <w:spacing w:val="-3"/>
                <w:position w:val="-3"/>
                <w:sz w:val="25"/>
                <w:szCs w:val="25"/>
              </w:rPr>
              <w:t>28.76</w:t>
            </w:r>
          </w:p>
        </w:tc>
        <w:tc>
          <w:tcPr>
            <w:tcW w:w="1189" w:type="dxa"/>
            <w:vAlign w:val="top"/>
          </w:tcPr>
          <w:p w14:paraId="7E6490FC">
            <w:pPr>
              <w:pStyle w:val="6"/>
              <w:spacing w:before="46" w:line="203" w:lineRule="exact"/>
              <w:ind w:left="467"/>
              <w:rPr>
                <w:sz w:val="25"/>
                <w:szCs w:val="25"/>
              </w:rPr>
            </w:pPr>
            <w:r>
              <w:rPr>
                <w:spacing w:val="-3"/>
                <w:position w:val="-3"/>
                <w:sz w:val="25"/>
                <w:szCs w:val="25"/>
              </w:rPr>
              <w:t>45</w:t>
            </w:r>
          </w:p>
        </w:tc>
        <w:tc>
          <w:tcPr>
            <w:tcW w:w="1179" w:type="dxa"/>
            <w:gridSpan w:val="2"/>
            <w:vAlign w:val="top"/>
          </w:tcPr>
          <w:p w14:paraId="6AF159D2">
            <w:pPr>
              <w:pStyle w:val="6"/>
              <w:spacing w:before="22" w:line="168" w:lineRule="auto"/>
              <w:ind w:left="338"/>
              <w:rPr>
                <w:sz w:val="25"/>
                <w:szCs w:val="25"/>
              </w:rPr>
            </w:pPr>
            <w:r>
              <w:rPr>
                <w:spacing w:val="-3"/>
                <w:sz w:val="25"/>
                <w:szCs w:val="25"/>
              </w:rPr>
              <w:t>达标</w:t>
            </w:r>
          </w:p>
        </w:tc>
        <w:tc>
          <w:tcPr>
            <w:tcW w:w="115" w:type="dxa"/>
            <w:tcBorders>
              <w:top w:val="nil"/>
              <w:bottom w:val="nil"/>
            </w:tcBorders>
            <w:vAlign w:val="top"/>
          </w:tcPr>
          <w:p w14:paraId="2F212835">
            <w:pPr>
              <w:rPr>
                <w:rFonts w:ascii="Arial"/>
                <w:sz w:val="21"/>
              </w:rPr>
            </w:pPr>
          </w:p>
        </w:tc>
      </w:tr>
      <w:tr w14:paraId="76B6A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04" w:type="dxa"/>
            <w:vMerge w:val="continue"/>
            <w:tcBorders>
              <w:top w:val="nil"/>
              <w:bottom w:val="nil"/>
            </w:tcBorders>
            <w:vAlign w:val="top"/>
          </w:tcPr>
          <w:p w14:paraId="5845BC46">
            <w:pPr>
              <w:rPr>
                <w:rFonts w:ascii="Arial"/>
                <w:sz w:val="21"/>
              </w:rPr>
            </w:pPr>
          </w:p>
        </w:tc>
        <w:tc>
          <w:tcPr>
            <w:tcW w:w="140" w:type="dxa"/>
            <w:tcBorders>
              <w:top w:val="nil"/>
              <w:bottom w:val="nil"/>
            </w:tcBorders>
            <w:vAlign w:val="top"/>
          </w:tcPr>
          <w:p w14:paraId="1836710B">
            <w:pPr>
              <w:rPr>
                <w:rFonts w:ascii="Arial"/>
                <w:sz w:val="21"/>
              </w:rPr>
            </w:pPr>
          </w:p>
        </w:tc>
        <w:tc>
          <w:tcPr>
            <w:tcW w:w="1518" w:type="dxa"/>
            <w:vAlign w:val="top"/>
          </w:tcPr>
          <w:p w14:paraId="772FF596">
            <w:pPr>
              <w:pStyle w:val="6"/>
              <w:spacing w:before="22" w:line="183" w:lineRule="auto"/>
              <w:jc w:val="right"/>
              <w:rPr>
                <w:sz w:val="25"/>
                <w:szCs w:val="25"/>
              </w:rPr>
            </w:pPr>
            <w:r>
              <w:rPr>
                <w:spacing w:val="-1"/>
                <w:sz w:val="25"/>
                <w:szCs w:val="25"/>
              </w:rPr>
              <w:t>升压站南厂界</w:t>
            </w:r>
          </w:p>
        </w:tc>
        <w:tc>
          <w:tcPr>
            <w:tcW w:w="999" w:type="dxa"/>
            <w:vAlign w:val="top"/>
          </w:tcPr>
          <w:p w14:paraId="7A3884DC">
            <w:pPr>
              <w:pStyle w:val="6"/>
              <w:spacing w:before="46" w:line="165" w:lineRule="auto"/>
              <w:ind w:left="302"/>
              <w:rPr>
                <w:sz w:val="25"/>
                <w:szCs w:val="25"/>
              </w:rPr>
            </w:pPr>
            <w:r>
              <w:rPr>
                <w:spacing w:val="-3"/>
                <w:sz w:val="25"/>
                <w:szCs w:val="25"/>
              </w:rPr>
              <w:t>30.85</w:t>
            </w:r>
          </w:p>
        </w:tc>
        <w:tc>
          <w:tcPr>
            <w:tcW w:w="1019" w:type="dxa"/>
            <w:vAlign w:val="top"/>
          </w:tcPr>
          <w:p w14:paraId="55F34230">
            <w:pPr>
              <w:pStyle w:val="6"/>
              <w:spacing w:before="46" w:line="165" w:lineRule="auto"/>
              <w:ind w:left="373"/>
              <w:rPr>
                <w:sz w:val="25"/>
                <w:szCs w:val="25"/>
              </w:rPr>
            </w:pPr>
            <w:r>
              <w:rPr>
                <w:spacing w:val="-4"/>
                <w:sz w:val="25"/>
                <w:szCs w:val="25"/>
              </w:rPr>
              <w:t>55</w:t>
            </w:r>
          </w:p>
        </w:tc>
        <w:tc>
          <w:tcPr>
            <w:tcW w:w="1538" w:type="dxa"/>
            <w:vAlign w:val="top"/>
          </w:tcPr>
          <w:p w14:paraId="3F41ADBC">
            <w:pPr>
              <w:pStyle w:val="6"/>
              <w:spacing w:before="22" w:line="183" w:lineRule="auto"/>
              <w:ind w:left="514"/>
              <w:rPr>
                <w:sz w:val="25"/>
                <w:szCs w:val="25"/>
              </w:rPr>
            </w:pPr>
            <w:r>
              <w:rPr>
                <w:spacing w:val="-3"/>
                <w:sz w:val="25"/>
                <w:szCs w:val="25"/>
              </w:rPr>
              <w:t>达标</w:t>
            </w:r>
          </w:p>
        </w:tc>
        <w:tc>
          <w:tcPr>
            <w:tcW w:w="859" w:type="dxa"/>
            <w:vAlign w:val="top"/>
          </w:tcPr>
          <w:p w14:paraId="3CECEE50">
            <w:pPr>
              <w:pStyle w:val="6"/>
              <w:spacing w:before="46" w:line="165" w:lineRule="auto"/>
              <w:ind w:left="146"/>
              <w:rPr>
                <w:sz w:val="25"/>
                <w:szCs w:val="25"/>
              </w:rPr>
            </w:pPr>
            <w:r>
              <w:rPr>
                <w:spacing w:val="-3"/>
                <w:sz w:val="25"/>
                <w:szCs w:val="25"/>
              </w:rPr>
              <w:t>30.55</w:t>
            </w:r>
          </w:p>
        </w:tc>
        <w:tc>
          <w:tcPr>
            <w:tcW w:w="1189" w:type="dxa"/>
            <w:vAlign w:val="top"/>
          </w:tcPr>
          <w:p w14:paraId="17CD78F9">
            <w:pPr>
              <w:pStyle w:val="6"/>
              <w:spacing w:before="46" w:line="165" w:lineRule="auto"/>
              <w:ind w:left="467"/>
              <w:rPr>
                <w:sz w:val="25"/>
                <w:szCs w:val="25"/>
              </w:rPr>
            </w:pPr>
            <w:r>
              <w:rPr>
                <w:spacing w:val="-3"/>
                <w:sz w:val="25"/>
                <w:szCs w:val="25"/>
              </w:rPr>
              <w:t>45</w:t>
            </w:r>
          </w:p>
        </w:tc>
        <w:tc>
          <w:tcPr>
            <w:tcW w:w="1179" w:type="dxa"/>
            <w:gridSpan w:val="2"/>
            <w:vAlign w:val="top"/>
          </w:tcPr>
          <w:p w14:paraId="52DE219E">
            <w:pPr>
              <w:pStyle w:val="6"/>
              <w:spacing w:before="22" w:line="183" w:lineRule="auto"/>
              <w:ind w:left="338"/>
              <w:rPr>
                <w:sz w:val="25"/>
                <w:szCs w:val="25"/>
              </w:rPr>
            </w:pPr>
            <w:r>
              <w:rPr>
                <w:spacing w:val="-3"/>
                <w:sz w:val="25"/>
                <w:szCs w:val="25"/>
              </w:rPr>
              <w:t>达标</w:t>
            </w:r>
          </w:p>
        </w:tc>
        <w:tc>
          <w:tcPr>
            <w:tcW w:w="115" w:type="dxa"/>
            <w:tcBorders>
              <w:top w:val="nil"/>
              <w:bottom w:val="nil"/>
            </w:tcBorders>
            <w:vAlign w:val="top"/>
          </w:tcPr>
          <w:p w14:paraId="59D52F74">
            <w:pPr>
              <w:rPr>
                <w:rFonts w:ascii="Arial"/>
                <w:sz w:val="21"/>
              </w:rPr>
            </w:pPr>
          </w:p>
        </w:tc>
      </w:tr>
      <w:tr w14:paraId="40149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4" w:type="dxa"/>
            <w:vMerge w:val="continue"/>
            <w:tcBorders>
              <w:top w:val="nil"/>
              <w:bottom w:val="nil"/>
            </w:tcBorders>
            <w:vAlign w:val="top"/>
          </w:tcPr>
          <w:p w14:paraId="3A03504B">
            <w:pPr>
              <w:rPr>
                <w:rFonts w:ascii="Arial"/>
                <w:sz w:val="21"/>
              </w:rPr>
            </w:pPr>
          </w:p>
        </w:tc>
        <w:tc>
          <w:tcPr>
            <w:tcW w:w="140" w:type="dxa"/>
            <w:tcBorders>
              <w:top w:val="nil"/>
            </w:tcBorders>
            <w:vAlign w:val="top"/>
          </w:tcPr>
          <w:p w14:paraId="639F062F">
            <w:pPr>
              <w:rPr>
                <w:rFonts w:ascii="Arial"/>
                <w:sz w:val="21"/>
              </w:rPr>
            </w:pPr>
          </w:p>
        </w:tc>
        <w:tc>
          <w:tcPr>
            <w:tcW w:w="1518" w:type="dxa"/>
            <w:vAlign w:val="top"/>
          </w:tcPr>
          <w:p w14:paraId="76327442">
            <w:pPr>
              <w:pStyle w:val="6"/>
              <w:spacing w:before="22" w:line="168" w:lineRule="auto"/>
              <w:jc w:val="right"/>
              <w:rPr>
                <w:sz w:val="25"/>
                <w:szCs w:val="25"/>
              </w:rPr>
            </w:pPr>
            <w:r>
              <w:rPr>
                <w:spacing w:val="-1"/>
                <w:sz w:val="25"/>
                <w:szCs w:val="25"/>
              </w:rPr>
              <w:t>升压站西厂界</w:t>
            </w:r>
          </w:p>
        </w:tc>
        <w:tc>
          <w:tcPr>
            <w:tcW w:w="999" w:type="dxa"/>
            <w:vAlign w:val="top"/>
          </w:tcPr>
          <w:p w14:paraId="103C7120">
            <w:pPr>
              <w:pStyle w:val="6"/>
              <w:spacing w:before="46" w:line="203" w:lineRule="exact"/>
              <w:ind w:left="302"/>
              <w:rPr>
                <w:sz w:val="25"/>
                <w:szCs w:val="25"/>
              </w:rPr>
            </w:pPr>
            <w:r>
              <w:rPr>
                <w:spacing w:val="-3"/>
                <w:position w:val="-3"/>
                <w:sz w:val="25"/>
                <w:szCs w:val="25"/>
              </w:rPr>
              <w:t>36.72</w:t>
            </w:r>
          </w:p>
        </w:tc>
        <w:tc>
          <w:tcPr>
            <w:tcW w:w="1019" w:type="dxa"/>
            <w:vAlign w:val="top"/>
          </w:tcPr>
          <w:p w14:paraId="01ED03B0">
            <w:pPr>
              <w:pStyle w:val="6"/>
              <w:spacing w:before="46" w:line="203" w:lineRule="exact"/>
              <w:ind w:left="373"/>
              <w:rPr>
                <w:sz w:val="25"/>
                <w:szCs w:val="25"/>
              </w:rPr>
            </w:pPr>
            <w:r>
              <w:rPr>
                <w:spacing w:val="-4"/>
                <w:position w:val="-3"/>
                <w:sz w:val="25"/>
                <w:szCs w:val="25"/>
              </w:rPr>
              <w:t>55</w:t>
            </w:r>
          </w:p>
        </w:tc>
        <w:tc>
          <w:tcPr>
            <w:tcW w:w="1538" w:type="dxa"/>
            <w:vAlign w:val="top"/>
          </w:tcPr>
          <w:p w14:paraId="081A4447">
            <w:pPr>
              <w:pStyle w:val="6"/>
              <w:spacing w:before="22" w:line="168" w:lineRule="auto"/>
              <w:ind w:left="514"/>
              <w:rPr>
                <w:sz w:val="25"/>
                <w:szCs w:val="25"/>
              </w:rPr>
            </w:pPr>
            <w:r>
              <w:rPr>
                <w:spacing w:val="-3"/>
                <w:sz w:val="25"/>
                <w:szCs w:val="25"/>
              </w:rPr>
              <w:t>达标</w:t>
            </w:r>
          </w:p>
        </w:tc>
        <w:tc>
          <w:tcPr>
            <w:tcW w:w="859" w:type="dxa"/>
            <w:vAlign w:val="top"/>
          </w:tcPr>
          <w:p w14:paraId="4531E248">
            <w:pPr>
              <w:pStyle w:val="6"/>
              <w:spacing w:before="46" w:line="203" w:lineRule="exact"/>
              <w:ind w:left="146"/>
              <w:rPr>
                <w:sz w:val="25"/>
                <w:szCs w:val="25"/>
              </w:rPr>
            </w:pPr>
            <w:r>
              <w:rPr>
                <w:spacing w:val="-5"/>
                <w:position w:val="-3"/>
                <w:sz w:val="25"/>
                <w:szCs w:val="25"/>
              </w:rPr>
              <w:t>19.16</w:t>
            </w:r>
          </w:p>
        </w:tc>
        <w:tc>
          <w:tcPr>
            <w:tcW w:w="1189" w:type="dxa"/>
            <w:vAlign w:val="top"/>
          </w:tcPr>
          <w:p w14:paraId="3E9B0A93">
            <w:pPr>
              <w:pStyle w:val="6"/>
              <w:spacing w:before="46" w:line="203" w:lineRule="exact"/>
              <w:ind w:left="467"/>
              <w:rPr>
                <w:sz w:val="25"/>
                <w:szCs w:val="25"/>
              </w:rPr>
            </w:pPr>
            <w:r>
              <w:rPr>
                <w:spacing w:val="-3"/>
                <w:position w:val="-3"/>
                <w:sz w:val="25"/>
                <w:szCs w:val="25"/>
              </w:rPr>
              <w:t>45</w:t>
            </w:r>
          </w:p>
        </w:tc>
        <w:tc>
          <w:tcPr>
            <w:tcW w:w="1179" w:type="dxa"/>
            <w:gridSpan w:val="2"/>
            <w:vAlign w:val="top"/>
          </w:tcPr>
          <w:p w14:paraId="5C88AE68">
            <w:pPr>
              <w:pStyle w:val="6"/>
              <w:spacing w:before="22" w:line="168" w:lineRule="auto"/>
              <w:ind w:left="338"/>
              <w:rPr>
                <w:sz w:val="25"/>
                <w:szCs w:val="25"/>
              </w:rPr>
            </w:pPr>
            <w:r>
              <w:rPr>
                <w:spacing w:val="-3"/>
                <w:sz w:val="25"/>
                <w:szCs w:val="25"/>
              </w:rPr>
              <w:t>达标</w:t>
            </w:r>
          </w:p>
        </w:tc>
        <w:tc>
          <w:tcPr>
            <w:tcW w:w="115" w:type="dxa"/>
            <w:tcBorders>
              <w:top w:val="nil"/>
            </w:tcBorders>
            <w:vAlign w:val="top"/>
          </w:tcPr>
          <w:p w14:paraId="5A497536">
            <w:pPr>
              <w:rPr>
                <w:rFonts w:ascii="Arial"/>
                <w:sz w:val="21"/>
              </w:rPr>
            </w:pPr>
          </w:p>
        </w:tc>
      </w:tr>
      <w:tr w14:paraId="2391A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4" w:hRule="atLeast"/>
        </w:trPr>
        <w:tc>
          <w:tcPr>
            <w:tcW w:w="404" w:type="dxa"/>
            <w:vMerge w:val="continue"/>
            <w:tcBorders>
              <w:top w:val="nil"/>
              <w:bottom w:val="nil"/>
            </w:tcBorders>
            <w:vAlign w:val="top"/>
          </w:tcPr>
          <w:p w14:paraId="5AB740DF">
            <w:pPr>
              <w:rPr>
                <w:rFonts w:ascii="Arial"/>
                <w:sz w:val="21"/>
              </w:rPr>
            </w:pPr>
          </w:p>
        </w:tc>
        <w:tc>
          <w:tcPr>
            <w:tcW w:w="8556" w:type="dxa"/>
            <w:gridSpan w:val="10"/>
            <w:tcBorders>
              <w:bottom w:val="nil"/>
            </w:tcBorders>
            <w:vAlign w:val="top"/>
          </w:tcPr>
          <w:p w14:paraId="51B59967">
            <w:pPr>
              <w:pStyle w:val="6"/>
              <w:spacing w:before="159" w:line="331" w:lineRule="auto"/>
              <w:ind w:left="90" w:firstLine="513"/>
              <w:jc w:val="both"/>
              <w:rPr>
                <w:sz w:val="25"/>
                <w:szCs w:val="25"/>
              </w:rPr>
            </w:pPr>
            <w:r>
              <w:rPr>
                <w:spacing w:val="-12"/>
                <w:sz w:val="25"/>
                <w:szCs w:val="25"/>
              </w:rPr>
              <w:t>由上表可见，运行期升压站厂界噪声预测值</w:t>
            </w:r>
            <w:r>
              <w:rPr>
                <w:spacing w:val="-13"/>
                <w:sz w:val="25"/>
                <w:szCs w:val="25"/>
              </w:rPr>
              <w:t>均能满足《工业企业厂界环境噪</w:t>
            </w:r>
            <w:r>
              <w:rPr>
                <w:sz w:val="25"/>
                <w:szCs w:val="25"/>
              </w:rPr>
              <w:t xml:space="preserve"> </w:t>
            </w:r>
            <w:r>
              <w:rPr>
                <w:spacing w:val="-4"/>
                <w:sz w:val="25"/>
                <w:szCs w:val="25"/>
              </w:rPr>
              <w:t>声排放标准》(GB12348-2008)1类标准的要求。升压站周边无声环境保护</w:t>
            </w:r>
            <w:r>
              <w:rPr>
                <w:spacing w:val="-5"/>
                <w:sz w:val="25"/>
                <w:szCs w:val="25"/>
              </w:rPr>
              <w:t>目标，</w:t>
            </w:r>
            <w:r>
              <w:rPr>
                <w:sz w:val="25"/>
                <w:szCs w:val="25"/>
              </w:rPr>
              <w:t xml:space="preserve"> </w:t>
            </w:r>
            <w:r>
              <w:rPr>
                <w:spacing w:val="-4"/>
                <w:sz w:val="25"/>
                <w:szCs w:val="25"/>
              </w:rPr>
              <w:t>升压站噪声对周边环境影响可接受。</w:t>
            </w:r>
          </w:p>
        </w:tc>
      </w:tr>
      <w:tr w14:paraId="6E6F1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1" w:hRule="atLeast"/>
        </w:trPr>
        <w:tc>
          <w:tcPr>
            <w:tcW w:w="404" w:type="dxa"/>
            <w:vMerge w:val="continue"/>
            <w:tcBorders>
              <w:top w:val="nil"/>
              <w:bottom w:val="nil"/>
            </w:tcBorders>
            <w:vAlign w:val="top"/>
          </w:tcPr>
          <w:p w14:paraId="48F242AA">
            <w:pPr>
              <w:rPr>
                <w:rFonts w:ascii="Arial"/>
                <w:sz w:val="21"/>
              </w:rPr>
            </w:pPr>
          </w:p>
        </w:tc>
        <w:tc>
          <w:tcPr>
            <w:tcW w:w="7477" w:type="dxa"/>
            <w:gridSpan w:val="8"/>
            <w:tcBorders>
              <w:top w:val="nil"/>
              <w:bottom w:val="nil"/>
              <w:right w:val="nil"/>
            </w:tcBorders>
            <w:vAlign w:val="top"/>
          </w:tcPr>
          <w:p w14:paraId="74521813">
            <w:pPr>
              <w:spacing w:before="166" w:line="5940" w:lineRule="exact"/>
              <w:ind w:firstLine="340"/>
            </w:pPr>
            <w:r>
              <w:rPr>
                <w:position w:val="-118"/>
              </w:rPr>
              <w:drawing>
                <wp:inline distT="0" distB="0" distL="0" distR="0">
                  <wp:extent cx="4463415" cy="3771265"/>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201"/>
                          <a:stretch>
                            <a:fillRect/>
                          </a:stretch>
                        </pic:blipFill>
                        <pic:spPr>
                          <a:xfrm>
                            <a:off x="0" y="0"/>
                            <a:ext cx="4464047" cy="3771882"/>
                          </a:xfrm>
                          <a:prstGeom prst="rect">
                            <a:avLst/>
                          </a:prstGeom>
                        </pic:spPr>
                      </pic:pic>
                    </a:graphicData>
                  </a:graphic>
                </wp:inline>
              </w:drawing>
            </w:r>
          </w:p>
          <w:p w14:paraId="7A99C60F">
            <w:pPr>
              <w:spacing w:line="313" w:lineRule="auto"/>
              <w:rPr>
                <w:rFonts w:ascii="Arial"/>
                <w:sz w:val="21"/>
              </w:rPr>
            </w:pPr>
          </w:p>
          <w:p w14:paraId="0295C025">
            <w:pPr>
              <w:pStyle w:val="6"/>
              <w:spacing w:before="81" w:line="219" w:lineRule="auto"/>
              <w:ind w:left="1694"/>
              <w:rPr>
                <w:sz w:val="25"/>
                <w:szCs w:val="25"/>
              </w:rPr>
            </w:pPr>
            <w:r>
              <w:rPr>
                <w:b/>
                <w:bCs/>
                <w:spacing w:val="-3"/>
                <w:sz w:val="25"/>
                <w:szCs w:val="25"/>
              </w:rPr>
              <w:t>图4-5升压站运营期厂界噪声贡献昼间等值线图</w:t>
            </w:r>
          </w:p>
        </w:tc>
        <w:tc>
          <w:tcPr>
            <w:tcW w:w="1079" w:type="dxa"/>
            <w:gridSpan w:val="2"/>
            <w:tcBorders>
              <w:top w:val="nil"/>
              <w:left w:val="nil"/>
              <w:bottom w:val="nil"/>
            </w:tcBorders>
            <w:vAlign w:val="top"/>
          </w:tcPr>
          <w:p w14:paraId="2BB7466A">
            <w:pPr>
              <w:spacing w:line="458" w:lineRule="auto"/>
              <w:rPr>
                <w:rFonts w:ascii="Arial"/>
                <w:sz w:val="21"/>
              </w:rPr>
            </w:pPr>
          </w:p>
          <w:p w14:paraId="0D8DA82E">
            <w:pPr>
              <w:pStyle w:val="6"/>
              <w:spacing w:before="81" w:line="380" w:lineRule="auto"/>
              <w:ind w:left="108" w:right="351"/>
              <w:rPr>
                <w:sz w:val="25"/>
                <w:szCs w:val="25"/>
              </w:rPr>
            </w:pPr>
            <w:r>
              <w:rPr>
                <w:color w:val="102070"/>
                <w:spacing w:val="-4"/>
                <w:sz w:val="25"/>
                <w:szCs w:val="25"/>
              </w:rPr>
              <w:t>80.</w:t>
            </w:r>
            <w:r>
              <w:rPr>
                <w:spacing w:val="-4"/>
                <w:sz w:val="25"/>
                <w:szCs w:val="25"/>
              </w:rPr>
              <w:t>00</w:t>
            </w:r>
            <w:r>
              <w:rPr>
                <w:spacing w:val="2"/>
                <w:sz w:val="25"/>
                <w:szCs w:val="25"/>
              </w:rPr>
              <w:t xml:space="preserve"> </w:t>
            </w:r>
            <w:r>
              <w:rPr>
                <w:spacing w:val="-4"/>
                <w:sz w:val="25"/>
                <w:szCs w:val="25"/>
              </w:rPr>
              <w:t>75.00</w:t>
            </w:r>
            <w:r>
              <w:rPr>
                <w:spacing w:val="3"/>
                <w:sz w:val="25"/>
                <w:szCs w:val="25"/>
              </w:rPr>
              <w:t xml:space="preserve"> </w:t>
            </w:r>
            <w:r>
              <w:rPr>
                <w:spacing w:val="-3"/>
                <w:sz w:val="25"/>
                <w:szCs w:val="25"/>
              </w:rPr>
              <w:t>70.</w:t>
            </w:r>
            <w:r>
              <w:rPr>
                <w:color w:val="304040"/>
                <w:spacing w:val="-3"/>
                <w:sz w:val="25"/>
                <w:szCs w:val="25"/>
              </w:rPr>
              <w:t>0</w:t>
            </w:r>
            <w:r>
              <w:rPr>
                <w:color w:val="204080"/>
                <w:spacing w:val="-3"/>
                <w:sz w:val="25"/>
                <w:szCs w:val="25"/>
              </w:rPr>
              <w:t>0</w:t>
            </w:r>
            <w:r>
              <w:rPr>
                <w:color w:val="204080"/>
                <w:spacing w:val="2"/>
                <w:sz w:val="25"/>
                <w:szCs w:val="25"/>
              </w:rPr>
              <w:t xml:space="preserve"> </w:t>
            </w:r>
            <w:r>
              <w:rPr>
                <w:spacing w:val="-4"/>
                <w:sz w:val="25"/>
                <w:szCs w:val="25"/>
              </w:rPr>
              <w:t>65</w:t>
            </w:r>
            <w:r>
              <w:rPr>
                <w:color w:val="1040C0"/>
                <w:spacing w:val="-4"/>
                <w:sz w:val="25"/>
                <w:szCs w:val="25"/>
              </w:rPr>
              <w:t>.</w:t>
            </w:r>
            <w:r>
              <w:rPr>
                <w:color w:val="102030"/>
                <w:spacing w:val="-4"/>
                <w:sz w:val="25"/>
                <w:szCs w:val="25"/>
              </w:rPr>
              <w:t>00</w:t>
            </w:r>
            <w:r>
              <w:rPr>
                <w:color w:val="102030"/>
                <w:spacing w:val="2"/>
                <w:sz w:val="25"/>
                <w:szCs w:val="25"/>
              </w:rPr>
              <w:t xml:space="preserve"> </w:t>
            </w:r>
            <w:r>
              <w:rPr>
                <w:color w:val="304060"/>
                <w:spacing w:val="-3"/>
                <w:sz w:val="25"/>
                <w:szCs w:val="25"/>
              </w:rPr>
              <w:t>60.</w:t>
            </w:r>
            <w:r>
              <w:rPr>
                <w:color w:val="204050"/>
                <w:spacing w:val="-3"/>
                <w:sz w:val="25"/>
                <w:szCs w:val="25"/>
              </w:rPr>
              <w:t>00</w:t>
            </w:r>
          </w:p>
          <w:p w14:paraId="1D7CD4D9">
            <w:pPr>
              <w:pStyle w:val="6"/>
              <w:spacing w:before="227" w:line="377" w:lineRule="auto"/>
              <w:ind w:left="108" w:right="351"/>
              <w:rPr>
                <w:sz w:val="25"/>
                <w:szCs w:val="25"/>
              </w:rPr>
            </w:pPr>
            <w:r>
              <w:rPr>
                <w:spacing w:val="-3"/>
                <w:sz w:val="25"/>
                <w:szCs w:val="25"/>
              </w:rPr>
              <w:t>55.0</w:t>
            </w:r>
            <w:r>
              <w:rPr>
                <w:color w:val="203050"/>
                <w:spacing w:val="-3"/>
                <w:sz w:val="25"/>
                <w:szCs w:val="25"/>
              </w:rPr>
              <w:t>0</w:t>
            </w:r>
            <w:r>
              <w:rPr>
                <w:color w:val="203050"/>
                <w:spacing w:val="2"/>
                <w:sz w:val="25"/>
                <w:szCs w:val="25"/>
              </w:rPr>
              <w:t xml:space="preserve"> </w:t>
            </w:r>
            <w:r>
              <w:rPr>
                <w:color w:val="405060"/>
                <w:spacing w:val="-4"/>
                <w:sz w:val="25"/>
                <w:szCs w:val="25"/>
              </w:rPr>
              <w:t>50.</w:t>
            </w:r>
            <w:r>
              <w:rPr>
                <w:spacing w:val="-4"/>
                <w:sz w:val="25"/>
                <w:szCs w:val="25"/>
              </w:rPr>
              <w:t>00</w:t>
            </w:r>
            <w:r>
              <w:rPr>
                <w:spacing w:val="2"/>
                <w:sz w:val="25"/>
                <w:szCs w:val="25"/>
              </w:rPr>
              <w:t xml:space="preserve"> </w:t>
            </w:r>
            <w:r>
              <w:rPr>
                <w:spacing w:val="-3"/>
                <w:sz w:val="25"/>
                <w:szCs w:val="25"/>
              </w:rPr>
              <w:t>45.</w:t>
            </w:r>
            <w:r>
              <w:rPr>
                <w:color w:val="102030"/>
                <w:spacing w:val="-3"/>
                <w:sz w:val="25"/>
                <w:szCs w:val="25"/>
              </w:rPr>
              <w:t>0</w:t>
            </w:r>
            <w:r>
              <w:rPr>
                <w:color w:val="103050"/>
                <w:spacing w:val="-3"/>
                <w:sz w:val="25"/>
                <w:szCs w:val="25"/>
              </w:rPr>
              <w:t>0</w:t>
            </w:r>
            <w:r>
              <w:rPr>
                <w:color w:val="103050"/>
                <w:spacing w:val="2"/>
                <w:sz w:val="25"/>
                <w:szCs w:val="25"/>
              </w:rPr>
              <w:t xml:space="preserve"> </w:t>
            </w:r>
            <w:r>
              <w:rPr>
                <w:spacing w:val="-4"/>
                <w:sz w:val="25"/>
                <w:szCs w:val="25"/>
              </w:rPr>
              <w:t>40.</w:t>
            </w:r>
            <w:r>
              <w:rPr>
                <w:color w:val="202040"/>
                <w:spacing w:val="-4"/>
                <w:sz w:val="25"/>
                <w:szCs w:val="25"/>
              </w:rPr>
              <w:t>00</w:t>
            </w:r>
            <w:r>
              <w:rPr>
                <w:color w:val="202040"/>
                <w:spacing w:val="2"/>
                <w:sz w:val="25"/>
                <w:szCs w:val="25"/>
              </w:rPr>
              <w:t xml:space="preserve"> </w:t>
            </w:r>
            <w:r>
              <w:rPr>
                <w:spacing w:val="-3"/>
                <w:sz w:val="25"/>
                <w:szCs w:val="25"/>
              </w:rPr>
              <w:t>35.00</w:t>
            </w:r>
          </w:p>
          <w:p w14:paraId="0A4FA250">
            <w:pPr>
              <w:pStyle w:val="6"/>
              <w:spacing w:before="236" w:line="239" w:lineRule="auto"/>
              <w:ind w:left="108"/>
              <w:rPr>
                <w:sz w:val="25"/>
                <w:szCs w:val="25"/>
              </w:rPr>
            </w:pPr>
            <w:r>
              <w:rPr>
                <w:color w:val="305060"/>
                <w:spacing w:val="-3"/>
                <w:sz w:val="25"/>
                <w:szCs w:val="25"/>
              </w:rPr>
              <w:t>30.</w:t>
            </w:r>
            <w:r>
              <w:rPr>
                <w:color w:val="404050"/>
                <w:spacing w:val="-3"/>
                <w:sz w:val="25"/>
                <w:szCs w:val="25"/>
              </w:rPr>
              <w:t>0</w:t>
            </w:r>
            <w:r>
              <w:rPr>
                <w:color w:val="204060"/>
                <w:spacing w:val="-3"/>
                <w:sz w:val="25"/>
                <w:szCs w:val="25"/>
              </w:rPr>
              <w:t>0</w:t>
            </w:r>
          </w:p>
        </w:tc>
      </w:tr>
      <w:tr w14:paraId="5375E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0" w:hRule="atLeast"/>
        </w:trPr>
        <w:tc>
          <w:tcPr>
            <w:tcW w:w="404" w:type="dxa"/>
            <w:vMerge w:val="continue"/>
            <w:tcBorders>
              <w:top w:val="nil"/>
            </w:tcBorders>
            <w:vAlign w:val="top"/>
          </w:tcPr>
          <w:p w14:paraId="11D13F7D">
            <w:pPr>
              <w:rPr>
                <w:rFonts w:ascii="Arial"/>
                <w:sz w:val="21"/>
              </w:rPr>
            </w:pPr>
          </w:p>
        </w:tc>
        <w:tc>
          <w:tcPr>
            <w:tcW w:w="8556" w:type="dxa"/>
            <w:gridSpan w:val="10"/>
            <w:tcBorders>
              <w:top w:val="nil"/>
            </w:tcBorders>
            <w:vAlign w:val="top"/>
          </w:tcPr>
          <w:p w14:paraId="77DA1CF0">
            <w:pPr>
              <w:pStyle w:val="6"/>
              <w:spacing w:before="113" w:line="220" w:lineRule="auto"/>
              <w:ind w:left="584"/>
              <w:rPr>
                <w:sz w:val="25"/>
                <w:szCs w:val="25"/>
              </w:rPr>
            </w:pPr>
            <w:r>
              <w:rPr>
                <w:b/>
                <w:bCs/>
                <w:spacing w:val="-4"/>
                <w:sz w:val="25"/>
                <w:szCs w:val="25"/>
              </w:rPr>
              <w:t>4、运营期固体废物</w:t>
            </w:r>
          </w:p>
          <w:p w14:paraId="1A1FD449">
            <w:pPr>
              <w:pStyle w:val="6"/>
              <w:spacing w:before="174" w:line="344" w:lineRule="auto"/>
              <w:ind w:left="110" w:firstLine="569"/>
              <w:jc w:val="both"/>
              <w:rPr>
                <w:sz w:val="25"/>
                <w:szCs w:val="25"/>
              </w:rPr>
            </w:pPr>
            <w:r>
              <w:rPr>
                <w:spacing w:val="-4"/>
                <w:sz w:val="25"/>
                <w:szCs w:val="25"/>
              </w:rPr>
              <w:t>本项目运营期产生的固废包括危险废物和一般固废。危</w:t>
            </w:r>
            <w:r>
              <w:rPr>
                <w:spacing w:val="-5"/>
                <w:sz w:val="25"/>
                <w:szCs w:val="25"/>
              </w:rPr>
              <w:t>险废物包括检修废</w:t>
            </w:r>
            <w:r>
              <w:rPr>
                <w:sz w:val="25"/>
                <w:szCs w:val="25"/>
              </w:rPr>
              <w:t xml:space="preserve"> </w:t>
            </w:r>
            <w:r>
              <w:rPr>
                <w:spacing w:val="-9"/>
                <w:sz w:val="25"/>
                <w:szCs w:val="25"/>
              </w:rPr>
              <w:t>油、变压器油。一般固废主要为生活垃圾、废旧太阳能电池板、化粪池</w:t>
            </w:r>
            <w:r>
              <w:rPr>
                <w:spacing w:val="-10"/>
                <w:sz w:val="25"/>
                <w:szCs w:val="25"/>
              </w:rPr>
              <w:t>及一体化</w:t>
            </w:r>
            <w:r>
              <w:rPr>
                <w:sz w:val="25"/>
                <w:szCs w:val="25"/>
              </w:rPr>
              <w:t xml:space="preserve"> </w:t>
            </w:r>
            <w:r>
              <w:rPr>
                <w:spacing w:val="-1"/>
                <w:sz w:val="25"/>
                <w:szCs w:val="25"/>
              </w:rPr>
              <w:t>污水处理站污泥。</w:t>
            </w:r>
          </w:p>
          <w:p w14:paraId="7650EAB8">
            <w:pPr>
              <w:pStyle w:val="6"/>
              <w:spacing w:line="220" w:lineRule="auto"/>
              <w:ind w:left="794"/>
              <w:rPr>
                <w:sz w:val="25"/>
                <w:szCs w:val="25"/>
              </w:rPr>
            </w:pPr>
            <w:r>
              <w:rPr>
                <w:b/>
                <w:bCs/>
                <w:spacing w:val="-3"/>
                <w:sz w:val="25"/>
                <w:szCs w:val="25"/>
              </w:rPr>
              <w:t>(1)一般固废</w:t>
            </w:r>
          </w:p>
          <w:p w14:paraId="7B046000">
            <w:pPr>
              <w:pStyle w:val="6"/>
              <w:spacing w:before="173" w:line="219" w:lineRule="auto"/>
              <w:ind w:left="691"/>
              <w:rPr>
                <w:sz w:val="25"/>
                <w:szCs w:val="25"/>
              </w:rPr>
            </w:pPr>
            <w:r>
              <w:rPr>
                <w:spacing w:val="1"/>
                <w:sz w:val="25"/>
                <w:szCs w:val="25"/>
              </w:rPr>
              <w:t>1)废旧太阳能电池板</w:t>
            </w:r>
          </w:p>
          <w:p w14:paraId="1C4BBEB7">
            <w:pPr>
              <w:pStyle w:val="6"/>
              <w:spacing w:before="173" w:line="219" w:lineRule="auto"/>
              <w:jc w:val="right"/>
              <w:rPr>
                <w:sz w:val="25"/>
                <w:szCs w:val="25"/>
              </w:rPr>
            </w:pPr>
            <w:r>
              <w:rPr>
                <w:spacing w:val="-11"/>
                <w:sz w:val="25"/>
                <w:szCs w:val="25"/>
              </w:rPr>
              <w:t>本项目运营过程中使用的单晶硅电池板坚固耐用</w:t>
            </w:r>
            <w:r>
              <w:rPr>
                <w:spacing w:val="-12"/>
                <w:sz w:val="25"/>
                <w:szCs w:val="25"/>
              </w:rPr>
              <w:t>，其使用寿命一般为25年，</w:t>
            </w:r>
          </w:p>
        </w:tc>
      </w:tr>
    </w:tbl>
    <w:p w14:paraId="116BC3EE">
      <w:pPr>
        <w:pStyle w:val="2"/>
      </w:pPr>
    </w:p>
    <w:p w14:paraId="4DEAB57A">
      <w:pPr>
        <w:sectPr>
          <w:footerReference r:id="rId102" w:type="default"/>
          <w:pgSz w:w="11910" w:h="16840"/>
          <w:pgMar w:top="1431" w:right="1504" w:bottom="1255" w:left="1435" w:header="0" w:footer="1093" w:gutter="0"/>
          <w:cols w:space="720" w:num="1"/>
        </w:sectPr>
      </w:pPr>
    </w:p>
    <w:p w14:paraId="4919D7C2">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05880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65F40871">
            <w:pPr>
              <w:rPr>
                <w:rFonts w:ascii="Arial"/>
                <w:sz w:val="21"/>
              </w:rPr>
            </w:pPr>
          </w:p>
        </w:tc>
        <w:tc>
          <w:tcPr>
            <w:tcW w:w="8556" w:type="dxa"/>
            <w:vAlign w:val="top"/>
          </w:tcPr>
          <w:p w14:paraId="032254FD">
            <w:pPr>
              <w:pStyle w:val="6"/>
              <w:spacing w:before="14" w:line="359" w:lineRule="auto"/>
              <w:ind w:left="100" w:firstLine="9"/>
            </w:pPr>
            <w:r>
              <w:rPr>
                <w:spacing w:val="-3"/>
              </w:rPr>
              <w:t>由于使用过程中采光角度和电流阻断等故障发生可能会导致电池损坏，需更换的</w:t>
            </w:r>
            <w:r>
              <w:rPr>
                <w:spacing w:val="4"/>
              </w:rPr>
              <w:t xml:space="preserve">  </w:t>
            </w:r>
            <w:r>
              <w:rPr>
                <w:spacing w:val="-3"/>
              </w:rPr>
              <w:t>废旧电池板。据建设单位提供，废旧电池板的产生量约为2t/a。根据《国家</w:t>
            </w:r>
            <w:r>
              <w:rPr>
                <w:spacing w:val="-4"/>
              </w:rPr>
              <w:t>危险</w:t>
            </w:r>
            <w:r>
              <w:t xml:space="preserve">  </w:t>
            </w:r>
            <w:r>
              <w:rPr>
                <w:spacing w:val="-2"/>
              </w:rPr>
              <w:t>废物名录》2021版，太阳能电池板中不</w:t>
            </w:r>
            <w:r>
              <w:rPr>
                <w:spacing w:val="-3"/>
              </w:rPr>
              <w:t>属于名录中所列的危险废物，本项目所使</w:t>
            </w:r>
            <w:r>
              <w:t xml:space="preserve">  </w:t>
            </w:r>
            <w:r>
              <w:rPr>
                <w:spacing w:val="-5"/>
              </w:rPr>
              <w:t>用的太阳能电池板报废后属一般工业固体废物</w:t>
            </w:r>
            <w:r>
              <w:rPr>
                <w:spacing w:val="-6"/>
              </w:rPr>
              <w:t>。查阅《一般固体废物分类与代码》</w:t>
            </w:r>
            <w:r>
              <w:t xml:space="preserve"> (GB/T 39198-2020),废旧电池板代码为350-001-13。项目运营期产生的废旧太</w:t>
            </w:r>
            <w:r>
              <w:rPr>
                <w:spacing w:val="2"/>
              </w:rPr>
              <w:t xml:space="preserve">   </w:t>
            </w:r>
            <w:r>
              <w:rPr>
                <w:spacing w:val="-3"/>
              </w:rPr>
              <w:t>阳能电池板集中收集至升压站库房，由厂家回收处</w:t>
            </w:r>
            <w:r>
              <w:rPr>
                <w:spacing w:val="-4"/>
              </w:rPr>
              <w:t>理。</w:t>
            </w:r>
          </w:p>
          <w:p w14:paraId="01172156">
            <w:pPr>
              <w:pStyle w:val="6"/>
              <w:spacing w:before="21" w:line="220" w:lineRule="auto"/>
              <w:ind w:left="660"/>
            </w:pPr>
            <w:r>
              <w:rPr>
                <w:spacing w:val="1"/>
              </w:rPr>
              <w:t>2)生活垃圾</w:t>
            </w:r>
          </w:p>
          <w:p w14:paraId="33CB0CB1">
            <w:pPr>
              <w:pStyle w:val="6"/>
              <w:spacing w:before="161" w:line="363" w:lineRule="auto"/>
              <w:ind w:left="120" w:right="174" w:firstLine="560"/>
            </w:pPr>
            <w:r>
              <w:t>项目运营期生活垃圾主要来自升压站员工办公生活垃圾，项目升压站你设</w:t>
            </w:r>
            <w:r>
              <w:rPr>
                <w:spacing w:val="9"/>
              </w:rPr>
              <w:t xml:space="preserve"> </w:t>
            </w:r>
            <w:r>
              <w:t>置劳动定员10人。项目运行过程中办公生活垃圾产生量按照每人</w:t>
            </w:r>
            <w:r>
              <w:rPr>
                <w:spacing w:val="-1"/>
              </w:rPr>
              <w:t>1kg/d,则生活</w:t>
            </w:r>
          </w:p>
          <w:p w14:paraId="0FEDB50B">
            <w:pPr>
              <w:pStyle w:val="6"/>
              <w:spacing w:before="2" w:line="362" w:lineRule="auto"/>
              <w:ind w:left="90" w:firstLine="19"/>
            </w:pPr>
            <w:r>
              <w:rPr>
                <w:spacing w:val="-2"/>
              </w:rPr>
              <w:t>垃圾产生量为10kg/d、3.65t/a。升压站设置有垃圾收集桶，垃圾收集后运至</w:t>
            </w:r>
            <w:r>
              <w:rPr>
                <w:spacing w:val="-3"/>
              </w:rPr>
              <w:t>项目</w:t>
            </w:r>
            <w:r>
              <w:t xml:space="preserve"> 附近村子垃圾收集点，由当地环卫部门统一处理处置</w:t>
            </w:r>
            <w:r>
              <w:rPr>
                <w:spacing w:val="-1"/>
              </w:rPr>
              <w:t>，垃圾得到妥善处理后，对</w:t>
            </w:r>
            <w:r>
              <w:t xml:space="preserve"> </w:t>
            </w:r>
            <w:r>
              <w:rPr>
                <w:spacing w:val="-1"/>
              </w:rPr>
              <w:t>周围环境影响不大。</w:t>
            </w:r>
          </w:p>
          <w:p w14:paraId="558628A3">
            <w:pPr>
              <w:pStyle w:val="6"/>
              <w:spacing w:before="13" w:line="219" w:lineRule="auto"/>
              <w:ind w:left="671"/>
            </w:pPr>
            <w:r>
              <w:t>3)化粪池及一体化污水处理设备运行污泥</w:t>
            </w:r>
          </w:p>
          <w:p w14:paraId="2ECF1735">
            <w:pPr>
              <w:pStyle w:val="6"/>
              <w:spacing w:before="153" w:line="357" w:lineRule="auto"/>
              <w:ind w:left="100" w:right="14" w:firstLine="580"/>
            </w:pPr>
            <w:r>
              <w:rPr>
                <w:spacing w:val="1"/>
              </w:rPr>
              <w:t>根据前文分析，进入化粪池及一体化污水处理设备的废水主要为升压站员</w:t>
            </w:r>
            <w:r>
              <w:t xml:space="preserve">  </w:t>
            </w:r>
            <w:r>
              <w:rPr>
                <w:spacing w:val="1"/>
              </w:rPr>
              <w:t>工办公生活废水，水质较为简单，故化粪池及一体化污水处理设备</w:t>
            </w:r>
            <w:r>
              <w:t>运行污泥中无 特殊的污染物，产生量约0.2t/a,清掏后作为农肥使用，对环境的影响不大。</w:t>
            </w:r>
          </w:p>
          <w:p w14:paraId="1A4251C9">
            <w:pPr>
              <w:pStyle w:val="6"/>
              <w:spacing w:before="27" w:line="220" w:lineRule="auto"/>
              <w:ind w:left="794"/>
            </w:pPr>
            <w:r>
              <w:rPr>
                <w:b/>
                <w:bCs/>
                <w:spacing w:val="-2"/>
              </w:rPr>
              <w:t>(2)危险废物</w:t>
            </w:r>
          </w:p>
          <w:p w14:paraId="52DFCAF4">
            <w:pPr>
              <w:pStyle w:val="6"/>
              <w:spacing w:before="167" w:line="220" w:lineRule="auto"/>
              <w:ind w:left="671"/>
            </w:pPr>
            <w:r>
              <w:rPr>
                <w:spacing w:val="4"/>
              </w:rPr>
              <w:t>1)废润滑油</w:t>
            </w:r>
          </w:p>
          <w:p w14:paraId="452546E7">
            <w:pPr>
              <w:pStyle w:val="6"/>
              <w:spacing w:before="172" w:line="361" w:lineRule="auto"/>
              <w:ind w:left="110" w:right="42" w:firstLine="479"/>
            </w:pPr>
            <w:r>
              <w:t>传功轴等装置维护保养产生的的废润滑油。根据建设单</w:t>
            </w:r>
            <w:r>
              <w:rPr>
                <w:spacing w:val="-1"/>
              </w:rPr>
              <w:t>位经验数据，日常维</w:t>
            </w:r>
            <w:r>
              <w:t xml:space="preserve"> </w:t>
            </w:r>
            <w:r>
              <w:rPr>
                <w:spacing w:val="1"/>
              </w:rPr>
              <w:t>护检修产废润滑油约50</w:t>
            </w:r>
            <w:r>
              <w:t>kg</w:t>
            </w:r>
            <w:r>
              <w:rPr>
                <w:spacing w:val="1"/>
              </w:rPr>
              <w:t>/a。对照《国家危险废物</w:t>
            </w:r>
            <w:r>
              <w:t>名录》(2021年版),废润滑油 废物代码为900-249-08(使用过程中产生的废矿物油及</w:t>
            </w:r>
            <w:r>
              <w:rPr>
                <w:spacing w:val="-1"/>
              </w:rPr>
              <w:t>沾染矿物油的废弃包装</w:t>
            </w:r>
          </w:p>
          <w:p w14:paraId="2F1BA2BB">
            <w:pPr>
              <w:pStyle w:val="6"/>
              <w:spacing w:before="1" w:line="363" w:lineRule="auto"/>
              <w:ind w:left="100" w:right="22" w:firstLine="10"/>
            </w:pPr>
            <w:r>
              <w:t>物),属“HW08废矿物油与含矿物油废物的危险废物”。应采用油桶收集之后，升</w:t>
            </w:r>
            <w:r>
              <w:rPr>
                <w:spacing w:val="11"/>
              </w:rPr>
              <w:t xml:space="preserve"> </w:t>
            </w:r>
            <w:r>
              <w:t>压站内设置1间危废暂存间暂存，委托有危废处置资质的单位定期清运处</w:t>
            </w:r>
            <w:r>
              <w:rPr>
                <w:spacing w:val="-1"/>
              </w:rPr>
              <w:t>理。</w:t>
            </w:r>
          </w:p>
          <w:p w14:paraId="76898B7B">
            <w:pPr>
              <w:pStyle w:val="6"/>
              <w:spacing w:line="220" w:lineRule="auto"/>
              <w:ind w:left="640"/>
            </w:pPr>
            <w:r>
              <w:rPr>
                <w:spacing w:val="3"/>
              </w:rPr>
              <w:t>2)废变压器油</w:t>
            </w:r>
          </w:p>
          <w:p w14:paraId="6022AD46">
            <w:pPr>
              <w:pStyle w:val="6"/>
              <w:spacing w:before="170" w:line="217" w:lineRule="auto"/>
              <w:ind w:left="560"/>
            </w:pPr>
            <w:r>
              <w:rPr>
                <w:spacing w:val="5"/>
              </w:rPr>
              <w:t>②变压器油</w:t>
            </w:r>
          </w:p>
          <w:p w14:paraId="55663950">
            <w:pPr>
              <w:pStyle w:val="6"/>
              <w:spacing w:before="191" w:line="220" w:lineRule="auto"/>
              <w:ind w:left="470"/>
            </w:pPr>
            <w:r>
              <w:rPr>
                <w:spacing w:val="4"/>
              </w:rPr>
              <w:t>箱变变压器油</w:t>
            </w:r>
          </w:p>
          <w:p w14:paraId="70275D81">
            <w:pPr>
              <w:pStyle w:val="6"/>
              <w:spacing w:before="183" w:line="356" w:lineRule="auto"/>
              <w:ind w:left="110" w:right="262" w:firstLine="479"/>
            </w:pPr>
            <w:r>
              <w:t>箱变大约每10年大修一次，更换所有的变压器油，变压器油属于《国家危</w:t>
            </w:r>
            <w:r>
              <w:rPr>
                <w:spacing w:val="11"/>
              </w:rPr>
              <w:t xml:space="preserve"> </w:t>
            </w:r>
            <w:r>
              <w:t>险废物名录》(2021版)HW08废矿物油与含矿物油废物中“变压器维护、更换</w:t>
            </w:r>
          </w:p>
          <w:p w14:paraId="088BEF2F">
            <w:pPr>
              <w:pStyle w:val="6"/>
              <w:spacing w:before="5" w:line="219" w:lineRule="auto"/>
              <w:ind w:left="120"/>
            </w:pPr>
            <w:r>
              <w:t>和拆解过程中产生的废变压器油”(废物代码900-220-08)。箱变及主变变压器</w:t>
            </w:r>
          </w:p>
        </w:tc>
      </w:tr>
    </w:tbl>
    <w:p w14:paraId="2CB23191">
      <w:pPr>
        <w:pStyle w:val="2"/>
      </w:pPr>
    </w:p>
    <w:p w14:paraId="1175B79F">
      <w:pPr>
        <w:sectPr>
          <w:footerReference r:id="rId103" w:type="default"/>
          <w:pgSz w:w="11910" w:h="16840"/>
          <w:pgMar w:top="1431" w:right="1484" w:bottom="1255" w:left="1445" w:header="0" w:footer="1093" w:gutter="0"/>
          <w:cols w:space="720" w:num="1"/>
        </w:sectPr>
      </w:pPr>
    </w:p>
    <w:p w14:paraId="70D561B2">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01CF8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78756E2F">
            <w:pPr>
              <w:rPr>
                <w:rFonts w:ascii="Arial"/>
                <w:sz w:val="21"/>
              </w:rPr>
            </w:pPr>
          </w:p>
        </w:tc>
        <w:tc>
          <w:tcPr>
            <w:tcW w:w="8556" w:type="dxa"/>
            <w:vAlign w:val="top"/>
          </w:tcPr>
          <w:p w14:paraId="7054735D">
            <w:pPr>
              <w:pStyle w:val="6"/>
              <w:spacing w:before="12" w:line="359" w:lineRule="auto"/>
              <w:ind w:left="100"/>
            </w:pPr>
            <w:r>
              <w:rPr>
                <w:spacing w:val="-1"/>
              </w:rPr>
              <w:t>油更换时提前预约具有相应资质的危废处理机构进行妥善处置，不在场内暂存。</w:t>
            </w:r>
            <w:r>
              <w:rPr>
                <w:spacing w:val="5"/>
              </w:rPr>
              <w:t xml:space="preserve"> </w:t>
            </w:r>
            <w:r>
              <w:t>根据可研设计项目单台箱变储油量为0.5t,项目配套设置51</w:t>
            </w:r>
            <w:r>
              <w:rPr>
                <w:spacing w:val="-1"/>
              </w:rPr>
              <w:t>台箱变，单台箱变全</w:t>
            </w:r>
            <w:r>
              <w:t xml:space="preserve">  </w:t>
            </w:r>
            <w:r>
              <w:rPr>
                <w:spacing w:val="-2"/>
              </w:rPr>
              <w:t>部更换时将产生废变压器油0.5t,全部箱变更换时总产生量为25.5t/次。</w:t>
            </w:r>
            <w:r>
              <w:rPr>
                <w:spacing w:val="-3"/>
              </w:rPr>
              <w:t>变压器油</w:t>
            </w:r>
            <w:r>
              <w:t xml:space="preserve"> </w:t>
            </w:r>
            <w:r>
              <w:rPr>
                <w:spacing w:val="7"/>
              </w:rPr>
              <w:t>密度约为895</w:t>
            </w:r>
            <w:r>
              <w:t>kg</w:t>
            </w:r>
            <w:r>
              <w:rPr>
                <w:spacing w:val="7"/>
              </w:rPr>
              <w:t>/m³考虑安全存贮系数1.2,计算单个箱变集油坑容积不低于1m³,</w:t>
            </w:r>
            <w:r>
              <w:rPr>
                <w:spacing w:val="4"/>
              </w:rPr>
              <w:t xml:space="preserve"> 因此环评要求单个箱变集油坑容积不低于1m³;采用钢筋混凝</w:t>
            </w:r>
            <w:r>
              <w:rPr>
                <w:spacing w:val="3"/>
              </w:rPr>
              <w:t>土结构，满足单台</w:t>
            </w:r>
            <w:r>
              <w:t xml:space="preserve">  </w:t>
            </w:r>
            <w:r>
              <w:rPr>
                <w:spacing w:val="-1"/>
              </w:rPr>
              <w:t>主变压器事故后排油存储。</w:t>
            </w:r>
          </w:p>
          <w:p w14:paraId="3270AB9B">
            <w:pPr>
              <w:pStyle w:val="6"/>
              <w:spacing w:before="1" w:line="217" w:lineRule="auto"/>
              <w:ind w:left="580"/>
            </w:pPr>
            <w:r>
              <w:t>箱变集油坑底部和四周按照《环境影响评价技术导则地下水环境》</w:t>
            </w:r>
          </w:p>
          <w:p w14:paraId="2A7D0B13">
            <w:pPr>
              <w:pStyle w:val="6"/>
              <w:spacing w:before="205" w:line="216" w:lineRule="auto"/>
              <w:ind w:left="210"/>
            </w:pPr>
            <w:r>
              <w:t>(HJ610-2016)表7重点防渗区要求进行防渗：等效黏土防渗层Mb≥6.0m,K</w:t>
            </w:r>
          </w:p>
          <w:p w14:paraId="37287D0F">
            <w:pPr>
              <w:pStyle w:val="6"/>
              <w:spacing w:before="180" w:line="357" w:lineRule="auto"/>
              <w:ind w:left="100" w:firstLine="9"/>
            </w:pPr>
            <w:r>
              <w:rPr>
                <w:spacing w:val="-1"/>
              </w:rPr>
              <w:t>≤1×10-</w:t>
            </w:r>
            <w:r>
              <w:rPr>
                <w:rFonts w:ascii="Calibri" w:hAnsi="Calibri" w:eastAsia="Calibri" w:cs="Calibri"/>
                <w:spacing w:val="-1"/>
              </w:rPr>
              <w:t>⁷</w:t>
            </w:r>
            <w:r>
              <w:rPr>
                <w:spacing w:val="-1"/>
              </w:rPr>
              <w:t>cm/s。确保箱变集油坑在存储的过程中不会渗漏。箱变集油坑雨</w:t>
            </w:r>
            <w:r>
              <w:rPr>
                <w:spacing w:val="-2"/>
              </w:rPr>
              <w:t>季增加</w:t>
            </w:r>
            <w:r>
              <w:t xml:space="preserve"> </w:t>
            </w:r>
            <w:r>
              <w:rPr>
                <w:spacing w:val="-1"/>
              </w:rPr>
              <w:t>检查频率排水，增加排水频率。</w:t>
            </w:r>
          </w:p>
          <w:p w14:paraId="3270EB2F">
            <w:pPr>
              <w:pStyle w:val="6"/>
              <w:spacing w:before="4" w:line="219" w:lineRule="auto"/>
              <w:ind w:left="590"/>
            </w:pPr>
            <w:r>
              <w:t>升压站内变压器等电气设备为了绝缘和冷却的需要，其外壳内装有变压器</w:t>
            </w:r>
          </w:p>
          <w:p w14:paraId="428A6728">
            <w:pPr>
              <w:pStyle w:val="6"/>
              <w:spacing w:before="184" w:line="356" w:lineRule="auto"/>
              <w:ind w:left="90" w:firstLine="19"/>
            </w:pPr>
            <w:r>
              <w:rPr>
                <w:spacing w:val="-6"/>
              </w:rPr>
              <w:t>油，正常情况下变压器油不外排，在事故和检修过程中的可能造成变压器油泄露。</w:t>
            </w:r>
            <w:r>
              <w:rPr>
                <w:spacing w:val="10"/>
              </w:rPr>
              <w:t xml:space="preserve"> </w:t>
            </w:r>
            <w:r>
              <w:rPr>
                <w:spacing w:val="-3"/>
              </w:rPr>
              <w:t>变压器油大约每10年更换一次，更换所有的变压器油。</w:t>
            </w:r>
          </w:p>
          <w:p w14:paraId="2BEB1621">
            <w:pPr>
              <w:pStyle w:val="6"/>
              <w:spacing w:before="6" w:line="221" w:lineRule="auto"/>
              <w:ind w:left="480"/>
            </w:pPr>
            <w:r>
              <w:rPr>
                <w:spacing w:val="4"/>
              </w:rPr>
              <w:t>主变变压器油</w:t>
            </w:r>
          </w:p>
          <w:p w14:paraId="42057936">
            <w:pPr>
              <w:pStyle w:val="6"/>
              <w:spacing w:before="181" w:line="352" w:lineRule="auto"/>
              <w:ind w:left="100" w:right="25" w:firstLine="489"/>
            </w:pPr>
            <w:r>
              <w:rPr>
                <w:spacing w:val="-13"/>
              </w:rPr>
              <w:t>根 据 建 设 方</w:t>
            </w:r>
            <w:r>
              <w:rPr>
                <w:spacing w:val="-15"/>
              </w:rPr>
              <w:t xml:space="preserve"> </w:t>
            </w:r>
            <w:r>
              <w:rPr>
                <w:spacing w:val="-13"/>
              </w:rPr>
              <w:t>提</w:t>
            </w:r>
            <w:r>
              <w:rPr>
                <w:spacing w:val="-16"/>
              </w:rPr>
              <w:t xml:space="preserve"> </w:t>
            </w:r>
            <w:r>
              <w:rPr>
                <w:spacing w:val="-13"/>
              </w:rPr>
              <w:t>供 的 可 研</w:t>
            </w:r>
            <w:r>
              <w:rPr>
                <w:spacing w:val="-12"/>
              </w:rPr>
              <w:t xml:space="preserve"> </w:t>
            </w:r>
            <w:r>
              <w:rPr>
                <w:spacing w:val="-13"/>
              </w:rPr>
              <w:t>设</w:t>
            </w:r>
            <w:r>
              <w:rPr>
                <w:spacing w:val="-16"/>
              </w:rPr>
              <w:t xml:space="preserve"> </w:t>
            </w:r>
            <w:r>
              <w:rPr>
                <w:spacing w:val="-13"/>
              </w:rPr>
              <w:t>计 资</w:t>
            </w:r>
            <w:r>
              <w:rPr>
                <w:spacing w:val="-16"/>
              </w:rPr>
              <w:t xml:space="preserve"> </w:t>
            </w:r>
            <w:r>
              <w:rPr>
                <w:spacing w:val="-13"/>
              </w:rPr>
              <w:t>料 ， 项</w:t>
            </w:r>
            <w:r>
              <w:rPr>
                <w:spacing w:val="30"/>
              </w:rPr>
              <w:t xml:space="preserve"> </w:t>
            </w:r>
            <w:r>
              <w:rPr>
                <w:spacing w:val="-13"/>
              </w:rPr>
              <w:t>目 主</w:t>
            </w:r>
            <w:r>
              <w:rPr>
                <w:spacing w:val="-16"/>
              </w:rPr>
              <w:t xml:space="preserve"> </w:t>
            </w:r>
            <w:r>
              <w:rPr>
                <w:spacing w:val="-13"/>
              </w:rPr>
              <w:t>变</w:t>
            </w:r>
            <w:r>
              <w:rPr>
                <w:spacing w:val="-16"/>
              </w:rPr>
              <w:t xml:space="preserve"> </w:t>
            </w:r>
            <w:r>
              <w:rPr>
                <w:spacing w:val="-13"/>
              </w:rPr>
              <w:t>变</w:t>
            </w:r>
            <w:r>
              <w:rPr>
                <w:spacing w:val="-15"/>
              </w:rPr>
              <w:t xml:space="preserve"> </w:t>
            </w:r>
            <w:r>
              <w:rPr>
                <w:spacing w:val="-13"/>
              </w:rPr>
              <w:t>压</w:t>
            </w:r>
            <w:r>
              <w:rPr>
                <w:spacing w:val="-15"/>
              </w:rPr>
              <w:t xml:space="preserve"> </w:t>
            </w:r>
            <w:r>
              <w:rPr>
                <w:spacing w:val="-13"/>
              </w:rPr>
              <w:t>器</w:t>
            </w:r>
            <w:r>
              <w:rPr>
                <w:spacing w:val="-17"/>
              </w:rPr>
              <w:t xml:space="preserve"> </w:t>
            </w:r>
            <w:r>
              <w:rPr>
                <w:spacing w:val="-13"/>
              </w:rPr>
              <w:t>选 用</w:t>
            </w:r>
            <w:r>
              <w:t xml:space="preserve"> SFZ18-120000/220GY,其油量使用量为27t,全部更换将产生废变压器油27t。变</w:t>
            </w:r>
          </w:p>
          <w:p w14:paraId="11D0D9EE">
            <w:pPr>
              <w:pStyle w:val="6"/>
              <w:spacing w:before="7" w:line="358" w:lineRule="auto"/>
              <w:ind w:left="100" w:firstLine="9"/>
            </w:pPr>
            <w:r>
              <w:rPr>
                <w:spacing w:val="2"/>
              </w:rPr>
              <w:t>压器油密度约为895</w:t>
            </w:r>
            <w:r>
              <w:t>kg</w:t>
            </w:r>
            <w:r>
              <w:rPr>
                <w:spacing w:val="2"/>
              </w:rPr>
              <w:t>/m³考虑安全存贮系数1.2,计算主变</w:t>
            </w:r>
            <w:r>
              <w:rPr>
                <w:spacing w:val="1"/>
              </w:rPr>
              <w:t>事故油池容积应不低</w:t>
            </w:r>
            <w:r>
              <w:t xml:space="preserve">  </w:t>
            </w:r>
            <w:r>
              <w:rPr>
                <w:spacing w:val="1"/>
              </w:rPr>
              <w:t>于37m³。根据本项目的可研报告，升压站内设置1座地埋式事故油池，容积45m³,</w:t>
            </w:r>
            <w:r>
              <w:rPr>
                <w:spacing w:val="4"/>
              </w:rPr>
              <w:t xml:space="preserve"> </w:t>
            </w:r>
            <w:r>
              <w:rPr>
                <w:spacing w:val="-2"/>
              </w:rPr>
              <w:t>满足主变压器事故后排油存储，事故油池采用钢筋混凝土结构。</w:t>
            </w:r>
          </w:p>
          <w:p w14:paraId="78F1DAF6">
            <w:pPr>
              <w:pStyle w:val="6"/>
              <w:spacing w:before="2" w:line="365" w:lineRule="auto"/>
              <w:ind w:left="210" w:right="44" w:firstLine="370"/>
            </w:pPr>
            <w:r>
              <w:rPr>
                <w:spacing w:val="43"/>
              </w:rPr>
              <w:t>事故油池底部和四周按照《环境影响评价技术导则地</w:t>
            </w:r>
            <w:r>
              <w:rPr>
                <w:spacing w:val="42"/>
              </w:rPr>
              <w:t>下水环境》</w:t>
            </w:r>
            <w:r>
              <w:t xml:space="preserve"> (HJ610-2016)表7重点防渗区要求进行防渗：等效黏土防渗层Mb≥6.0m,K</w:t>
            </w:r>
          </w:p>
          <w:p w14:paraId="47D3AB30">
            <w:pPr>
              <w:pStyle w:val="6"/>
              <w:spacing w:before="1" w:line="218" w:lineRule="auto"/>
              <w:ind w:left="100"/>
            </w:pPr>
            <w:r>
              <w:t>≤1×10-7cm/s。确保事故油和油污水在存储的过程中不会渗</w:t>
            </w:r>
            <w:r>
              <w:rPr>
                <w:spacing w:val="-1"/>
              </w:rPr>
              <w:t>漏。</w:t>
            </w:r>
          </w:p>
          <w:p w14:paraId="21CBAAE1">
            <w:pPr>
              <w:pStyle w:val="6"/>
              <w:spacing w:before="186" w:line="359" w:lineRule="auto"/>
              <w:ind w:left="110" w:right="21" w:firstLine="479"/>
            </w:pPr>
            <w:r>
              <w:t>运营期正常情况下，变压器无漏油产生，一旦发生事故，产生的事故油经管</w:t>
            </w:r>
            <w:r>
              <w:rPr>
                <w:spacing w:val="12"/>
              </w:rPr>
              <w:t xml:space="preserve"> </w:t>
            </w:r>
            <w:r>
              <w:t>道排入事故油池，经维修人员过滤处理后抽回变压器中继</w:t>
            </w:r>
            <w:r>
              <w:rPr>
                <w:spacing w:val="-1"/>
              </w:rPr>
              <w:t>续使用，根据类比同类</w:t>
            </w:r>
            <w:r>
              <w:t xml:space="preserve"> </w:t>
            </w:r>
            <w:r>
              <w:rPr>
                <w:spacing w:val="1"/>
              </w:rPr>
              <w:t>项目，约92%的事故油经过滤处理后属合格变压器油</w:t>
            </w:r>
            <w:r>
              <w:t>，剩余的8%的废油为废油</w:t>
            </w:r>
          </w:p>
          <w:p w14:paraId="2D7C1FC5">
            <w:pPr>
              <w:pStyle w:val="6"/>
              <w:spacing w:before="1" w:line="360" w:lineRule="auto"/>
              <w:ind w:left="70" w:right="44" w:firstLine="40"/>
            </w:pPr>
            <w:r>
              <w:t>渣不能使用，则项目废变压器油产生量为2.16t/次，主</w:t>
            </w:r>
            <w:r>
              <w:rPr>
                <w:spacing w:val="-1"/>
              </w:rPr>
              <w:t>变变压器每年进行一次检</w:t>
            </w:r>
            <w:r>
              <w:t xml:space="preserve"> 修。</w:t>
            </w:r>
          </w:p>
          <w:p w14:paraId="03E7E13D">
            <w:pPr>
              <w:pStyle w:val="6"/>
              <w:spacing w:before="2" w:line="333" w:lineRule="auto"/>
              <w:ind w:left="230" w:right="141" w:firstLine="360"/>
            </w:pPr>
            <w:r>
              <w:t>对照《国家危险废物名录》(2021年版),废变压器油废物代码为900-220-08</w:t>
            </w:r>
            <w:r>
              <w:rPr>
                <w:spacing w:val="13"/>
              </w:rPr>
              <w:t xml:space="preserve"> </w:t>
            </w:r>
            <w:r>
              <w:t>(变压器维护、更换和拆解过程中产生的废变压器油),属“HW08废矿物油与</w:t>
            </w:r>
          </w:p>
        </w:tc>
      </w:tr>
    </w:tbl>
    <w:p w14:paraId="4465F1EC">
      <w:pPr>
        <w:pStyle w:val="2"/>
      </w:pPr>
    </w:p>
    <w:p w14:paraId="123E7746">
      <w:pPr>
        <w:sectPr>
          <w:footerReference r:id="rId104" w:type="default"/>
          <w:pgSz w:w="11910" w:h="16840"/>
          <w:pgMar w:top="1431" w:right="1484" w:bottom="1255" w:left="1445" w:header="0" w:footer="1093" w:gutter="0"/>
          <w:cols w:space="720" w:num="1"/>
        </w:sectPr>
      </w:pPr>
    </w:p>
    <w:p w14:paraId="609FF473">
      <w:pPr>
        <w:spacing w:line="103" w:lineRule="exact"/>
      </w:pPr>
    </w:p>
    <w:tbl>
      <w:tblPr>
        <w:tblStyle w:val="5"/>
        <w:tblW w:w="88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4"/>
        <w:gridCol w:w="1179"/>
        <w:gridCol w:w="1378"/>
        <w:gridCol w:w="1788"/>
        <w:gridCol w:w="999"/>
        <w:gridCol w:w="3061"/>
      </w:tblGrid>
      <w:tr w14:paraId="40B95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1" w:hRule="atLeast"/>
        </w:trPr>
        <w:tc>
          <w:tcPr>
            <w:tcW w:w="404" w:type="dxa"/>
            <w:vMerge w:val="restart"/>
            <w:tcBorders>
              <w:bottom w:val="nil"/>
            </w:tcBorders>
            <w:vAlign w:val="top"/>
          </w:tcPr>
          <w:p w14:paraId="3D15018C">
            <w:pPr>
              <w:rPr>
                <w:rFonts w:ascii="Arial"/>
                <w:sz w:val="21"/>
              </w:rPr>
            </w:pPr>
          </w:p>
        </w:tc>
        <w:tc>
          <w:tcPr>
            <w:tcW w:w="8405" w:type="dxa"/>
            <w:gridSpan w:val="5"/>
            <w:vAlign w:val="top"/>
          </w:tcPr>
          <w:p w14:paraId="312C2F1D">
            <w:pPr>
              <w:pStyle w:val="6"/>
              <w:spacing w:before="12" w:line="389" w:lineRule="auto"/>
              <w:ind w:left="60" w:right="752" w:hanging="30"/>
              <w:rPr>
                <w:sz w:val="22"/>
                <w:szCs w:val="22"/>
              </w:rPr>
            </w:pPr>
            <w:r>
              <w:rPr>
                <w:spacing w:val="1"/>
                <w:sz w:val="22"/>
                <w:szCs w:val="22"/>
              </w:rPr>
              <w:t>含矿物油废物的危险废物”。采用油桶收集之</w:t>
            </w:r>
            <w:r>
              <w:rPr>
                <w:sz w:val="22"/>
                <w:szCs w:val="22"/>
              </w:rPr>
              <w:t>后，升压站内设置1间危废暂存间 暂存，委托有危废处置资质的单位定期清运处</w:t>
            </w:r>
            <w:r>
              <w:rPr>
                <w:spacing w:val="-1"/>
                <w:sz w:val="22"/>
                <w:szCs w:val="22"/>
              </w:rPr>
              <w:t>理。</w:t>
            </w:r>
          </w:p>
          <w:p w14:paraId="346EC532">
            <w:pPr>
              <w:pStyle w:val="6"/>
              <w:spacing w:before="4" w:line="219" w:lineRule="auto"/>
              <w:ind w:left="630"/>
              <w:rPr>
                <w:sz w:val="22"/>
                <w:szCs w:val="22"/>
              </w:rPr>
            </w:pPr>
            <w:r>
              <w:rPr>
                <w:spacing w:val="41"/>
                <w:sz w:val="22"/>
                <w:szCs w:val="22"/>
              </w:rPr>
              <w:t>3)废铅蓄电池</w:t>
            </w:r>
          </w:p>
          <w:p w14:paraId="0FA38A2B">
            <w:pPr>
              <w:pStyle w:val="6"/>
              <w:spacing w:before="207" w:line="219" w:lineRule="auto"/>
              <w:ind w:left="470"/>
              <w:rPr>
                <w:sz w:val="22"/>
                <w:szCs w:val="22"/>
              </w:rPr>
            </w:pPr>
            <w:r>
              <w:rPr>
                <w:sz w:val="22"/>
                <w:szCs w:val="22"/>
              </w:rPr>
              <w:t>升压站内铅蓄电池用于升压站故障情况下，站内</w:t>
            </w:r>
            <w:r>
              <w:rPr>
                <w:spacing w:val="-1"/>
                <w:sz w:val="22"/>
                <w:szCs w:val="22"/>
              </w:rPr>
              <w:t>应急保护、测控供电及主控</w:t>
            </w:r>
          </w:p>
          <w:p w14:paraId="6420DC24">
            <w:pPr>
              <w:pStyle w:val="6"/>
              <w:spacing w:before="197" w:line="216" w:lineRule="auto"/>
              <w:ind w:left="20"/>
              <w:rPr>
                <w:sz w:val="22"/>
                <w:szCs w:val="22"/>
              </w:rPr>
            </w:pPr>
            <w:r>
              <w:rPr>
                <w:spacing w:val="39"/>
                <w:sz w:val="22"/>
                <w:szCs w:val="22"/>
              </w:rPr>
              <w:t>楼应急照明。废铅蓄电池属于危险废物(类别：</w:t>
            </w:r>
            <w:r>
              <w:rPr>
                <w:spacing w:val="101"/>
                <w:sz w:val="22"/>
                <w:szCs w:val="22"/>
              </w:rPr>
              <w:t xml:space="preserve"> </w:t>
            </w:r>
            <w:r>
              <w:rPr>
                <w:sz w:val="22"/>
                <w:szCs w:val="22"/>
              </w:rPr>
              <w:t>H</w:t>
            </w:r>
            <w:r>
              <w:rPr>
                <w:spacing w:val="-61"/>
                <w:sz w:val="22"/>
                <w:szCs w:val="22"/>
              </w:rPr>
              <w:t xml:space="preserve"> </w:t>
            </w:r>
            <w:r>
              <w:rPr>
                <w:sz w:val="22"/>
                <w:szCs w:val="22"/>
              </w:rPr>
              <w:t>W</w:t>
            </w:r>
            <w:r>
              <w:rPr>
                <w:spacing w:val="39"/>
                <w:sz w:val="22"/>
                <w:szCs w:val="22"/>
              </w:rPr>
              <w:t>31,含铅废物；代码：</w:t>
            </w:r>
          </w:p>
          <w:p w14:paraId="7DDABFD8">
            <w:pPr>
              <w:pStyle w:val="6"/>
              <w:spacing w:before="216" w:line="392" w:lineRule="auto"/>
              <w:ind w:left="10" w:right="562"/>
              <w:rPr>
                <w:sz w:val="22"/>
                <w:szCs w:val="22"/>
              </w:rPr>
            </w:pPr>
            <w:r>
              <w:rPr>
                <w:sz w:val="22"/>
                <w:szCs w:val="22"/>
              </w:rPr>
              <w:t>900-052-31)。根据类比同类型项目，废蓄电池产生量约为1.2t/a。更换下来的废</w:t>
            </w:r>
            <w:r>
              <w:rPr>
                <w:spacing w:val="10"/>
                <w:sz w:val="22"/>
                <w:szCs w:val="22"/>
              </w:rPr>
              <w:t xml:space="preserve"> </w:t>
            </w:r>
            <w:r>
              <w:rPr>
                <w:sz w:val="22"/>
                <w:szCs w:val="22"/>
              </w:rPr>
              <w:t>蓄电池经专用容器收集后暂存于升压站危废暂存间，委托有资质单位定期清运处</w:t>
            </w:r>
            <w:r>
              <w:rPr>
                <w:spacing w:val="4"/>
                <w:sz w:val="22"/>
                <w:szCs w:val="22"/>
              </w:rPr>
              <w:t xml:space="preserve">  </w:t>
            </w:r>
            <w:r>
              <w:rPr>
                <w:spacing w:val="5"/>
                <w:sz w:val="22"/>
                <w:szCs w:val="22"/>
              </w:rPr>
              <w:t>置。</w:t>
            </w:r>
          </w:p>
          <w:p w14:paraId="48280666">
            <w:pPr>
              <w:pStyle w:val="6"/>
              <w:spacing w:before="6" w:line="219" w:lineRule="auto"/>
              <w:ind w:left="470"/>
              <w:rPr>
                <w:sz w:val="22"/>
                <w:szCs w:val="22"/>
              </w:rPr>
            </w:pPr>
            <w:r>
              <w:rPr>
                <w:sz w:val="22"/>
                <w:szCs w:val="22"/>
              </w:rPr>
              <w:t>本项目固体废弃物产排情况汇总如下：</w:t>
            </w:r>
          </w:p>
          <w:p w14:paraId="11B3E196">
            <w:pPr>
              <w:pStyle w:val="6"/>
              <w:spacing w:before="198" w:line="219" w:lineRule="auto"/>
              <w:ind w:left="2394"/>
              <w:rPr>
                <w:sz w:val="22"/>
                <w:szCs w:val="22"/>
              </w:rPr>
            </w:pPr>
            <w:r>
              <w:rPr>
                <w:b/>
                <w:bCs/>
                <w:spacing w:val="23"/>
                <w:sz w:val="22"/>
                <w:szCs w:val="22"/>
              </w:rPr>
              <w:t>表4</w:t>
            </w:r>
            <w:r>
              <w:rPr>
                <w:spacing w:val="-63"/>
                <w:sz w:val="22"/>
                <w:szCs w:val="22"/>
              </w:rPr>
              <w:t xml:space="preserve"> </w:t>
            </w:r>
            <w:r>
              <w:rPr>
                <w:b/>
                <w:bCs/>
                <w:spacing w:val="23"/>
                <w:sz w:val="22"/>
                <w:szCs w:val="22"/>
              </w:rPr>
              <w:t>-</w:t>
            </w:r>
            <w:r>
              <w:rPr>
                <w:spacing w:val="-60"/>
                <w:sz w:val="22"/>
                <w:szCs w:val="22"/>
              </w:rPr>
              <w:t xml:space="preserve"> </w:t>
            </w:r>
            <w:r>
              <w:rPr>
                <w:b/>
                <w:bCs/>
                <w:spacing w:val="23"/>
                <w:sz w:val="22"/>
                <w:szCs w:val="22"/>
              </w:rPr>
              <w:t>9项目固体废物产排情况</w:t>
            </w:r>
            <w:r>
              <w:rPr>
                <w:spacing w:val="-58"/>
                <w:sz w:val="22"/>
                <w:szCs w:val="22"/>
              </w:rPr>
              <w:t xml:space="preserve"> </w:t>
            </w:r>
            <w:r>
              <w:rPr>
                <w:b/>
                <w:bCs/>
                <w:spacing w:val="23"/>
                <w:sz w:val="22"/>
                <w:szCs w:val="22"/>
              </w:rPr>
              <w:t>一</w:t>
            </w:r>
            <w:r>
              <w:rPr>
                <w:spacing w:val="-57"/>
                <w:sz w:val="22"/>
                <w:szCs w:val="22"/>
              </w:rPr>
              <w:t xml:space="preserve"> </w:t>
            </w:r>
            <w:r>
              <w:rPr>
                <w:b/>
                <w:bCs/>
                <w:spacing w:val="23"/>
                <w:sz w:val="22"/>
                <w:szCs w:val="22"/>
              </w:rPr>
              <w:t>览表</w:t>
            </w:r>
          </w:p>
        </w:tc>
      </w:tr>
      <w:tr w14:paraId="2DE78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404" w:type="dxa"/>
            <w:vMerge w:val="continue"/>
            <w:tcBorders>
              <w:top w:val="nil"/>
              <w:bottom w:val="nil"/>
            </w:tcBorders>
            <w:vAlign w:val="top"/>
          </w:tcPr>
          <w:p w14:paraId="23063230">
            <w:pPr>
              <w:rPr>
                <w:rFonts w:ascii="Arial"/>
                <w:sz w:val="21"/>
              </w:rPr>
            </w:pPr>
          </w:p>
        </w:tc>
        <w:tc>
          <w:tcPr>
            <w:tcW w:w="1179" w:type="dxa"/>
            <w:vAlign w:val="top"/>
          </w:tcPr>
          <w:p w14:paraId="5464A7AC">
            <w:pPr>
              <w:pStyle w:val="6"/>
              <w:spacing w:before="130" w:line="220" w:lineRule="auto"/>
              <w:ind w:left="364"/>
              <w:rPr>
                <w:sz w:val="22"/>
                <w:szCs w:val="22"/>
              </w:rPr>
            </w:pPr>
            <w:r>
              <w:rPr>
                <w:b/>
                <w:bCs/>
                <w:sz w:val="22"/>
                <w:szCs w:val="22"/>
              </w:rPr>
              <w:t>固废</w:t>
            </w:r>
          </w:p>
        </w:tc>
        <w:tc>
          <w:tcPr>
            <w:tcW w:w="1378" w:type="dxa"/>
            <w:vAlign w:val="top"/>
          </w:tcPr>
          <w:p w14:paraId="057A71CF">
            <w:pPr>
              <w:pStyle w:val="6"/>
              <w:spacing w:before="130" w:line="220" w:lineRule="auto"/>
              <w:ind w:left="245"/>
              <w:rPr>
                <w:sz w:val="22"/>
                <w:szCs w:val="22"/>
              </w:rPr>
            </w:pPr>
            <w:r>
              <w:rPr>
                <w:b/>
                <w:bCs/>
                <w:spacing w:val="-5"/>
                <w:sz w:val="22"/>
                <w:szCs w:val="22"/>
              </w:rPr>
              <w:t>主要成分</w:t>
            </w:r>
          </w:p>
        </w:tc>
        <w:tc>
          <w:tcPr>
            <w:tcW w:w="1788" w:type="dxa"/>
            <w:vAlign w:val="top"/>
          </w:tcPr>
          <w:p w14:paraId="2012FEC7">
            <w:pPr>
              <w:pStyle w:val="6"/>
              <w:spacing w:before="131" w:line="221" w:lineRule="auto"/>
              <w:ind w:left="667"/>
              <w:rPr>
                <w:sz w:val="22"/>
                <w:szCs w:val="22"/>
              </w:rPr>
            </w:pPr>
            <w:r>
              <w:rPr>
                <w:b/>
                <w:bCs/>
                <w:spacing w:val="-5"/>
                <w:sz w:val="22"/>
                <w:szCs w:val="22"/>
              </w:rPr>
              <w:t>属性</w:t>
            </w:r>
          </w:p>
        </w:tc>
        <w:tc>
          <w:tcPr>
            <w:tcW w:w="999" w:type="dxa"/>
            <w:vAlign w:val="top"/>
          </w:tcPr>
          <w:p w14:paraId="24055A62">
            <w:pPr>
              <w:pStyle w:val="6"/>
              <w:spacing w:before="9" w:line="196" w:lineRule="auto"/>
              <w:ind w:left="169"/>
              <w:rPr>
                <w:sz w:val="22"/>
                <w:szCs w:val="22"/>
              </w:rPr>
            </w:pPr>
            <w:r>
              <w:rPr>
                <w:b/>
                <w:bCs/>
                <w:spacing w:val="-5"/>
                <w:sz w:val="22"/>
                <w:szCs w:val="22"/>
              </w:rPr>
              <w:t>产生量</w:t>
            </w:r>
          </w:p>
          <w:p w14:paraId="7DE26FAA">
            <w:pPr>
              <w:pStyle w:val="6"/>
              <w:spacing w:line="190" w:lineRule="auto"/>
              <w:ind w:left="309"/>
              <w:rPr>
                <w:sz w:val="22"/>
                <w:szCs w:val="22"/>
              </w:rPr>
            </w:pPr>
            <w:r>
              <w:rPr>
                <w:b/>
                <w:bCs/>
                <w:spacing w:val="-10"/>
                <w:sz w:val="22"/>
                <w:szCs w:val="22"/>
              </w:rPr>
              <w:t>(t/a)</w:t>
            </w:r>
          </w:p>
        </w:tc>
        <w:tc>
          <w:tcPr>
            <w:tcW w:w="3061" w:type="dxa"/>
            <w:vAlign w:val="top"/>
          </w:tcPr>
          <w:p w14:paraId="78139E43">
            <w:pPr>
              <w:pStyle w:val="6"/>
              <w:spacing w:before="130" w:line="220" w:lineRule="auto"/>
              <w:ind w:left="1090"/>
              <w:rPr>
                <w:sz w:val="22"/>
                <w:szCs w:val="22"/>
              </w:rPr>
            </w:pPr>
            <w:r>
              <w:rPr>
                <w:b/>
                <w:bCs/>
                <w:spacing w:val="-5"/>
                <w:sz w:val="22"/>
                <w:szCs w:val="22"/>
              </w:rPr>
              <w:t>处置情况</w:t>
            </w:r>
          </w:p>
        </w:tc>
      </w:tr>
      <w:tr w14:paraId="5814F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04" w:type="dxa"/>
            <w:vMerge w:val="continue"/>
            <w:tcBorders>
              <w:top w:val="nil"/>
              <w:bottom w:val="nil"/>
            </w:tcBorders>
            <w:vAlign w:val="top"/>
          </w:tcPr>
          <w:p w14:paraId="6BC765FB">
            <w:pPr>
              <w:rPr>
                <w:rFonts w:ascii="Arial"/>
                <w:sz w:val="21"/>
              </w:rPr>
            </w:pPr>
          </w:p>
        </w:tc>
        <w:tc>
          <w:tcPr>
            <w:tcW w:w="1179" w:type="dxa"/>
            <w:vAlign w:val="top"/>
          </w:tcPr>
          <w:p w14:paraId="6EDB5C9F">
            <w:pPr>
              <w:pStyle w:val="6"/>
              <w:spacing w:before="43" w:line="217" w:lineRule="auto"/>
              <w:ind w:left="141"/>
              <w:rPr>
                <w:sz w:val="22"/>
                <w:szCs w:val="22"/>
              </w:rPr>
            </w:pPr>
            <w:r>
              <w:rPr>
                <w:spacing w:val="5"/>
                <w:sz w:val="22"/>
                <w:szCs w:val="22"/>
              </w:rPr>
              <w:t>废旧太阳</w:t>
            </w:r>
          </w:p>
          <w:p w14:paraId="706666F9">
            <w:pPr>
              <w:pStyle w:val="6"/>
              <w:spacing w:line="191" w:lineRule="auto"/>
              <w:ind w:left="141"/>
              <w:rPr>
                <w:sz w:val="22"/>
                <w:szCs w:val="22"/>
              </w:rPr>
            </w:pPr>
            <w:r>
              <w:rPr>
                <w:spacing w:val="2"/>
                <w:sz w:val="22"/>
                <w:szCs w:val="22"/>
              </w:rPr>
              <w:t>能电池板</w:t>
            </w:r>
          </w:p>
        </w:tc>
        <w:tc>
          <w:tcPr>
            <w:tcW w:w="1378" w:type="dxa"/>
            <w:vAlign w:val="top"/>
          </w:tcPr>
          <w:p w14:paraId="02BC2B38">
            <w:pPr>
              <w:pStyle w:val="6"/>
              <w:spacing w:before="43" w:line="204" w:lineRule="auto"/>
              <w:ind w:left="181" w:right="126" w:hanging="50"/>
              <w:rPr>
                <w:sz w:val="22"/>
                <w:szCs w:val="22"/>
              </w:rPr>
            </w:pPr>
            <w:r>
              <w:rPr>
                <w:spacing w:val="1"/>
                <w:sz w:val="22"/>
                <w:szCs w:val="22"/>
              </w:rPr>
              <w:t>玻璃、晶体</w:t>
            </w:r>
            <w:r>
              <w:rPr>
                <w:spacing w:val="3"/>
                <w:sz w:val="22"/>
                <w:szCs w:val="22"/>
              </w:rPr>
              <w:t xml:space="preserve"> </w:t>
            </w:r>
            <w:r>
              <w:rPr>
                <w:spacing w:val="-1"/>
                <w:sz w:val="22"/>
                <w:szCs w:val="22"/>
              </w:rPr>
              <w:t>硅、EVA膜</w:t>
            </w:r>
          </w:p>
        </w:tc>
        <w:tc>
          <w:tcPr>
            <w:tcW w:w="1788" w:type="dxa"/>
            <w:vAlign w:val="top"/>
          </w:tcPr>
          <w:p w14:paraId="39E0D70B">
            <w:pPr>
              <w:pStyle w:val="6"/>
              <w:spacing w:before="163" w:line="220" w:lineRule="auto"/>
              <w:ind w:left="443"/>
              <w:rPr>
                <w:sz w:val="22"/>
                <w:szCs w:val="22"/>
              </w:rPr>
            </w:pPr>
            <w:r>
              <w:rPr>
                <w:spacing w:val="2"/>
                <w:sz w:val="22"/>
                <w:szCs w:val="22"/>
              </w:rPr>
              <w:t>一般固废</w:t>
            </w:r>
          </w:p>
        </w:tc>
        <w:tc>
          <w:tcPr>
            <w:tcW w:w="999" w:type="dxa"/>
            <w:vAlign w:val="top"/>
          </w:tcPr>
          <w:p w14:paraId="1C363900">
            <w:pPr>
              <w:pStyle w:val="6"/>
              <w:spacing w:before="185" w:line="241" w:lineRule="auto"/>
              <w:ind w:left="435"/>
              <w:rPr>
                <w:sz w:val="22"/>
                <w:szCs w:val="22"/>
              </w:rPr>
            </w:pPr>
            <w:r>
              <w:rPr>
                <w:sz w:val="22"/>
                <w:szCs w:val="22"/>
              </w:rPr>
              <w:t>2</w:t>
            </w:r>
          </w:p>
        </w:tc>
        <w:tc>
          <w:tcPr>
            <w:tcW w:w="3061" w:type="dxa"/>
            <w:vAlign w:val="top"/>
          </w:tcPr>
          <w:p w14:paraId="6E9273A7">
            <w:pPr>
              <w:pStyle w:val="6"/>
              <w:spacing w:before="163" w:line="219" w:lineRule="auto"/>
              <w:ind w:left="757"/>
              <w:rPr>
                <w:sz w:val="22"/>
                <w:szCs w:val="22"/>
              </w:rPr>
            </w:pPr>
            <w:r>
              <w:rPr>
                <w:spacing w:val="1"/>
                <w:sz w:val="22"/>
                <w:szCs w:val="22"/>
              </w:rPr>
              <w:t>由厂家回收处理</w:t>
            </w:r>
          </w:p>
        </w:tc>
      </w:tr>
      <w:tr w14:paraId="224C4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404" w:type="dxa"/>
            <w:vMerge w:val="continue"/>
            <w:tcBorders>
              <w:top w:val="nil"/>
              <w:bottom w:val="nil"/>
            </w:tcBorders>
            <w:vAlign w:val="top"/>
          </w:tcPr>
          <w:p w14:paraId="7F6AC363">
            <w:pPr>
              <w:rPr>
                <w:rFonts w:ascii="Arial"/>
                <w:sz w:val="21"/>
              </w:rPr>
            </w:pPr>
          </w:p>
        </w:tc>
        <w:tc>
          <w:tcPr>
            <w:tcW w:w="1179" w:type="dxa"/>
            <w:vAlign w:val="top"/>
          </w:tcPr>
          <w:p w14:paraId="7AD5675A">
            <w:pPr>
              <w:pStyle w:val="6"/>
              <w:spacing w:before="303" w:line="220" w:lineRule="auto"/>
              <w:ind w:left="141"/>
              <w:rPr>
                <w:sz w:val="22"/>
                <w:szCs w:val="22"/>
              </w:rPr>
            </w:pPr>
            <w:r>
              <w:rPr>
                <w:spacing w:val="-2"/>
                <w:sz w:val="22"/>
                <w:szCs w:val="22"/>
              </w:rPr>
              <w:t>生活垃圾</w:t>
            </w:r>
          </w:p>
        </w:tc>
        <w:tc>
          <w:tcPr>
            <w:tcW w:w="1378" w:type="dxa"/>
            <w:vAlign w:val="top"/>
          </w:tcPr>
          <w:p w14:paraId="5336F9D4">
            <w:pPr>
              <w:pStyle w:val="6"/>
              <w:spacing w:before="303" w:line="219" w:lineRule="auto"/>
              <w:ind w:left="351"/>
              <w:rPr>
                <w:sz w:val="22"/>
                <w:szCs w:val="22"/>
              </w:rPr>
            </w:pPr>
            <w:r>
              <w:rPr>
                <w:spacing w:val="-2"/>
                <w:sz w:val="22"/>
                <w:szCs w:val="22"/>
              </w:rPr>
              <w:t>废弃物</w:t>
            </w:r>
          </w:p>
        </w:tc>
        <w:tc>
          <w:tcPr>
            <w:tcW w:w="1788" w:type="dxa"/>
            <w:vAlign w:val="top"/>
          </w:tcPr>
          <w:p w14:paraId="1F56B5EA">
            <w:pPr>
              <w:pStyle w:val="6"/>
              <w:spacing w:before="303" w:line="220" w:lineRule="auto"/>
              <w:ind w:left="443"/>
              <w:rPr>
                <w:sz w:val="22"/>
                <w:szCs w:val="22"/>
              </w:rPr>
            </w:pPr>
            <w:r>
              <w:rPr>
                <w:spacing w:val="2"/>
                <w:sz w:val="22"/>
                <w:szCs w:val="22"/>
              </w:rPr>
              <w:t>一般固废</w:t>
            </w:r>
          </w:p>
        </w:tc>
        <w:tc>
          <w:tcPr>
            <w:tcW w:w="999" w:type="dxa"/>
            <w:vAlign w:val="top"/>
          </w:tcPr>
          <w:p w14:paraId="20110BA9">
            <w:pPr>
              <w:spacing w:line="251" w:lineRule="auto"/>
              <w:rPr>
                <w:rFonts w:ascii="Arial"/>
                <w:sz w:val="21"/>
              </w:rPr>
            </w:pPr>
          </w:p>
          <w:p w14:paraId="5D253A03">
            <w:pPr>
              <w:pStyle w:val="6"/>
              <w:spacing w:before="72" w:line="239" w:lineRule="auto"/>
              <w:ind w:left="275"/>
              <w:rPr>
                <w:sz w:val="22"/>
                <w:szCs w:val="22"/>
              </w:rPr>
            </w:pPr>
            <w:r>
              <w:rPr>
                <w:spacing w:val="-3"/>
                <w:sz w:val="22"/>
                <w:szCs w:val="22"/>
              </w:rPr>
              <w:t>3.65</w:t>
            </w:r>
          </w:p>
        </w:tc>
        <w:tc>
          <w:tcPr>
            <w:tcW w:w="3061" w:type="dxa"/>
            <w:vAlign w:val="top"/>
          </w:tcPr>
          <w:p w14:paraId="13CEAC2D">
            <w:pPr>
              <w:pStyle w:val="6"/>
              <w:spacing w:before="41" w:line="219" w:lineRule="auto"/>
              <w:ind w:left="96"/>
              <w:rPr>
                <w:sz w:val="22"/>
                <w:szCs w:val="22"/>
              </w:rPr>
            </w:pPr>
            <w:r>
              <w:rPr>
                <w:sz w:val="22"/>
                <w:szCs w:val="22"/>
              </w:rPr>
              <w:t>垃圾收集后运至项目附近村子</w:t>
            </w:r>
          </w:p>
          <w:p w14:paraId="43E7B803">
            <w:pPr>
              <w:pStyle w:val="6"/>
              <w:spacing w:before="40" w:line="203" w:lineRule="auto"/>
              <w:ind w:left="96"/>
              <w:rPr>
                <w:sz w:val="22"/>
                <w:szCs w:val="22"/>
              </w:rPr>
            </w:pPr>
            <w:r>
              <w:rPr>
                <w:spacing w:val="1"/>
                <w:sz w:val="22"/>
                <w:szCs w:val="22"/>
              </w:rPr>
              <w:t>垃圾收集点，由当地环卫部门</w:t>
            </w:r>
          </w:p>
          <w:p w14:paraId="7AF7D8DB">
            <w:pPr>
              <w:pStyle w:val="6"/>
              <w:spacing w:line="188" w:lineRule="auto"/>
              <w:ind w:left="866"/>
              <w:rPr>
                <w:sz w:val="22"/>
                <w:szCs w:val="22"/>
              </w:rPr>
            </w:pPr>
            <w:r>
              <w:rPr>
                <w:spacing w:val="1"/>
                <w:sz w:val="22"/>
                <w:szCs w:val="22"/>
              </w:rPr>
              <w:t>统一处理处置</w:t>
            </w:r>
          </w:p>
        </w:tc>
      </w:tr>
      <w:tr w14:paraId="5DA69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404" w:type="dxa"/>
            <w:vMerge w:val="continue"/>
            <w:tcBorders>
              <w:top w:val="nil"/>
              <w:bottom w:val="nil"/>
            </w:tcBorders>
            <w:vAlign w:val="top"/>
          </w:tcPr>
          <w:p w14:paraId="0EE6CD0A">
            <w:pPr>
              <w:rPr>
                <w:rFonts w:ascii="Arial"/>
                <w:sz w:val="21"/>
              </w:rPr>
            </w:pPr>
          </w:p>
        </w:tc>
        <w:tc>
          <w:tcPr>
            <w:tcW w:w="1179" w:type="dxa"/>
            <w:vAlign w:val="top"/>
          </w:tcPr>
          <w:p w14:paraId="1A990CD2">
            <w:pPr>
              <w:pStyle w:val="6"/>
              <w:spacing w:before="54" w:line="219" w:lineRule="auto"/>
              <w:ind w:left="141"/>
              <w:rPr>
                <w:sz w:val="22"/>
                <w:szCs w:val="22"/>
              </w:rPr>
            </w:pPr>
            <w:r>
              <w:rPr>
                <w:spacing w:val="3"/>
                <w:sz w:val="22"/>
                <w:szCs w:val="22"/>
              </w:rPr>
              <w:t>化粪池及</w:t>
            </w:r>
          </w:p>
          <w:p w14:paraId="7DB64F5B">
            <w:pPr>
              <w:pStyle w:val="6"/>
              <w:spacing w:before="9" w:line="219" w:lineRule="auto"/>
              <w:ind w:left="141"/>
              <w:rPr>
                <w:sz w:val="22"/>
                <w:szCs w:val="22"/>
              </w:rPr>
            </w:pPr>
            <w:r>
              <w:rPr>
                <w:spacing w:val="-2"/>
                <w:sz w:val="22"/>
                <w:szCs w:val="22"/>
              </w:rPr>
              <w:t>污水处理</w:t>
            </w:r>
          </w:p>
          <w:p w14:paraId="5918A39D">
            <w:pPr>
              <w:pStyle w:val="6"/>
              <w:spacing w:line="187" w:lineRule="auto"/>
              <w:ind w:left="360"/>
              <w:rPr>
                <w:sz w:val="22"/>
                <w:szCs w:val="22"/>
              </w:rPr>
            </w:pPr>
            <w:r>
              <w:rPr>
                <w:spacing w:val="6"/>
                <w:sz w:val="22"/>
                <w:szCs w:val="22"/>
              </w:rPr>
              <w:t>污泥</w:t>
            </w:r>
          </w:p>
        </w:tc>
        <w:tc>
          <w:tcPr>
            <w:tcW w:w="1378" w:type="dxa"/>
            <w:vAlign w:val="top"/>
          </w:tcPr>
          <w:p w14:paraId="46BDAA8A">
            <w:pPr>
              <w:pStyle w:val="6"/>
              <w:spacing w:before="304" w:line="219" w:lineRule="auto"/>
              <w:ind w:left="351"/>
              <w:rPr>
                <w:sz w:val="22"/>
                <w:szCs w:val="22"/>
              </w:rPr>
            </w:pPr>
            <w:r>
              <w:rPr>
                <w:spacing w:val="-2"/>
                <w:sz w:val="22"/>
                <w:szCs w:val="22"/>
              </w:rPr>
              <w:t>废弃物</w:t>
            </w:r>
          </w:p>
        </w:tc>
        <w:tc>
          <w:tcPr>
            <w:tcW w:w="1788" w:type="dxa"/>
            <w:vAlign w:val="top"/>
          </w:tcPr>
          <w:p w14:paraId="670DB238">
            <w:pPr>
              <w:pStyle w:val="6"/>
              <w:spacing w:before="304" w:line="220" w:lineRule="auto"/>
              <w:ind w:left="443"/>
              <w:rPr>
                <w:sz w:val="22"/>
                <w:szCs w:val="22"/>
              </w:rPr>
            </w:pPr>
            <w:r>
              <w:rPr>
                <w:spacing w:val="2"/>
                <w:sz w:val="22"/>
                <w:szCs w:val="22"/>
              </w:rPr>
              <w:t>一般固废</w:t>
            </w:r>
          </w:p>
        </w:tc>
        <w:tc>
          <w:tcPr>
            <w:tcW w:w="999" w:type="dxa"/>
            <w:vAlign w:val="top"/>
          </w:tcPr>
          <w:p w14:paraId="311AA035">
            <w:pPr>
              <w:spacing w:line="252" w:lineRule="auto"/>
              <w:rPr>
                <w:rFonts w:ascii="Arial"/>
                <w:sz w:val="21"/>
              </w:rPr>
            </w:pPr>
          </w:p>
          <w:p w14:paraId="14F1A8FE">
            <w:pPr>
              <w:pStyle w:val="6"/>
              <w:spacing w:before="72" w:line="239" w:lineRule="auto"/>
              <w:ind w:left="325"/>
              <w:rPr>
                <w:sz w:val="22"/>
                <w:szCs w:val="22"/>
              </w:rPr>
            </w:pPr>
            <w:r>
              <w:rPr>
                <w:spacing w:val="-3"/>
                <w:sz w:val="22"/>
                <w:szCs w:val="22"/>
              </w:rPr>
              <w:t>0.2</w:t>
            </w:r>
          </w:p>
        </w:tc>
        <w:tc>
          <w:tcPr>
            <w:tcW w:w="3061" w:type="dxa"/>
            <w:vAlign w:val="top"/>
          </w:tcPr>
          <w:p w14:paraId="7FDCA60F">
            <w:pPr>
              <w:pStyle w:val="6"/>
              <w:spacing w:before="194" w:line="219" w:lineRule="auto"/>
              <w:ind w:left="96"/>
              <w:rPr>
                <w:sz w:val="22"/>
                <w:szCs w:val="22"/>
              </w:rPr>
            </w:pPr>
            <w:r>
              <w:rPr>
                <w:spacing w:val="1"/>
                <w:sz w:val="22"/>
                <w:szCs w:val="22"/>
              </w:rPr>
              <w:t>定期委托当地环卫部门清掏外</w:t>
            </w:r>
          </w:p>
          <w:p w14:paraId="56A22EF0">
            <w:pPr>
              <w:pStyle w:val="6"/>
              <w:spacing w:before="3" w:line="224" w:lineRule="auto"/>
              <w:ind w:left="1136"/>
              <w:rPr>
                <w:sz w:val="22"/>
                <w:szCs w:val="22"/>
              </w:rPr>
            </w:pPr>
            <w:r>
              <w:rPr>
                <w:spacing w:val="-1"/>
                <w:sz w:val="22"/>
                <w:szCs w:val="22"/>
              </w:rPr>
              <w:t>运处理。</w:t>
            </w:r>
          </w:p>
        </w:tc>
      </w:tr>
      <w:tr w14:paraId="133B6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404" w:type="dxa"/>
            <w:vMerge w:val="continue"/>
            <w:tcBorders>
              <w:top w:val="nil"/>
              <w:bottom w:val="nil"/>
            </w:tcBorders>
            <w:vAlign w:val="top"/>
          </w:tcPr>
          <w:p w14:paraId="1DA616CB">
            <w:pPr>
              <w:rPr>
                <w:rFonts w:ascii="Arial"/>
                <w:sz w:val="21"/>
              </w:rPr>
            </w:pPr>
          </w:p>
        </w:tc>
        <w:tc>
          <w:tcPr>
            <w:tcW w:w="1179" w:type="dxa"/>
            <w:vAlign w:val="top"/>
          </w:tcPr>
          <w:p w14:paraId="3C04B046">
            <w:pPr>
              <w:pStyle w:val="6"/>
              <w:spacing w:before="205" w:line="220" w:lineRule="auto"/>
              <w:ind w:left="141"/>
              <w:rPr>
                <w:sz w:val="22"/>
                <w:szCs w:val="22"/>
              </w:rPr>
            </w:pPr>
            <w:r>
              <w:rPr>
                <w:spacing w:val="-2"/>
                <w:sz w:val="22"/>
                <w:szCs w:val="22"/>
              </w:rPr>
              <w:t>废变压器</w:t>
            </w:r>
          </w:p>
          <w:p w14:paraId="675287D6">
            <w:pPr>
              <w:pStyle w:val="6"/>
              <w:spacing w:before="21" w:line="224" w:lineRule="auto"/>
              <w:ind w:left="470"/>
              <w:rPr>
                <w:sz w:val="22"/>
                <w:szCs w:val="22"/>
              </w:rPr>
            </w:pPr>
            <w:r>
              <w:rPr>
                <w:sz w:val="22"/>
                <w:szCs w:val="22"/>
              </w:rPr>
              <w:t>油</w:t>
            </w:r>
          </w:p>
        </w:tc>
        <w:tc>
          <w:tcPr>
            <w:tcW w:w="1378" w:type="dxa"/>
            <w:vAlign w:val="top"/>
          </w:tcPr>
          <w:p w14:paraId="79BFC17D">
            <w:pPr>
              <w:spacing w:line="262" w:lineRule="auto"/>
              <w:rPr>
                <w:rFonts w:ascii="Arial"/>
                <w:sz w:val="21"/>
              </w:rPr>
            </w:pPr>
          </w:p>
          <w:p w14:paraId="4D55971A">
            <w:pPr>
              <w:pStyle w:val="6"/>
              <w:spacing w:before="71" w:line="219" w:lineRule="auto"/>
              <w:ind w:left="351"/>
              <w:rPr>
                <w:sz w:val="22"/>
                <w:szCs w:val="22"/>
              </w:rPr>
            </w:pPr>
            <w:r>
              <w:rPr>
                <w:spacing w:val="7"/>
                <w:sz w:val="22"/>
                <w:szCs w:val="22"/>
              </w:rPr>
              <w:t>矿物油</w:t>
            </w:r>
          </w:p>
        </w:tc>
        <w:tc>
          <w:tcPr>
            <w:tcW w:w="1788" w:type="dxa"/>
            <w:vAlign w:val="top"/>
          </w:tcPr>
          <w:p w14:paraId="745BC87C">
            <w:pPr>
              <w:pStyle w:val="6"/>
              <w:spacing w:before="234" w:line="257" w:lineRule="auto"/>
              <w:ind w:left="332" w:right="221" w:hanging="109"/>
              <w:rPr>
                <w:sz w:val="22"/>
                <w:szCs w:val="22"/>
              </w:rPr>
            </w:pPr>
            <w:r>
              <w:rPr>
                <w:spacing w:val="2"/>
                <w:sz w:val="22"/>
                <w:szCs w:val="22"/>
              </w:rPr>
              <w:t>危险固废</w:t>
            </w:r>
            <w:r>
              <w:rPr>
                <w:sz w:val="22"/>
                <w:szCs w:val="22"/>
              </w:rPr>
              <w:t>HW</w:t>
            </w:r>
            <w:r>
              <w:rPr>
                <w:spacing w:val="2"/>
                <w:sz w:val="22"/>
                <w:szCs w:val="22"/>
              </w:rPr>
              <w:t>08</w:t>
            </w:r>
            <w:r>
              <w:rPr>
                <w:sz w:val="22"/>
                <w:szCs w:val="22"/>
              </w:rPr>
              <w:t xml:space="preserve"> </w:t>
            </w:r>
            <w:r>
              <w:rPr>
                <w:spacing w:val="-1"/>
                <w:sz w:val="22"/>
                <w:szCs w:val="22"/>
              </w:rPr>
              <w:t>900-220-08</w:t>
            </w:r>
          </w:p>
        </w:tc>
        <w:tc>
          <w:tcPr>
            <w:tcW w:w="999" w:type="dxa"/>
            <w:vAlign w:val="top"/>
          </w:tcPr>
          <w:p w14:paraId="5F4EC5E4">
            <w:pPr>
              <w:spacing w:line="262" w:lineRule="auto"/>
              <w:rPr>
                <w:rFonts w:ascii="Arial"/>
                <w:sz w:val="21"/>
              </w:rPr>
            </w:pPr>
          </w:p>
          <w:p w14:paraId="1697A97F">
            <w:pPr>
              <w:pStyle w:val="6"/>
              <w:spacing w:before="71" w:line="219" w:lineRule="auto"/>
              <w:ind w:left="165"/>
              <w:rPr>
                <w:sz w:val="22"/>
                <w:szCs w:val="22"/>
              </w:rPr>
            </w:pPr>
            <w:r>
              <w:rPr>
                <w:spacing w:val="-2"/>
                <w:sz w:val="22"/>
                <w:szCs w:val="22"/>
              </w:rPr>
              <w:t>27t/次</w:t>
            </w:r>
          </w:p>
        </w:tc>
        <w:tc>
          <w:tcPr>
            <w:tcW w:w="3061" w:type="dxa"/>
            <w:vAlign w:val="top"/>
          </w:tcPr>
          <w:p w14:paraId="1D28A2A3">
            <w:pPr>
              <w:pStyle w:val="6"/>
              <w:spacing w:before="83" w:line="219" w:lineRule="auto"/>
              <w:ind w:left="96"/>
              <w:rPr>
                <w:sz w:val="22"/>
                <w:szCs w:val="22"/>
              </w:rPr>
            </w:pPr>
            <w:r>
              <w:rPr>
                <w:sz w:val="22"/>
                <w:szCs w:val="22"/>
              </w:rPr>
              <w:t>采用油桶收集后，分区暂存于</w:t>
            </w:r>
          </w:p>
          <w:p w14:paraId="3DF17A33">
            <w:pPr>
              <w:pStyle w:val="6"/>
              <w:spacing w:line="219" w:lineRule="auto"/>
              <w:ind w:left="96"/>
              <w:rPr>
                <w:sz w:val="22"/>
                <w:szCs w:val="22"/>
              </w:rPr>
            </w:pPr>
            <w:r>
              <w:rPr>
                <w:spacing w:val="-1"/>
                <w:sz w:val="22"/>
                <w:szCs w:val="22"/>
              </w:rPr>
              <w:t>危废暂存间，委托有危废处置</w:t>
            </w:r>
          </w:p>
          <w:p w14:paraId="4FCA357E">
            <w:pPr>
              <w:pStyle w:val="6"/>
              <w:spacing w:before="30" w:line="187" w:lineRule="auto"/>
              <w:ind w:left="316"/>
              <w:rPr>
                <w:sz w:val="22"/>
                <w:szCs w:val="22"/>
              </w:rPr>
            </w:pPr>
            <w:r>
              <w:rPr>
                <w:sz w:val="22"/>
                <w:szCs w:val="22"/>
              </w:rPr>
              <w:t>资质的单位定期清运处理</w:t>
            </w:r>
          </w:p>
        </w:tc>
      </w:tr>
      <w:tr w14:paraId="100C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404" w:type="dxa"/>
            <w:vMerge w:val="continue"/>
            <w:tcBorders>
              <w:top w:val="nil"/>
              <w:bottom w:val="nil"/>
            </w:tcBorders>
            <w:vAlign w:val="top"/>
          </w:tcPr>
          <w:p w14:paraId="2015AF6C">
            <w:pPr>
              <w:rPr>
                <w:rFonts w:ascii="Arial"/>
                <w:sz w:val="21"/>
              </w:rPr>
            </w:pPr>
          </w:p>
        </w:tc>
        <w:tc>
          <w:tcPr>
            <w:tcW w:w="1179" w:type="dxa"/>
            <w:vAlign w:val="top"/>
          </w:tcPr>
          <w:p w14:paraId="4941751A">
            <w:pPr>
              <w:pStyle w:val="6"/>
              <w:spacing w:before="306" w:line="220" w:lineRule="auto"/>
              <w:ind w:left="141"/>
              <w:rPr>
                <w:sz w:val="22"/>
                <w:szCs w:val="22"/>
              </w:rPr>
            </w:pPr>
            <w:r>
              <w:rPr>
                <w:spacing w:val="5"/>
                <w:sz w:val="22"/>
                <w:szCs w:val="22"/>
              </w:rPr>
              <w:t>废箱变油</w:t>
            </w:r>
          </w:p>
        </w:tc>
        <w:tc>
          <w:tcPr>
            <w:tcW w:w="1378" w:type="dxa"/>
            <w:vAlign w:val="top"/>
          </w:tcPr>
          <w:p w14:paraId="489FCBF4">
            <w:pPr>
              <w:pStyle w:val="6"/>
              <w:spacing w:before="306" w:line="219" w:lineRule="auto"/>
              <w:ind w:left="351"/>
              <w:rPr>
                <w:sz w:val="22"/>
                <w:szCs w:val="22"/>
              </w:rPr>
            </w:pPr>
            <w:r>
              <w:rPr>
                <w:spacing w:val="7"/>
                <w:sz w:val="22"/>
                <w:szCs w:val="22"/>
              </w:rPr>
              <w:t>矿物油</w:t>
            </w:r>
          </w:p>
        </w:tc>
        <w:tc>
          <w:tcPr>
            <w:tcW w:w="1788" w:type="dxa"/>
            <w:vAlign w:val="top"/>
          </w:tcPr>
          <w:p w14:paraId="21A06D5A">
            <w:pPr>
              <w:pStyle w:val="6"/>
              <w:spacing w:before="216" w:line="245" w:lineRule="auto"/>
              <w:ind w:left="332" w:right="221" w:hanging="109"/>
              <w:rPr>
                <w:sz w:val="22"/>
                <w:szCs w:val="22"/>
              </w:rPr>
            </w:pPr>
            <w:r>
              <w:rPr>
                <w:spacing w:val="2"/>
                <w:sz w:val="22"/>
                <w:szCs w:val="22"/>
              </w:rPr>
              <w:t>危险固废</w:t>
            </w:r>
            <w:r>
              <w:rPr>
                <w:sz w:val="22"/>
                <w:szCs w:val="22"/>
              </w:rPr>
              <w:t>HW</w:t>
            </w:r>
            <w:r>
              <w:rPr>
                <w:spacing w:val="2"/>
                <w:sz w:val="22"/>
                <w:szCs w:val="22"/>
              </w:rPr>
              <w:t>08</w:t>
            </w:r>
            <w:r>
              <w:rPr>
                <w:sz w:val="22"/>
                <w:szCs w:val="22"/>
              </w:rPr>
              <w:t xml:space="preserve"> </w:t>
            </w:r>
            <w:r>
              <w:rPr>
                <w:spacing w:val="-1"/>
                <w:sz w:val="22"/>
                <w:szCs w:val="22"/>
              </w:rPr>
              <w:t>900-220-08</w:t>
            </w:r>
          </w:p>
        </w:tc>
        <w:tc>
          <w:tcPr>
            <w:tcW w:w="999" w:type="dxa"/>
            <w:vAlign w:val="top"/>
          </w:tcPr>
          <w:p w14:paraId="7D6EFA66">
            <w:pPr>
              <w:pStyle w:val="6"/>
              <w:spacing w:before="306" w:line="219" w:lineRule="auto"/>
              <w:ind w:left="55"/>
              <w:rPr>
                <w:sz w:val="22"/>
                <w:szCs w:val="22"/>
              </w:rPr>
            </w:pPr>
            <w:r>
              <w:rPr>
                <w:spacing w:val="-1"/>
                <w:sz w:val="22"/>
                <w:szCs w:val="22"/>
              </w:rPr>
              <w:t>25.5t/次</w:t>
            </w:r>
          </w:p>
        </w:tc>
        <w:tc>
          <w:tcPr>
            <w:tcW w:w="3061" w:type="dxa"/>
            <w:vAlign w:val="top"/>
          </w:tcPr>
          <w:p w14:paraId="36FF9F6B">
            <w:pPr>
              <w:pStyle w:val="6"/>
              <w:spacing w:before="66" w:line="217" w:lineRule="auto"/>
              <w:ind w:left="96"/>
              <w:rPr>
                <w:sz w:val="22"/>
                <w:szCs w:val="22"/>
              </w:rPr>
            </w:pPr>
            <w:r>
              <w:rPr>
                <w:spacing w:val="1"/>
                <w:sz w:val="22"/>
                <w:szCs w:val="22"/>
              </w:rPr>
              <w:t>更换时提前预约具有相应资质</w:t>
            </w:r>
          </w:p>
          <w:p w14:paraId="60FF9AB0">
            <w:pPr>
              <w:pStyle w:val="6"/>
              <w:spacing w:line="210" w:lineRule="auto"/>
              <w:ind w:left="207"/>
              <w:rPr>
                <w:sz w:val="22"/>
                <w:szCs w:val="22"/>
              </w:rPr>
            </w:pPr>
            <w:r>
              <w:rPr>
                <w:sz w:val="22"/>
                <w:szCs w:val="22"/>
              </w:rPr>
              <w:t>的危废处理机构进行妥善处</w:t>
            </w:r>
          </w:p>
          <w:p w14:paraId="2C0858AD">
            <w:pPr>
              <w:pStyle w:val="6"/>
              <w:spacing w:line="188" w:lineRule="auto"/>
              <w:ind w:left="586"/>
              <w:rPr>
                <w:sz w:val="22"/>
                <w:szCs w:val="22"/>
              </w:rPr>
            </w:pPr>
            <w:r>
              <w:rPr>
                <w:sz w:val="22"/>
                <w:szCs w:val="22"/>
              </w:rPr>
              <w:t>置，不在场内暂存。</w:t>
            </w:r>
          </w:p>
        </w:tc>
      </w:tr>
      <w:tr w14:paraId="04015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404" w:type="dxa"/>
            <w:vMerge w:val="continue"/>
            <w:tcBorders>
              <w:top w:val="nil"/>
              <w:bottom w:val="nil"/>
            </w:tcBorders>
            <w:vAlign w:val="top"/>
          </w:tcPr>
          <w:p w14:paraId="503827C4">
            <w:pPr>
              <w:rPr>
                <w:rFonts w:ascii="Arial"/>
                <w:sz w:val="21"/>
              </w:rPr>
            </w:pPr>
          </w:p>
        </w:tc>
        <w:tc>
          <w:tcPr>
            <w:tcW w:w="1179" w:type="dxa"/>
            <w:vAlign w:val="top"/>
          </w:tcPr>
          <w:p w14:paraId="46C62ADC">
            <w:pPr>
              <w:pStyle w:val="6"/>
              <w:spacing w:before="306" w:line="220" w:lineRule="auto"/>
              <w:ind w:left="141"/>
              <w:rPr>
                <w:sz w:val="22"/>
                <w:szCs w:val="22"/>
              </w:rPr>
            </w:pPr>
            <w:r>
              <w:rPr>
                <w:spacing w:val="5"/>
                <w:sz w:val="22"/>
                <w:szCs w:val="22"/>
              </w:rPr>
              <w:t>废润滑油</w:t>
            </w:r>
          </w:p>
        </w:tc>
        <w:tc>
          <w:tcPr>
            <w:tcW w:w="1378" w:type="dxa"/>
            <w:vAlign w:val="top"/>
          </w:tcPr>
          <w:p w14:paraId="26E64FFF">
            <w:pPr>
              <w:pStyle w:val="6"/>
              <w:spacing w:before="306" w:line="219" w:lineRule="auto"/>
              <w:ind w:left="351"/>
              <w:rPr>
                <w:sz w:val="22"/>
                <w:szCs w:val="22"/>
              </w:rPr>
            </w:pPr>
            <w:r>
              <w:rPr>
                <w:spacing w:val="7"/>
                <w:sz w:val="22"/>
                <w:szCs w:val="22"/>
              </w:rPr>
              <w:t>矿物油</w:t>
            </w:r>
          </w:p>
        </w:tc>
        <w:tc>
          <w:tcPr>
            <w:tcW w:w="1788" w:type="dxa"/>
            <w:vAlign w:val="top"/>
          </w:tcPr>
          <w:p w14:paraId="52E62C4F">
            <w:pPr>
              <w:pStyle w:val="6"/>
              <w:spacing w:before="206" w:line="253" w:lineRule="auto"/>
              <w:ind w:left="332" w:right="221" w:hanging="109"/>
              <w:rPr>
                <w:sz w:val="22"/>
                <w:szCs w:val="22"/>
              </w:rPr>
            </w:pPr>
            <w:r>
              <w:rPr>
                <w:spacing w:val="2"/>
                <w:sz w:val="22"/>
                <w:szCs w:val="22"/>
              </w:rPr>
              <w:t>危险固废</w:t>
            </w:r>
            <w:r>
              <w:rPr>
                <w:sz w:val="22"/>
                <w:szCs w:val="22"/>
              </w:rPr>
              <w:t>HW</w:t>
            </w:r>
            <w:r>
              <w:rPr>
                <w:spacing w:val="2"/>
                <w:sz w:val="22"/>
                <w:szCs w:val="22"/>
              </w:rPr>
              <w:t>08</w:t>
            </w:r>
            <w:r>
              <w:rPr>
                <w:sz w:val="22"/>
                <w:szCs w:val="22"/>
              </w:rPr>
              <w:t xml:space="preserve"> </w:t>
            </w:r>
            <w:r>
              <w:rPr>
                <w:spacing w:val="-1"/>
                <w:sz w:val="22"/>
                <w:szCs w:val="22"/>
              </w:rPr>
              <w:t>900-249-08</w:t>
            </w:r>
          </w:p>
        </w:tc>
        <w:tc>
          <w:tcPr>
            <w:tcW w:w="999" w:type="dxa"/>
            <w:vAlign w:val="top"/>
          </w:tcPr>
          <w:p w14:paraId="077419A2">
            <w:pPr>
              <w:spacing w:line="254" w:lineRule="auto"/>
              <w:rPr>
                <w:rFonts w:ascii="Arial"/>
                <w:sz w:val="21"/>
              </w:rPr>
            </w:pPr>
          </w:p>
          <w:p w14:paraId="76F67D99">
            <w:pPr>
              <w:pStyle w:val="6"/>
              <w:spacing w:before="72" w:line="239" w:lineRule="auto"/>
              <w:ind w:left="275"/>
              <w:rPr>
                <w:sz w:val="22"/>
                <w:szCs w:val="22"/>
              </w:rPr>
            </w:pPr>
            <w:r>
              <w:rPr>
                <w:spacing w:val="-2"/>
                <w:sz w:val="22"/>
                <w:szCs w:val="22"/>
              </w:rPr>
              <w:t>0.05</w:t>
            </w:r>
          </w:p>
        </w:tc>
        <w:tc>
          <w:tcPr>
            <w:tcW w:w="3061" w:type="dxa"/>
            <w:vAlign w:val="top"/>
          </w:tcPr>
          <w:p w14:paraId="73685634">
            <w:pPr>
              <w:pStyle w:val="6"/>
              <w:spacing w:before="54" w:line="219" w:lineRule="auto"/>
              <w:ind w:left="96"/>
              <w:rPr>
                <w:sz w:val="22"/>
                <w:szCs w:val="22"/>
              </w:rPr>
            </w:pPr>
            <w:r>
              <w:rPr>
                <w:sz w:val="22"/>
                <w:szCs w:val="22"/>
              </w:rPr>
              <w:t>采用油桶收集后，分区暂存于</w:t>
            </w:r>
          </w:p>
          <w:p w14:paraId="2CA64FCD">
            <w:pPr>
              <w:pStyle w:val="6"/>
              <w:spacing w:before="20" w:line="210" w:lineRule="auto"/>
              <w:ind w:left="96"/>
              <w:rPr>
                <w:sz w:val="22"/>
                <w:szCs w:val="22"/>
              </w:rPr>
            </w:pPr>
            <w:r>
              <w:rPr>
                <w:spacing w:val="-1"/>
                <w:sz w:val="22"/>
                <w:szCs w:val="22"/>
              </w:rPr>
              <w:t>危废暂存间，委托有危废处置</w:t>
            </w:r>
          </w:p>
          <w:p w14:paraId="30C4D3FA">
            <w:pPr>
              <w:pStyle w:val="6"/>
              <w:spacing w:line="186" w:lineRule="auto"/>
              <w:ind w:left="316"/>
              <w:rPr>
                <w:sz w:val="22"/>
                <w:szCs w:val="22"/>
              </w:rPr>
            </w:pPr>
            <w:r>
              <w:rPr>
                <w:sz w:val="22"/>
                <w:szCs w:val="22"/>
              </w:rPr>
              <w:t>资质的单位定期清运处理</w:t>
            </w:r>
          </w:p>
        </w:tc>
      </w:tr>
      <w:tr w14:paraId="7C8A6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04" w:type="dxa"/>
            <w:vMerge w:val="continue"/>
            <w:tcBorders>
              <w:top w:val="nil"/>
              <w:bottom w:val="nil"/>
            </w:tcBorders>
            <w:vAlign w:val="top"/>
          </w:tcPr>
          <w:p w14:paraId="483120F3">
            <w:pPr>
              <w:rPr>
                <w:rFonts w:ascii="Arial"/>
                <w:sz w:val="21"/>
              </w:rPr>
            </w:pPr>
          </w:p>
        </w:tc>
        <w:tc>
          <w:tcPr>
            <w:tcW w:w="1179" w:type="dxa"/>
            <w:vAlign w:val="top"/>
          </w:tcPr>
          <w:p w14:paraId="55818204">
            <w:pPr>
              <w:pStyle w:val="6"/>
              <w:spacing w:before="36" w:line="203" w:lineRule="auto"/>
              <w:ind w:left="470" w:right="135" w:hanging="329"/>
              <w:rPr>
                <w:sz w:val="22"/>
                <w:szCs w:val="22"/>
              </w:rPr>
            </w:pPr>
            <w:r>
              <w:rPr>
                <w:spacing w:val="3"/>
                <w:sz w:val="22"/>
                <w:szCs w:val="22"/>
              </w:rPr>
              <w:t>废铅蓄电</w:t>
            </w:r>
            <w:r>
              <w:rPr>
                <w:sz w:val="22"/>
                <w:szCs w:val="22"/>
              </w:rPr>
              <w:t xml:space="preserve"> 池</w:t>
            </w:r>
          </w:p>
        </w:tc>
        <w:tc>
          <w:tcPr>
            <w:tcW w:w="1378" w:type="dxa"/>
            <w:vAlign w:val="top"/>
          </w:tcPr>
          <w:p w14:paraId="4B418509">
            <w:pPr>
              <w:pStyle w:val="6"/>
              <w:spacing w:before="167" w:line="219" w:lineRule="auto"/>
              <w:ind w:left="241"/>
              <w:rPr>
                <w:sz w:val="22"/>
                <w:szCs w:val="22"/>
              </w:rPr>
            </w:pPr>
            <w:r>
              <w:rPr>
                <w:spacing w:val="-2"/>
                <w:sz w:val="22"/>
                <w:szCs w:val="22"/>
              </w:rPr>
              <w:t>含铅废物</w:t>
            </w:r>
          </w:p>
        </w:tc>
        <w:tc>
          <w:tcPr>
            <w:tcW w:w="1788" w:type="dxa"/>
            <w:vAlign w:val="top"/>
          </w:tcPr>
          <w:p w14:paraId="64006271">
            <w:pPr>
              <w:pStyle w:val="6"/>
              <w:spacing w:before="57" w:line="194" w:lineRule="auto"/>
              <w:ind w:left="332" w:right="211" w:hanging="109"/>
              <w:rPr>
                <w:sz w:val="22"/>
                <w:szCs w:val="22"/>
              </w:rPr>
            </w:pPr>
            <w:r>
              <w:rPr>
                <w:spacing w:val="3"/>
                <w:sz w:val="22"/>
                <w:szCs w:val="22"/>
              </w:rPr>
              <w:t>危险固废</w:t>
            </w:r>
            <w:r>
              <w:rPr>
                <w:sz w:val="22"/>
                <w:szCs w:val="22"/>
              </w:rPr>
              <w:t>HW</w:t>
            </w:r>
            <w:r>
              <w:rPr>
                <w:spacing w:val="3"/>
                <w:sz w:val="22"/>
                <w:szCs w:val="22"/>
              </w:rPr>
              <w:t xml:space="preserve">31 </w:t>
            </w:r>
            <w:r>
              <w:rPr>
                <w:spacing w:val="-1"/>
                <w:sz w:val="22"/>
                <w:szCs w:val="22"/>
              </w:rPr>
              <w:t>900-052-31</w:t>
            </w:r>
          </w:p>
        </w:tc>
        <w:tc>
          <w:tcPr>
            <w:tcW w:w="999" w:type="dxa"/>
            <w:vAlign w:val="top"/>
          </w:tcPr>
          <w:p w14:paraId="688EBC88">
            <w:pPr>
              <w:pStyle w:val="6"/>
              <w:spacing w:before="188" w:line="239" w:lineRule="auto"/>
              <w:ind w:left="325"/>
              <w:rPr>
                <w:sz w:val="22"/>
                <w:szCs w:val="22"/>
              </w:rPr>
            </w:pPr>
            <w:r>
              <w:rPr>
                <w:spacing w:val="-6"/>
                <w:sz w:val="22"/>
                <w:szCs w:val="22"/>
              </w:rPr>
              <w:t>1.2</w:t>
            </w:r>
          </w:p>
        </w:tc>
        <w:tc>
          <w:tcPr>
            <w:tcW w:w="3061" w:type="dxa"/>
            <w:vAlign w:val="top"/>
          </w:tcPr>
          <w:p w14:paraId="59ED4371">
            <w:pPr>
              <w:pStyle w:val="6"/>
              <w:spacing w:before="57" w:line="194" w:lineRule="auto"/>
              <w:ind w:left="146" w:right="43" w:hanging="50"/>
              <w:rPr>
                <w:sz w:val="22"/>
                <w:szCs w:val="22"/>
              </w:rPr>
            </w:pPr>
            <w:r>
              <w:rPr>
                <w:sz w:val="22"/>
                <w:szCs w:val="22"/>
              </w:rPr>
              <w:t>暂存于升压站危废暂存间，委</w:t>
            </w:r>
            <w:r>
              <w:rPr>
                <w:spacing w:val="8"/>
                <w:sz w:val="22"/>
                <w:szCs w:val="22"/>
              </w:rPr>
              <w:t xml:space="preserve"> </w:t>
            </w:r>
            <w:r>
              <w:rPr>
                <w:sz w:val="22"/>
                <w:szCs w:val="22"/>
              </w:rPr>
              <w:t>托有资质单位定期清运处置。</w:t>
            </w:r>
          </w:p>
        </w:tc>
      </w:tr>
      <w:tr w14:paraId="191D2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3" w:hRule="atLeast"/>
        </w:trPr>
        <w:tc>
          <w:tcPr>
            <w:tcW w:w="404" w:type="dxa"/>
            <w:vMerge w:val="continue"/>
            <w:tcBorders>
              <w:top w:val="nil"/>
            </w:tcBorders>
            <w:vAlign w:val="top"/>
          </w:tcPr>
          <w:p w14:paraId="4FF75C28">
            <w:pPr>
              <w:rPr>
                <w:rFonts w:ascii="Arial"/>
                <w:sz w:val="21"/>
              </w:rPr>
            </w:pPr>
          </w:p>
        </w:tc>
        <w:tc>
          <w:tcPr>
            <w:tcW w:w="8405" w:type="dxa"/>
            <w:gridSpan w:val="5"/>
            <w:vAlign w:val="top"/>
          </w:tcPr>
          <w:p w14:paraId="010CAC1F">
            <w:pPr>
              <w:pStyle w:val="6"/>
              <w:spacing w:before="174" w:line="219" w:lineRule="auto"/>
              <w:ind w:left="474"/>
              <w:rPr>
                <w:sz w:val="22"/>
                <w:szCs w:val="22"/>
              </w:rPr>
            </w:pPr>
            <w:r>
              <w:rPr>
                <w:b/>
                <w:bCs/>
                <w:spacing w:val="-3"/>
                <w:sz w:val="22"/>
                <w:szCs w:val="22"/>
              </w:rPr>
              <w:t>固体废物环境管理要求：</w:t>
            </w:r>
          </w:p>
          <w:p w14:paraId="1FE2EA58">
            <w:pPr>
              <w:pStyle w:val="6"/>
              <w:spacing w:before="199" w:line="340" w:lineRule="auto"/>
              <w:ind w:left="40" w:right="1102" w:firstLine="519"/>
              <w:rPr>
                <w:sz w:val="22"/>
                <w:szCs w:val="22"/>
              </w:rPr>
            </w:pPr>
            <w:r>
              <w:rPr>
                <w:spacing w:val="1"/>
                <w:sz w:val="22"/>
                <w:szCs w:val="22"/>
              </w:rPr>
              <w:t>根据《危险废物贮存污染控制标准》(</w:t>
            </w:r>
            <w:r>
              <w:rPr>
                <w:sz w:val="22"/>
                <w:szCs w:val="22"/>
              </w:rPr>
              <w:t>GB</w:t>
            </w:r>
            <w:r>
              <w:rPr>
                <w:spacing w:val="1"/>
                <w:sz w:val="22"/>
                <w:szCs w:val="22"/>
              </w:rPr>
              <w:t>185</w:t>
            </w:r>
            <w:r>
              <w:rPr>
                <w:sz w:val="22"/>
                <w:szCs w:val="22"/>
              </w:rPr>
              <w:t xml:space="preserve">97-2023),危险废物暂存间 </w:t>
            </w:r>
            <w:r>
              <w:rPr>
                <w:spacing w:val="-1"/>
                <w:sz w:val="22"/>
                <w:szCs w:val="22"/>
              </w:rPr>
              <w:t>的建设及管理要求如下：</w:t>
            </w:r>
          </w:p>
          <w:p w14:paraId="2B1EE140">
            <w:pPr>
              <w:pStyle w:val="6"/>
              <w:spacing w:before="1" w:line="394" w:lineRule="auto"/>
              <w:ind w:left="10" w:right="664" w:firstLine="459"/>
              <w:jc w:val="both"/>
              <w:rPr>
                <w:sz w:val="22"/>
                <w:szCs w:val="22"/>
              </w:rPr>
            </w:pPr>
            <w:r>
              <w:rPr>
                <w:sz w:val="22"/>
                <w:szCs w:val="22"/>
              </w:rPr>
              <w:t>①贮存设施应根据危险废物的形态、物理化学性质、包</w:t>
            </w:r>
            <w:r>
              <w:rPr>
                <w:spacing w:val="-1"/>
                <w:sz w:val="22"/>
                <w:szCs w:val="22"/>
              </w:rPr>
              <w:t>装形式和污染物迁移</w:t>
            </w:r>
            <w:r>
              <w:rPr>
                <w:sz w:val="22"/>
                <w:szCs w:val="22"/>
              </w:rPr>
              <w:t xml:space="preserve"> 途径，采取必要的防风、防晒、防雨、防漏、防渗、防腐以及其他环境污染防治</w:t>
            </w:r>
            <w:r>
              <w:rPr>
                <w:spacing w:val="18"/>
                <w:sz w:val="22"/>
                <w:szCs w:val="22"/>
              </w:rPr>
              <w:t xml:space="preserve"> </w:t>
            </w:r>
            <w:r>
              <w:rPr>
                <w:spacing w:val="4"/>
                <w:sz w:val="22"/>
                <w:szCs w:val="22"/>
              </w:rPr>
              <w:t>措施，不应露天堆放危险废物。</w:t>
            </w:r>
          </w:p>
          <w:p w14:paraId="0DD6DB85">
            <w:pPr>
              <w:pStyle w:val="6"/>
              <w:spacing w:line="217" w:lineRule="auto"/>
              <w:ind w:left="470"/>
              <w:rPr>
                <w:sz w:val="22"/>
                <w:szCs w:val="22"/>
              </w:rPr>
            </w:pPr>
            <w:r>
              <w:rPr>
                <w:sz w:val="22"/>
                <w:szCs w:val="22"/>
              </w:rPr>
              <w:t>②贮存设施或贮存分区内地面、墙面裙脚、堵截泄漏的围</w:t>
            </w:r>
            <w:r>
              <w:rPr>
                <w:spacing w:val="-1"/>
                <w:sz w:val="22"/>
                <w:szCs w:val="22"/>
              </w:rPr>
              <w:t>堰、接触危险废物</w:t>
            </w:r>
          </w:p>
        </w:tc>
      </w:tr>
    </w:tbl>
    <w:p w14:paraId="53827B46">
      <w:pPr>
        <w:pStyle w:val="2"/>
      </w:pPr>
    </w:p>
    <w:p w14:paraId="52DE2EC9">
      <w:pPr>
        <w:sectPr>
          <w:footerReference r:id="rId105" w:type="default"/>
          <w:pgSz w:w="11910" w:h="16840"/>
          <w:pgMar w:top="1431" w:right="1635" w:bottom="1255" w:left="1455" w:header="0" w:footer="1093" w:gutter="0"/>
          <w:cols w:space="720" w:num="1"/>
        </w:sectPr>
      </w:pPr>
    </w:p>
    <w:p w14:paraId="1DC962B2">
      <w:pPr>
        <w:spacing w:line="93" w:lineRule="exact"/>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65"/>
      </w:tblGrid>
      <w:tr w14:paraId="6A43B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9" w:hRule="atLeast"/>
        </w:trPr>
        <w:tc>
          <w:tcPr>
            <w:tcW w:w="414" w:type="dxa"/>
            <w:vAlign w:val="top"/>
          </w:tcPr>
          <w:p w14:paraId="6B18405F">
            <w:pPr>
              <w:rPr>
                <w:rFonts w:ascii="Arial"/>
                <w:sz w:val="21"/>
              </w:rPr>
            </w:pPr>
          </w:p>
        </w:tc>
        <w:tc>
          <w:tcPr>
            <w:tcW w:w="8565" w:type="dxa"/>
            <w:vAlign w:val="top"/>
          </w:tcPr>
          <w:p w14:paraId="3D837869">
            <w:pPr>
              <w:pStyle w:val="6"/>
              <w:spacing w:before="13" w:line="219" w:lineRule="auto"/>
              <w:ind w:left="110"/>
            </w:pPr>
            <w:r>
              <w:t>的隔板和墙体等应采用坚固的材料建造，表面无裂缝。</w:t>
            </w:r>
          </w:p>
          <w:p w14:paraId="12D239EF">
            <w:pPr>
              <w:pStyle w:val="6"/>
              <w:spacing w:before="174" w:line="325" w:lineRule="auto"/>
              <w:ind w:left="100" w:right="53" w:firstLine="469"/>
            </w:pPr>
            <w:r>
              <w:t>③贮存设施地面与裙脚应采取表面防渗措施；表面防渗</w:t>
            </w:r>
            <w:r>
              <w:rPr>
                <w:spacing w:val="-1"/>
              </w:rPr>
              <w:t>材料应与所接触的物</w:t>
            </w:r>
            <w:r>
              <w:t xml:space="preserve"> 料或污染物相容，可采用抗渗混凝土、高密度聚乙烯膜、钠基膨润土防水毯或其 他防渗性能等效的材料。贮存的危险废物直接接触地面的，还应进行基础防</w:t>
            </w:r>
            <w:r>
              <w:rPr>
                <w:spacing w:val="-1"/>
              </w:rPr>
              <w:t>渗，</w:t>
            </w:r>
            <w:r>
              <w:t xml:space="preserve"> </w:t>
            </w:r>
            <w:r>
              <w:rPr>
                <w:spacing w:val="1"/>
              </w:rPr>
              <w:t>防渗层为至少1m厚黏土层(渗透系数不大于10-7</w:t>
            </w:r>
            <w:r>
              <w:t>cm</w:t>
            </w:r>
            <w:r>
              <w:rPr>
                <w:spacing w:val="1"/>
              </w:rPr>
              <w:t>/s)</w:t>
            </w:r>
            <w:r>
              <w:t>,或至少2mm厚高密度聚乙</w:t>
            </w:r>
          </w:p>
          <w:p w14:paraId="7F8F76DA">
            <w:pPr>
              <w:pStyle w:val="6"/>
              <w:spacing w:before="179" w:line="216" w:lineRule="auto"/>
              <w:jc w:val="right"/>
            </w:pPr>
            <w:r>
              <w:rPr>
                <w:spacing w:val="2"/>
              </w:rPr>
              <w:t>烯膜等人工防渗材料(渗透系数不大于10-¹</w:t>
            </w:r>
            <w:r>
              <w:rPr>
                <w:rFonts w:ascii="Calibri" w:hAnsi="Calibri" w:eastAsia="Calibri" w:cs="Calibri"/>
                <w:spacing w:val="2"/>
              </w:rPr>
              <w:t>⁰</w:t>
            </w:r>
            <w:r>
              <w:t>cm</w:t>
            </w:r>
            <w:r>
              <w:rPr>
                <w:spacing w:val="2"/>
              </w:rPr>
              <w:t>/s),或其他防</w:t>
            </w:r>
            <w:r>
              <w:rPr>
                <w:spacing w:val="1"/>
              </w:rPr>
              <w:t>渗性能等效的材料。</w:t>
            </w:r>
          </w:p>
          <w:p w14:paraId="34D3ADCE">
            <w:pPr>
              <w:pStyle w:val="6"/>
              <w:spacing w:before="187" w:line="315" w:lineRule="auto"/>
              <w:ind w:left="100" w:firstLine="592"/>
            </w:pPr>
            <w:r>
              <w:rPr>
                <w:spacing w:val="-6"/>
              </w:rPr>
              <w:t>④同一贮存设施宜采用相同的防渗、防腐工艺(包括防渗、防腐结</w:t>
            </w:r>
            <w:r>
              <w:rPr>
                <w:spacing w:val="-7"/>
              </w:rPr>
              <w:t>构或材料),</w:t>
            </w:r>
            <w:r>
              <w:t xml:space="preserve"> </w:t>
            </w:r>
            <w:r>
              <w:rPr>
                <w:spacing w:val="-5"/>
              </w:rPr>
              <w:t>防渗、防腐材料应覆盖所有可能与废物及其渗滤液、渗漏液等接触</w:t>
            </w:r>
            <w:r>
              <w:rPr>
                <w:spacing w:val="-6"/>
              </w:rPr>
              <w:t>的构筑物表面；</w:t>
            </w:r>
            <w:r>
              <w:t xml:space="preserve"> </w:t>
            </w:r>
            <w:r>
              <w:rPr>
                <w:spacing w:val="-3"/>
              </w:rPr>
              <w:t>采用不同防渗、防腐工艺应分别建设贮存分区。</w:t>
            </w:r>
          </w:p>
          <w:p w14:paraId="4D8B25E8">
            <w:pPr>
              <w:pStyle w:val="6"/>
              <w:spacing w:before="184" w:line="217" w:lineRule="auto"/>
              <w:ind w:left="691"/>
            </w:pPr>
            <w:r>
              <w:t>⑤贮存设施应采取技术和管理措施防止无关人员进入。</w:t>
            </w:r>
          </w:p>
          <w:p w14:paraId="6693706A">
            <w:pPr>
              <w:pStyle w:val="6"/>
              <w:spacing w:before="187" w:line="217" w:lineRule="auto"/>
              <w:ind w:left="701"/>
            </w:pPr>
            <w:r>
              <w:t>⑥容器和包装物材质、内衬应与盛装的危险废物相容。</w:t>
            </w:r>
          </w:p>
          <w:p w14:paraId="79C9F6CD">
            <w:pPr>
              <w:pStyle w:val="6"/>
              <w:spacing w:before="186" w:line="288" w:lineRule="auto"/>
              <w:ind w:left="110" w:right="191" w:firstLine="580"/>
            </w:pPr>
            <w:r>
              <w:t>⑦危险废物存入贮存设施前应对危险废物类别和特性</w:t>
            </w:r>
            <w:r>
              <w:rPr>
                <w:spacing w:val="-1"/>
              </w:rPr>
              <w:t>与危险废物标签等危</w:t>
            </w:r>
            <w:r>
              <w:t xml:space="preserve"> 险废物识别标志的一致性进行核验，不一致的或类别、特性不明的不应存入。</w:t>
            </w:r>
          </w:p>
          <w:p w14:paraId="43BA84B2">
            <w:pPr>
              <w:pStyle w:val="6"/>
              <w:spacing w:before="181" w:line="288" w:lineRule="auto"/>
              <w:ind w:left="100" w:right="191" w:firstLine="590"/>
            </w:pPr>
            <w:r>
              <w:t>⑧针对不同类别、形态、物理化学性质的危险废物，</w:t>
            </w:r>
            <w:r>
              <w:rPr>
                <w:spacing w:val="-1"/>
              </w:rPr>
              <w:t>其容器和包装物应满</w:t>
            </w:r>
            <w:r>
              <w:t xml:space="preserve"> </w:t>
            </w:r>
            <w:r>
              <w:rPr>
                <w:spacing w:val="-1"/>
              </w:rPr>
              <w:t>足相应的防渗、防漏、防腐和强度等要求。</w:t>
            </w:r>
          </w:p>
          <w:p w14:paraId="1E9D664D">
            <w:pPr>
              <w:pStyle w:val="6"/>
              <w:spacing w:before="184" w:line="291" w:lineRule="auto"/>
              <w:ind w:left="100" w:right="191" w:firstLine="590"/>
            </w:pPr>
            <w:r>
              <w:t>⑨贮存设施运行期间，应按国家有关标准和规定建立</w:t>
            </w:r>
            <w:r>
              <w:rPr>
                <w:spacing w:val="-1"/>
              </w:rPr>
              <w:t>危险废物管理台账并</w:t>
            </w:r>
            <w:r>
              <w:t xml:space="preserve"> 保存。</w:t>
            </w:r>
          </w:p>
          <w:p w14:paraId="7523D679">
            <w:pPr>
              <w:pStyle w:val="6"/>
              <w:spacing w:before="173" w:line="291" w:lineRule="auto"/>
              <w:ind w:left="100" w:right="191" w:firstLine="590"/>
            </w:pPr>
            <w:r>
              <w:t>⑩贮存设施所有者或运营者应建立贮存设施环境管理</w:t>
            </w:r>
            <w:r>
              <w:rPr>
                <w:spacing w:val="-1"/>
              </w:rPr>
              <w:t>制度、管理人员岗位</w:t>
            </w:r>
            <w:r>
              <w:t xml:space="preserve"> 职责制度、设施运行操作制度、人员岗位培训制度</w:t>
            </w:r>
            <w:r>
              <w:rPr>
                <w:spacing w:val="-1"/>
              </w:rPr>
              <w:t>等。</w:t>
            </w:r>
          </w:p>
          <w:p w14:paraId="29DD57E3">
            <w:pPr>
              <w:pStyle w:val="6"/>
              <w:spacing w:before="125" w:line="321" w:lineRule="exact"/>
              <w:ind w:left="701"/>
            </w:pPr>
            <w:r>
              <w:rPr>
                <w:rFonts w:ascii="Calibri" w:hAnsi="Calibri" w:eastAsia="Calibri" w:cs="Calibri"/>
                <w:spacing w:val="-4"/>
                <w:position w:val="1"/>
              </w:rPr>
              <w:t>⑪</w:t>
            </w:r>
            <w:r>
              <w:rPr>
                <w:spacing w:val="-4"/>
                <w:position w:val="1"/>
              </w:rPr>
              <w:t>箱变集油坑雨季增加检查频率排水，增加排水频率。</w:t>
            </w:r>
          </w:p>
          <w:p w14:paraId="6E188E92">
            <w:pPr>
              <w:pStyle w:val="6"/>
              <w:spacing w:before="267" w:line="220" w:lineRule="auto"/>
              <w:ind w:left="84"/>
            </w:pPr>
            <w:r>
              <w:rPr>
                <w:b/>
                <w:bCs/>
                <w:spacing w:val="-5"/>
              </w:rPr>
              <w:t>5、环境风险分析</w:t>
            </w:r>
          </w:p>
          <w:p w14:paraId="541401DF">
            <w:pPr>
              <w:pStyle w:val="6"/>
              <w:spacing w:before="204" w:line="218" w:lineRule="auto"/>
              <w:ind w:left="570"/>
            </w:pPr>
            <w:r>
              <w:t>环境风险评价的目的是对项目建设和运行期间发生的可预测突发性事件或</w:t>
            </w:r>
          </w:p>
          <w:p w14:paraId="40F2DDFF">
            <w:pPr>
              <w:pStyle w:val="6"/>
              <w:spacing w:before="197" w:line="218" w:lineRule="auto"/>
              <w:ind w:left="120"/>
            </w:pPr>
            <w:r>
              <w:t>事故(一般不包括人为破坏及自然灾害)引起有毒有害、易燃易爆等物质泄</w:t>
            </w:r>
            <w:r>
              <w:rPr>
                <w:spacing w:val="-1"/>
              </w:rPr>
              <w:t>漏，</w:t>
            </w:r>
          </w:p>
          <w:p w14:paraId="5D0BF714">
            <w:pPr>
              <w:pStyle w:val="6"/>
              <w:spacing w:before="178" w:line="361" w:lineRule="auto"/>
              <w:ind w:left="100" w:right="34" w:firstLine="10"/>
            </w:pPr>
            <w:r>
              <w:t>或突发事件产生新的有毒有害物质，所造成的对人体与环境的影响和损害进行评</w:t>
            </w:r>
            <w:r>
              <w:rPr>
                <w:spacing w:val="8"/>
              </w:rPr>
              <w:t xml:space="preserve"> </w:t>
            </w:r>
            <w:r>
              <w:t xml:space="preserve">估，提出合理可行的防范、应急与建环措施，以使建设项目事故率、损失和环境 </w:t>
            </w:r>
            <w:r>
              <w:rPr>
                <w:spacing w:val="-1"/>
              </w:rPr>
              <w:t>影响达到可接受水平。</w:t>
            </w:r>
          </w:p>
          <w:p w14:paraId="1BA052A2">
            <w:pPr>
              <w:pStyle w:val="6"/>
              <w:spacing w:line="220" w:lineRule="auto"/>
              <w:ind w:left="684"/>
            </w:pPr>
            <w:r>
              <w:rPr>
                <w:b/>
                <w:bCs/>
                <w:spacing w:val="-2"/>
              </w:rPr>
              <w:t>(1)环境风险调查</w:t>
            </w:r>
          </w:p>
          <w:p w14:paraId="2DA26C78">
            <w:pPr>
              <w:pStyle w:val="6"/>
              <w:spacing w:before="165" w:line="337" w:lineRule="auto"/>
              <w:ind w:left="100" w:right="32" w:firstLine="489"/>
            </w:pPr>
            <w:r>
              <w:t>结合本项目特点可知，本项目主要的环境风险主要为变压器油泄露、危废暂</w:t>
            </w:r>
            <w:r>
              <w:rPr>
                <w:spacing w:val="10"/>
              </w:rPr>
              <w:t xml:space="preserve"> </w:t>
            </w:r>
            <w:r>
              <w:t>存间检修废油泄露及火灾风险。风险物质主要为变压器油、检修废油。</w:t>
            </w:r>
          </w:p>
        </w:tc>
      </w:tr>
    </w:tbl>
    <w:p w14:paraId="1A0280E6">
      <w:pPr>
        <w:pStyle w:val="2"/>
      </w:pPr>
    </w:p>
    <w:p w14:paraId="634F2604">
      <w:pPr>
        <w:sectPr>
          <w:footerReference r:id="rId106" w:type="default"/>
          <w:pgSz w:w="11910" w:h="16840"/>
          <w:pgMar w:top="1431" w:right="1475" w:bottom="1255" w:left="1445" w:header="0" w:footer="1093" w:gutter="0"/>
          <w:cols w:space="720" w:num="1"/>
        </w:sectPr>
      </w:pPr>
    </w:p>
    <w:p w14:paraId="0CEA81BF">
      <w:pPr>
        <w:spacing w:line="68" w:lineRule="exact"/>
      </w:pPr>
    </w:p>
    <w:tbl>
      <w:tblPr>
        <w:tblStyle w:val="5"/>
        <w:tblW w:w="90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111"/>
        <w:gridCol w:w="769"/>
        <w:gridCol w:w="1258"/>
        <w:gridCol w:w="1593"/>
        <w:gridCol w:w="1208"/>
        <w:gridCol w:w="2077"/>
        <w:gridCol w:w="1448"/>
        <w:gridCol w:w="109"/>
      </w:tblGrid>
      <w:tr w14:paraId="093EF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44" w:type="dxa"/>
            <w:vMerge w:val="restart"/>
            <w:tcBorders>
              <w:top w:val="nil"/>
              <w:bottom w:val="nil"/>
            </w:tcBorders>
            <w:vAlign w:val="top"/>
          </w:tcPr>
          <w:p w14:paraId="1C2B3F85">
            <w:pPr>
              <w:rPr>
                <w:rFonts w:ascii="Arial"/>
                <w:sz w:val="21"/>
              </w:rPr>
            </w:pPr>
          </w:p>
        </w:tc>
        <w:tc>
          <w:tcPr>
            <w:tcW w:w="8573" w:type="dxa"/>
            <w:gridSpan w:val="8"/>
            <w:tcBorders>
              <w:top w:val="nil"/>
              <w:right w:val="single" w:color="000000" w:sz="6" w:space="0"/>
            </w:tcBorders>
            <w:vAlign w:val="top"/>
          </w:tcPr>
          <w:p w14:paraId="78E95967">
            <w:pPr>
              <w:pStyle w:val="6"/>
              <w:spacing w:before="87" w:line="186" w:lineRule="auto"/>
              <w:ind w:left="1909"/>
              <w:rPr>
                <w:sz w:val="26"/>
                <w:szCs w:val="26"/>
              </w:rPr>
            </w:pPr>
            <w:r>
              <w:rPr>
                <w:b/>
                <w:bCs/>
                <w:spacing w:val="-4"/>
                <w:sz w:val="26"/>
                <w:szCs w:val="26"/>
              </w:rPr>
              <w:t>表4-10项目风险物质理化性质及危险性表</w:t>
            </w:r>
          </w:p>
        </w:tc>
      </w:tr>
      <w:tr w14:paraId="5A8F8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44" w:type="dxa"/>
            <w:vMerge w:val="continue"/>
            <w:tcBorders>
              <w:top w:val="nil"/>
              <w:bottom w:val="nil"/>
            </w:tcBorders>
            <w:vAlign w:val="top"/>
          </w:tcPr>
          <w:p w14:paraId="7C3271D7">
            <w:pPr>
              <w:rPr>
                <w:rFonts w:ascii="Arial"/>
                <w:sz w:val="21"/>
              </w:rPr>
            </w:pPr>
          </w:p>
        </w:tc>
        <w:tc>
          <w:tcPr>
            <w:tcW w:w="111" w:type="dxa"/>
            <w:tcBorders>
              <w:top w:val="nil"/>
              <w:bottom w:val="nil"/>
            </w:tcBorders>
            <w:vAlign w:val="top"/>
          </w:tcPr>
          <w:p w14:paraId="48C4DB8D">
            <w:pPr>
              <w:rPr>
                <w:rFonts w:ascii="Arial"/>
                <w:sz w:val="21"/>
              </w:rPr>
            </w:pPr>
          </w:p>
        </w:tc>
        <w:tc>
          <w:tcPr>
            <w:tcW w:w="769" w:type="dxa"/>
            <w:vAlign w:val="top"/>
          </w:tcPr>
          <w:p w14:paraId="61A73440">
            <w:pPr>
              <w:pStyle w:val="6"/>
              <w:spacing w:before="40" w:line="212" w:lineRule="auto"/>
              <w:ind w:left="174"/>
              <w:rPr>
                <w:sz w:val="20"/>
                <w:szCs w:val="20"/>
              </w:rPr>
            </w:pPr>
            <w:r>
              <w:rPr>
                <w:spacing w:val="-2"/>
                <w:sz w:val="20"/>
                <w:szCs w:val="20"/>
              </w:rPr>
              <w:t>序号</w:t>
            </w:r>
          </w:p>
        </w:tc>
        <w:tc>
          <w:tcPr>
            <w:tcW w:w="1258" w:type="dxa"/>
            <w:vAlign w:val="top"/>
          </w:tcPr>
          <w:p w14:paraId="75B2A770">
            <w:pPr>
              <w:pStyle w:val="6"/>
              <w:spacing w:before="40" w:line="212" w:lineRule="auto"/>
              <w:ind w:left="425"/>
              <w:rPr>
                <w:sz w:val="20"/>
                <w:szCs w:val="20"/>
              </w:rPr>
            </w:pPr>
            <w:r>
              <w:rPr>
                <w:spacing w:val="11"/>
                <w:sz w:val="20"/>
                <w:szCs w:val="20"/>
              </w:rPr>
              <w:t>物质</w:t>
            </w:r>
          </w:p>
        </w:tc>
        <w:tc>
          <w:tcPr>
            <w:tcW w:w="6435" w:type="dxa"/>
            <w:gridSpan w:val="5"/>
            <w:tcBorders>
              <w:right w:val="single" w:color="000000" w:sz="6" w:space="0"/>
            </w:tcBorders>
            <w:vAlign w:val="top"/>
          </w:tcPr>
          <w:p w14:paraId="01E7EDD4">
            <w:pPr>
              <w:pStyle w:val="6"/>
              <w:spacing w:before="40" w:line="212" w:lineRule="auto"/>
              <w:ind w:left="2977"/>
              <w:rPr>
                <w:sz w:val="20"/>
                <w:szCs w:val="20"/>
              </w:rPr>
            </w:pPr>
            <w:r>
              <w:rPr>
                <w:spacing w:val="11"/>
                <w:sz w:val="20"/>
                <w:szCs w:val="20"/>
              </w:rPr>
              <w:t>性质</w:t>
            </w:r>
          </w:p>
        </w:tc>
      </w:tr>
      <w:tr w14:paraId="39EAC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7" w:hRule="atLeast"/>
        </w:trPr>
        <w:tc>
          <w:tcPr>
            <w:tcW w:w="444" w:type="dxa"/>
            <w:vMerge w:val="continue"/>
            <w:tcBorders>
              <w:top w:val="nil"/>
              <w:bottom w:val="nil"/>
            </w:tcBorders>
            <w:vAlign w:val="top"/>
          </w:tcPr>
          <w:p w14:paraId="0025133F">
            <w:pPr>
              <w:rPr>
                <w:rFonts w:ascii="Arial"/>
                <w:sz w:val="21"/>
              </w:rPr>
            </w:pPr>
          </w:p>
        </w:tc>
        <w:tc>
          <w:tcPr>
            <w:tcW w:w="111" w:type="dxa"/>
            <w:tcBorders>
              <w:top w:val="nil"/>
              <w:bottom w:val="nil"/>
            </w:tcBorders>
            <w:vAlign w:val="top"/>
          </w:tcPr>
          <w:p w14:paraId="125FF4B2">
            <w:pPr>
              <w:rPr>
                <w:rFonts w:ascii="Arial"/>
                <w:sz w:val="21"/>
              </w:rPr>
            </w:pPr>
          </w:p>
        </w:tc>
        <w:tc>
          <w:tcPr>
            <w:tcW w:w="769" w:type="dxa"/>
            <w:vAlign w:val="top"/>
          </w:tcPr>
          <w:p w14:paraId="7C65041E">
            <w:pPr>
              <w:spacing w:line="312" w:lineRule="auto"/>
              <w:rPr>
                <w:rFonts w:ascii="Arial"/>
                <w:sz w:val="21"/>
              </w:rPr>
            </w:pPr>
          </w:p>
          <w:p w14:paraId="445B35FC">
            <w:pPr>
              <w:spacing w:line="313" w:lineRule="auto"/>
              <w:rPr>
                <w:rFonts w:ascii="Arial"/>
                <w:sz w:val="21"/>
              </w:rPr>
            </w:pPr>
          </w:p>
          <w:p w14:paraId="32CABDAA">
            <w:pPr>
              <w:spacing w:line="313" w:lineRule="auto"/>
              <w:rPr>
                <w:rFonts w:ascii="Arial"/>
                <w:sz w:val="21"/>
              </w:rPr>
            </w:pPr>
          </w:p>
          <w:p w14:paraId="4F8C834A">
            <w:pPr>
              <w:pStyle w:val="6"/>
              <w:spacing w:before="65" w:line="241" w:lineRule="auto"/>
              <w:ind w:left="64"/>
              <w:rPr>
                <w:sz w:val="20"/>
                <w:szCs w:val="20"/>
              </w:rPr>
            </w:pPr>
            <w:r>
              <w:rPr>
                <w:sz w:val="20"/>
                <w:szCs w:val="20"/>
              </w:rPr>
              <w:t>1</w:t>
            </w:r>
          </w:p>
        </w:tc>
        <w:tc>
          <w:tcPr>
            <w:tcW w:w="1258" w:type="dxa"/>
            <w:vAlign w:val="top"/>
          </w:tcPr>
          <w:p w14:paraId="14947246">
            <w:pPr>
              <w:spacing w:line="306" w:lineRule="auto"/>
              <w:rPr>
                <w:rFonts w:ascii="Arial"/>
                <w:sz w:val="21"/>
              </w:rPr>
            </w:pPr>
          </w:p>
          <w:p w14:paraId="0BBD5A2C">
            <w:pPr>
              <w:spacing w:line="306" w:lineRule="auto"/>
              <w:rPr>
                <w:rFonts w:ascii="Arial"/>
                <w:sz w:val="21"/>
              </w:rPr>
            </w:pPr>
          </w:p>
          <w:p w14:paraId="26C674A4">
            <w:pPr>
              <w:spacing w:line="307" w:lineRule="auto"/>
              <w:rPr>
                <w:rFonts w:ascii="Arial"/>
                <w:sz w:val="21"/>
              </w:rPr>
            </w:pPr>
          </w:p>
          <w:p w14:paraId="336932E0">
            <w:pPr>
              <w:pStyle w:val="6"/>
              <w:spacing w:before="65" w:line="221" w:lineRule="auto"/>
              <w:ind w:left="105"/>
              <w:rPr>
                <w:sz w:val="20"/>
                <w:szCs w:val="20"/>
              </w:rPr>
            </w:pPr>
            <w:r>
              <w:rPr>
                <w:spacing w:val="5"/>
                <w:sz w:val="20"/>
                <w:szCs w:val="20"/>
              </w:rPr>
              <w:t>变压器油</w:t>
            </w:r>
          </w:p>
        </w:tc>
        <w:tc>
          <w:tcPr>
            <w:tcW w:w="6435" w:type="dxa"/>
            <w:gridSpan w:val="5"/>
            <w:tcBorders>
              <w:right w:val="single" w:color="000000" w:sz="6" w:space="0"/>
            </w:tcBorders>
            <w:vAlign w:val="top"/>
          </w:tcPr>
          <w:p w14:paraId="789AF45B">
            <w:pPr>
              <w:pStyle w:val="6"/>
              <w:spacing w:before="28" w:line="259" w:lineRule="auto"/>
              <w:ind w:left="107" w:right="3014"/>
              <w:rPr>
                <w:sz w:val="20"/>
                <w:szCs w:val="20"/>
              </w:rPr>
            </w:pPr>
            <w:r>
              <w:rPr>
                <w:spacing w:val="6"/>
                <w:sz w:val="20"/>
                <w:szCs w:val="20"/>
              </w:rPr>
              <w:t>外观与性状：稍有粘稠半透明液体；</w:t>
            </w:r>
            <w:r>
              <w:rPr>
                <w:spacing w:val="3"/>
                <w:sz w:val="20"/>
                <w:szCs w:val="20"/>
              </w:rPr>
              <w:t xml:space="preserve"> </w:t>
            </w:r>
            <w:r>
              <w:rPr>
                <w:spacing w:val="2"/>
                <w:sz w:val="20"/>
                <w:szCs w:val="20"/>
              </w:rPr>
              <w:t>相对密度(水=1):0.86~0.895;</w:t>
            </w:r>
          </w:p>
          <w:p w14:paraId="3CCC1345">
            <w:pPr>
              <w:pStyle w:val="6"/>
              <w:spacing w:line="242" w:lineRule="auto"/>
              <w:ind w:left="107" w:right="3772"/>
              <w:rPr>
                <w:sz w:val="20"/>
                <w:szCs w:val="20"/>
              </w:rPr>
            </w:pPr>
            <w:r>
              <w:rPr>
                <w:spacing w:val="2"/>
                <w:sz w:val="20"/>
                <w:szCs w:val="20"/>
              </w:rPr>
              <w:t>相对蒸气密度(空气=1):1.4;</w:t>
            </w:r>
            <w:r>
              <w:rPr>
                <w:spacing w:val="7"/>
                <w:sz w:val="20"/>
                <w:szCs w:val="20"/>
              </w:rPr>
              <w:t xml:space="preserve"> </w:t>
            </w:r>
            <w:r>
              <w:rPr>
                <w:spacing w:val="3"/>
                <w:sz w:val="20"/>
                <w:szCs w:val="20"/>
              </w:rPr>
              <w:t>闪点(℃):≥135;</w:t>
            </w:r>
          </w:p>
          <w:p w14:paraId="4618FFFB">
            <w:pPr>
              <w:pStyle w:val="6"/>
              <w:spacing w:before="14" w:line="219" w:lineRule="auto"/>
              <w:ind w:left="107"/>
              <w:rPr>
                <w:sz w:val="20"/>
                <w:szCs w:val="20"/>
              </w:rPr>
            </w:pPr>
            <w:r>
              <w:rPr>
                <w:sz w:val="20"/>
                <w:szCs w:val="20"/>
              </w:rPr>
              <w:t>溶解性：不溶于水。</w:t>
            </w:r>
          </w:p>
          <w:p w14:paraId="4FF21DDD">
            <w:pPr>
              <w:pStyle w:val="6"/>
              <w:spacing w:before="32" w:line="219" w:lineRule="auto"/>
              <w:ind w:left="107"/>
              <w:rPr>
                <w:sz w:val="20"/>
                <w:szCs w:val="20"/>
              </w:rPr>
            </w:pPr>
            <w:r>
              <w:rPr>
                <w:sz w:val="20"/>
                <w:szCs w:val="20"/>
              </w:rPr>
              <w:t>火灾类别：丙类，可燃液体。</w:t>
            </w:r>
          </w:p>
          <w:p w14:paraId="49168AFA">
            <w:pPr>
              <w:pStyle w:val="6"/>
              <w:spacing w:before="16" w:line="233" w:lineRule="auto"/>
              <w:ind w:left="107" w:right="674"/>
              <w:rPr>
                <w:sz w:val="20"/>
                <w:szCs w:val="20"/>
              </w:rPr>
            </w:pPr>
            <w:r>
              <w:rPr>
                <w:spacing w:val="4"/>
                <w:sz w:val="20"/>
                <w:szCs w:val="20"/>
              </w:rPr>
              <w:t>急性毒性：大鼠吸入</w:t>
            </w:r>
            <w:r>
              <w:rPr>
                <w:sz w:val="20"/>
                <w:szCs w:val="20"/>
              </w:rPr>
              <w:t>LC</w:t>
            </w:r>
            <w:r>
              <w:rPr>
                <w:spacing w:val="4"/>
                <w:sz w:val="20"/>
                <w:szCs w:val="20"/>
              </w:rPr>
              <w:t>50:300000</w:t>
            </w:r>
            <w:r>
              <w:rPr>
                <w:sz w:val="20"/>
                <w:szCs w:val="20"/>
              </w:rPr>
              <w:t>mg</w:t>
            </w:r>
            <w:r>
              <w:rPr>
                <w:spacing w:val="4"/>
                <w:sz w:val="20"/>
                <w:szCs w:val="20"/>
              </w:rPr>
              <w:t>/m³(5个月);小鼠吸入</w:t>
            </w:r>
            <w:r>
              <w:rPr>
                <w:sz w:val="20"/>
                <w:szCs w:val="20"/>
              </w:rPr>
              <w:t>LC</w:t>
            </w:r>
            <w:r>
              <w:rPr>
                <w:spacing w:val="4"/>
                <w:sz w:val="20"/>
                <w:szCs w:val="20"/>
              </w:rPr>
              <w:t>50:</w:t>
            </w:r>
            <w:r>
              <w:rPr>
                <w:spacing w:val="3"/>
                <w:sz w:val="20"/>
                <w:szCs w:val="20"/>
              </w:rPr>
              <w:t xml:space="preserve"> </w:t>
            </w:r>
            <w:r>
              <w:rPr>
                <w:spacing w:val="10"/>
                <w:sz w:val="20"/>
                <w:szCs w:val="20"/>
              </w:rPr>
              <w:t>300000</w:t>
            </w:r>
            <w:r>
              <w:rPr>
                <w:sz w:val="20"/>
                <w:szCs w:val="20"/>
              </w:rPr>
              <w:t>mg</w:t>
            </w:r>
            <w:r>
              <w:rPr>
                <w:spacing w:val="10"/>
                <w:sz w:val="20"/>
                <w:szCs w:val="20"/>
              </w:rPr>
              <w:t>/m³(5个月)</w:t>
            </w:r>
          </w:p>
        </w:tc>
      </w:tr>
      <w:tr w14:paraId="29BD4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444" w:type="dxa"/>
            <w:vMerge w:val="continue"/>
            <w:tcBorders>
              <w:top w:val="nil"/>
              <w:bottom w:val="nil"/>
            </w:tcBorders>
            <w:vAlign w:val="top"/>
          </w:tcPr>
          <w:p w14:paraId="2040BB06">
            <w:pPr>
              <w:rPr>
                <w:rFonts w:ascii="Arial"/>
                <w:sz w:val="21"/>
              </w:rPr>
            </w:pPr>
          </w:p>
        </w:tc>
        <w:tc>
          <w:tcPr>
            <w:tcW w:w="111" w:type="dxa"/>
            <w:tcBorders>
              <w:top w:val="nil"/>
              <w:bottom w:val="nil"/>
            </w:tcBorders>
            <w:vAlign w:val="top"/>
          </w:tcPr>
          <w:p w14:paraId="448AD2D6">
            <w:pPr>
              <w:rPr>
                <w:rFonts w:ascii="Arial"/>
                <w:sz w:val="21"/>
              </w:rPr>
            </w:pPr>
          </w:p>
        </w:tc>
        <w:tc>
          <w:tcPr>
            <w:tcW w:w="769" w:type="dxa"/>
            <w:vAlign w:val="top"/>
          </w:tcPr>
          <w:p w14:paraId="4330BCAA">
            <w:pPr>
              <w:spacing w:line="266" w:lineRule="auto"/>
              <w:rPr>
                <w:rFonts w:ascii="Arial"/>
                <w:sz w:val="21"/>
              </w:rPr>
            </w:pPr>
          </w:p>
          <w:p w14:paraId="0A87CF57">
            <w:pPr>
              <w:spacing w:line="267" w:lineRule="auto"/>
              <w:rPr>
                <w:rFonts w:ascii="Arial"/>
                <w:sz w:val="21"/>
              </w:rPr>
            </w:pPr>
          </w:p>
          <w:p w14:paraId="3A7FD5EE">
            <w:pPr>
              <w:pStyle w:val="6"/>
              <w:spacing w:before="65" w:line="241" w:lineRule="auto"/>
              <w:ind w:left="325"/>
              <w:rPr>
                <w:sz w:val="20"/>
                <w:szCs w:val="20"/>
              </w:rPr>
            </w:pPr>
            <w:r>
              <w:rPr>
                <w:sz w:val="20"/>
                <w:szCs w:val="20"/>
              </w:rPr>
              <w:t>2</w:t>
            </w:r>
          </w:p>
        </w:tc>
        <w:tc>
          <w:tcPr>
            <w:tcW w:w="1258" w:type="dxa"/>
            <w:vAlign w:val="top"/>
          </w:tcPr>
          <w:p w14:paraId="7AFA7C81">
            <w:pPr>
              <w:spacing w:line="257" w:lineRule="auto"/>
              <w:rPr>
                <w:rFonts w:ascii="Arial"/>
                <w:sz w:val="21"/>
              </w:rPr>
            </w:pPr>
          </w:p>
          <w:p w14:paraId="61C69B7F">
            <w:pPr>
              <w:spacing w:line="257" w:lineRule="auto"/>
              <w:rPr>
                <w:rFonts w:ascii="Arial"/>
                <w:sz w:val="21"/>
              </w:rPr>
            </w:pPr>
          </w:p>
          <w:p w14:paraId="0B8DAD99">
            <w:pPr>
              <w:pStyle w:val="6"/>
              <w:spacing w:before="65" w:line="220" w:lineRule="auto"/>
              <w:ind w:left="105"/>
              <w:rPr>
                <w:sz w:val="20"/>
                <w:szCs w:val="20"/>
              </w:rPr>
            </w:pPr>
            <w:r>
              <w:rPr>
                <w:spacing w:val="5"/>
                <w:sz w:val="20"/>
                <w:szCs w:val="20"/>
              </w:rPr>
              <w:t>废润滑油</w:t>
            </w:r>
          </w:p>
        </w:tc>
        <w:tc>
          <w:tcPr>
            <w:tcW w:w="6435" w:type="dxa"/>
            <w:gridSpan w:val="5"/>
            <w:tcBorders>
              <w:right w:val="single" w:color="000000" w:sz="6" w:space="0"/>
            </w:tcBorders>
            <w:vAlign w:val="top"/>
          </w:tcPr>
          <w:p w14:paraId="2AA2F874">
            <w:pPr>
              <w:pStyle w:val="6"/>
              <w:spacing w:before="42" w:line="241" w:lineRule="auto"/>
              <w:ind w:left="107" w:right="76"/>
              <w:jc w:val="both"/>
              <w:rPr>
                <w:sz w:val="20"/>
                <w:szCs w:val="20"/>
              </w:rPr>
            </w:pPr>
            <w:r>
              <w:rPr>
                <w:spacing w:val="-5"/>
                <w:sz w:val="20"/>
                <w:szCs w:val="20"/>
              </w:rPr>
              <w:t>废矿物质油含有致癌，致突变，致变形物质</w:t>
            </w:r>
            <w:r>
              <w:rPr>
                <w:spacing w:val="-6"/>
                <w:sz w:val="20"/>
                <w:szCs w:val="20"/>
              </w:rPr>
              <w:t>及废酸，重金属等物质，对人</w:t>
            </w:r>
            <w:r>
              <w:rPr>
                <w:sz w:val="20"/>
                <w:szCs w:val="20"/>
              </w:rPr>
              <w:t xml:space="preserve"> </w:t>
            </w:r>
            <w:r>
              <w:rPr>
                <w:spacing w:val="-5"/>
                <w:sz w:val="20"/>
                <w:szCs w:val="20"/>
              </w:rPr>
              <w:t>体危害极大，其中有机化合物如芳香族类很多</w:t>
            </w:r>
            <w:r>
              <w:rPr>
                <w:spacing w:val="-6"/>
                <w:sz w:val="20"/>
                <w:szCs w:val="20"/>
              </w:rPr>
              <w:t>对身体有毒害作用，这些物</w:t>
            </w:r>
            <w:r>
              <w:rPr>
                <w:sz w:val="20"/>
                <w:szCs w:val="20"/>
              </w:rPr>
              <w:t xml:space="preserve"> </w:t>
            </w:r>
            <w:r>
              <w:rPr>
                <w:spacing w:val="-5"/>
                <w:sz w:val="20"/>
                <w:szCs w:val="20"/>
              </w:rPr>
              <w:t>质不但会停留在肺，还会进入血液运行全身</w:t>
            </w:r>
            <w:r>
              <w:rPr>
                <w:spacing w:val="-6"/>
                <w:sz w:val="20"/>
                <w:szCs w:val="20"/>
              </w:rPr>
              <w:t>，会干扰人的造血系统，神经</w:t>
            </w:r>
            <w:r>
              <w:rPr>
                <w:sz w:val="20"/>
                <w:szCs w:val="20"/>
              </w:rPr>
              <w:t xml:space="preserve"> </w:t>
            </w:r>
            <w:r>
              <w:rPr>
                <w:spacing w:val="-5"/>
                <w:sz w:val="20"/>
                <w:szCs w:val="20"/>
              </w:rPr>
              <w:t>系统等等，导致血液病，重金属如铅镉等很难排除体外，严重影响</w:t>
            </w:r>
            <w:r>
              <w:rPr>
                <w:spacing w:val="-6"/>
                <w:sz w:val="20"/>
                <w:szCs w:val="20"/>
              </w:rPr>
              <w:t>神经系</w:t>
            </w:r>
            <w:r>
              <w:rPr>
                <w:sz w:val="20"/>
                <w:szCs w:val="20"/>
              </w:rPr>
              <w:t xml:space="preserve"> </w:t>
            </w:r>
            <w:r>
              <w:rPr>
                <w:spacing w:val="1"/>
                <w:sz w:val="20"/>
                <w:szCs w:val="20"/>
              </w:rPr>
              <w:t>统，并导致一系列的疾病</w:t>
            </w:r>
          </w:p>
        </w:tc>
      </w:tr>
      <w:tr w14:paraId="6D2E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0" w:hRule="atLeast"/>
        </w:trPr>
        <w:tc>
          <w:tcPr>
            <w:tcW w:w="444" w:type="dxa"/>
            <w:vMerge w:val="continue"/>
            <w:tcBorders>
              <w:top w:val="nil"/>
              <w:bottom w:val="nil"/>
            </w:tcBorders>
            <w:vAlign w:val="top"/>
          </w:tcPr>
          <w:p w14:paraId="11BA27A0">
            <w:pPr>
              <w:rPr>
                <w:rFonts w:ascii="Arial"/>
                <w:sz w:val="21"/>
              </w:rPr>
            </w:pPr>
          </w:p>
        </w:tc>
        <w:tc>
          <w:tcPr>
            <w:tcW w:w="8573" w:type="dxa"/>
            <w:gridSpan w:val="8"/>
            <w:tcBorders>
              <w:right w:val="single" w:color="000000" w:sz="6" w:space="0"/>
            </w:tcBorders>
            <w:vAlign w:val="top"/>
          </w:tcPr>
          <w:p w14:paraId="6CC8212C">
            <w:pPr>
              <w:pStyle w:val="6"/>
              <w:spacing w:before="140" w:line="218" w:lineRule="auto"/>
              <w:ind w:left="689"/>
            </w:pPr>
            <w:r>
              <w:rPr>
                <w:b/>
                <w:bCs/>
                <w:spacing w:val="15"/>
              </w:rPr>
              <w:t>(2)评价等级</w:t>
            </w:r>
          </w:p>
          <w:p w14:paraId="68B436D1">
            <w:pPr>
              <w:pStyle w:val="6"/>
              <w:spacing w:before="190" w:line="342" w:lineRule="auto"/>
              <w:ind w:left="86" w:right="83" w:firstLine="479"/>
            </w:pPr>
            <w:r>
              <w:t>计算所涉及的每种危险物质在厂界内的最大存在总</w:t>
            </w:r>
            <w:r>
              <w:rPr>
                <w:spacing w:val="-1"/>
              </w:rPr>
              <w:t>量与其在《建设项目环境</w:t>
            </w:r>
            <w:r>
              <w:t xml:space="preserve"> 风险评价技术导则》</w:t>
            </w:r>
            <w:r>
              <w:rPr>
                <w:spacing w:val="-32"/>
              </w:rPr>
              <w:t xml:space="preserve"> </w:t>
            </w:r>
            <w:r>
              <w:t>(</w:t>
            </w:r>
            <w:r>
              <w:rPr>
                <w:spacing w:val="-38"/>
              </w:rPr>
              <w:t xml:space="preserve"> </w:t>
            </w:r>
            <w:r>
              <w:rPr>
                <w:rFonts w:ascii="Times New Roman" w:hAnsi="Times New Roman" w:eastAsia="Times New Roman" w:cs="Times New Roman"/>
              </w:rPr>
              <w:t>HJ169-2018)</w:t>
            </w:r>
            <w:r>
              <w:rPr>
                <w:rFonts w:ascii="Times New Roman" w:hAnsi="Times New Roman" w:eastAsia="Times New Roman" w:cs="Times New Roman"/>
                <w:spacing w:val="28"/>
                <w:w w:val="101"/>
              </w:rPr>
              <w:t xml:space="preserve">  </w:t>
            </w:r>
            <w:r>
              <w:t>附录</w:t>
            </w:r>
            <w:r>
              <w:rPr>
                <w:rFonts w:ascii="Times New Roman" w:hAnsi="Times New Roman" w:eastAsia="Times New Roman" w:cs="Times New Roman"/>
              </w:rPr>
              <w:t xml:space="preserve">B </w:t>
            </w:r>
            <w:r>
              <w:t>中对应临界量的比值Q。</w:t>
            </w:r>
          </w:p>
          <w:p w14:paraId="43A15B5A">
            <w:pPr>
              <w:pStyle w:val="6"/>
              <w:spacing w:before="40" w:line="351" w:lineRule="auto"/>
              <w:ind w:left="96" w:right="219" w:firstLine="489"/>
              <w:rPr>
                <w:rFonts w:ascii="Times New Roman" w:hAnsi="Times New Roman" w:eastAsia="Times New Roman" w:cs="Times New Roman"/>
              </w:rPr>
            </w:pPr>
            <w:r>
              <w:rPr>
                <w:spacing w:val="-1"/>
              </w:rPr>
              <w:t>当只涉及一种危险物质时，计算该物质的总量与其临界量比值，即为</w:t>
            </w:r>
            <w:r>
              <w:rPr>
                <w:rFonts w:ascii="Times New Roman" w:hAnsi="Times New Roman" w:eastAsia="Times New Roman" w:cs="Times New Roman"/>
                <w:spacing w:val="-1"/>
              </w:rPr>
              <w:t>Q,</w:t>
            </w:r>
            <w:r>
              <w:rPr>
                <w:rFonts w:ascii="Times New Roman" w:hAnsi="Times New Roman" w:eastAsia="Times New Roman" w:cs="Times New Roman"/>
                <w:spacing w:val="55"/>
              </w:rPr>
              <w:t xml:space="preserve"> </w:t>
            </w:r>
            <w:r>
              <w:rPr>
                <w:spacing w:val="-1"/>
              </w:rPr>
              <w:t>当</w:t>
            </w:r>
            <w:r>
              <w:t xml:space="preserve"> </w:t>
            </w:r>
            <w:r>
              <w:rPr>
                <w:spacing w:val="-1"/>
              </w:rPr>
              <w:t>存在多种危险物质时，则按下式计算物质总量与其临界量比值</w:t>
            </w:r>
            <w:r>
              <w:rPr>
                <w:spacing w:val="-9"/>
              </w:rPr>
              <w:t xml:space="preserve"> </w:t>
            </w:r>
            <w:r>
              <w:rPr>
                <w:rFonts w:ascii="Times New Roman" w:hAnsi="Times New Roman" w:eastAsia="Times New Roman" w:cs="Times New Roman"/>
                <w:spacing w:val="-1"/>
              </w:rPr>
              <w:t>(Q)</w:t>
            </w:r>
          </w:p>
          <w:p w14:paraId="345B9234">
            <w:pPr>
              <w:spacing w:before="99" w:line="560" w:lineRule="exact"/>
              <w:ind w:firstLine="3145"/>
            </w:pPr>
            <w:r>
              <w:rPr>
                <w:position w:val="-11"/>
              </w:rPr>
              <w:drawing>
                <wp:inline distT="0" distB="0" distL="0" distR="0">
                  <wp:extent cx="1422400" cy="35496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02"/>
                          <a:stretch>
                            <a:fillRect/>
                          </a:stretch>
                        </pic:blipFill>
                        <pic:spPr>
                          <a:xfrm>
                            <a:off x="0" y="0"/>
                            <a:ext cx="1422420" cy="355555"/>
                          </a:xfrm>
                          <a:prstGeom prst="rect">
                            <a:avLst/>
                          </a:prstGeom>
                        </pic:spPr>
                      </pic:pic>
                    </a:graphicData>
                  </a:graphic>
                </wp:inline>
              </w:drawing>
            </w:r>
          </w:p>
          <w:p w14:paraId="0BB18E50">
            <w:pPr>
              <w:pStyle w:val="6"/>
              <w:spacing w:before="292" w:line="212" w:lineRule="auto"/>
              <w:ind w:left="85"/>
            </w:pPr>
            <w:r>
              <w:rPr>
                <w:spacing w:val="6"/>
              </w:rPr>
              <w:t>式中：91,9</w:t>
            </w:r>
            <w:r>
              <w:rPr>
                <w:rFonts w:ascii="Calibri" w:hAnsi="Calibri" w:eastAsia="Calibri" w:cs="Calibri"/>
                <w:spacing w:val="6"/>
              </w:rPr>
              <w:t>₂</w:t>
            </w:r>
            <w:r>
              <w:rPr>
                <w:spacing w:val="6"/>
              </w:rPr>
              <w:t xml:space="preserve">,..., </w:t>
            </w:r>
            <w:r>
              <w:rPr>
                <w:rFonts w:ascii="Times New Roman" w:hAnsi="Times New Roman" w:eastAsia="Times New Roman" w:cs="Times New Roman"/>
              </w:rPr>
              <w:t>qn</w:t>
            </w:r>
            <w:r>
              <w:rPr>
                <w:rFonts w:ascii="Times New Roman" w:hAnsi="Times New Roman" w:eastAsia="Times New Roman" w:cs="Times New Roman"/>
                <w:spacing w:val="6"/>
              </w:rPr>
              <w:t>——</w:t>
            </w:r>
            <w:r>
              <w:rPr>
                <w:spacing w:val="6"/>
              </w:rPr>
              <w:t>每种危险物质的最大存在总量，t;</w:t>
            </w:r>
          </w:p>
          <w:p w14:paraId="5368B3AF">
            <w:pPr>
              <w:pStyle w:val="6"/>
              <w:spacing w:before="319" w:line="212" w:lineRule="auto"/>
              <w:ind w:left="585"/>
            </w:pPr>
            <w:r>
              <w:rPr>
                <w:rFonts w:ascii="Times New Roman" w:hAnsi="Times New Roman" w:eastAsia="Times New Roman" w:cs="Times New Roman"/>
                <w:spacing w:val="-2"/>
              </w:rPr>
              <w:t xml:space="preserve">Q,Q₂,…,Qn            </w:t>
            </w:r>
            <w:r>
              <w:rPr>
                <w:rFonts w:ascii="Times New Roman" w:hAnsi="Times New Roman" w:eastAsia="Times New Roman" w:cs="Times New Roman"/>
                <w:spacing w:val="7"/>
                <w:u w:val="single" w:color="auto"/>
              </w:rPr>
              <w:t xml:space="preserve">        </w:t>
            </w:r>
            <w:r>
              <w:rPr>
                <w:spacing w:val="-2"/>
              </w:rPr>
              <w:t>每种危险物质的临界量，</w:t>
            </w:r>
            <w:r>
              <w:rPr>
                <w:rFonts w:ascii="Times New Roman" w:hAnsi="Times New Roman" w:eastAsia="Times New Roman" w:cs="Times New Roman"/>
                <w:spacing w:val="-2"/>
              </w:rPr>
              <w:t>t</w:t>
            </w:r>
            <w:r>
              <w:rPr>
                <w:spacing w:val="-2"/>
              </w:rPr>
              <w:t>。</w:t>
            </w:r>
          </w:p>
          <w:p w14:paraId="16F72B7B">
            <w:pPr>
              <w:pStyle w:val="6"/>
              <w:spacing w:before="194" w:line="212" w:lineRule="auto"/>
              <w:ind w:left="595"/>
            </w:pPr>
            <w:r>
              <w:rPr>
                <w:spacing w:val="9"/>
              </w:rPr>
              <w:t>当</w:t>
            </w:r>
            <w:r>
              <w:rPr>
                <w:rFonts w:ascii="Times New Roman" w:hAnsi="Times New Roman" w:eastAsia="Times New Roman" w:cs="Times New Roman"/>
                <w:spacing w:val="9"/>
              </w:rPr>
              <w:t>Q&lt;1,</w:t>
            </w:r>
            <w:r>
              <w:rPr>
                <w:rFonts w:ascii="Times New Roman" w:hAnsi="Times New Roman" w:eastAsia="Times New Roman" w:cs="Times New Roman"/>
                <w:spacing w:val="29"/>
              </w:rPr>
              <w:t xml:space="preserve">  </w:t>
            </w:r>
            <w:r>
              <w:rPr>
                <w:spacing w:val="9"/>
              </w:rPr>
              <w:t>该项目环境风险潜势为I</w:t>
            </w:r>
          </w:p>
          <w:p w14:paraId="79EF48D0">
            <w:pPr>
              <w:pStyle w:val="6"/>
              <w:spacing w:before="205" w:line="354" w:lineRule="auto"/>
              <w:ind w:left="96" w:right="796" w:firstLine="499"/>
            </w:pPr>
            <w:r>
              <w:rPr>
                <w:spacing w:val="2"/>
              </w:rPr>
              <w:t>当</w:t>
            </w:r>
            <w:r>
              <w:rPr>
                <w:rFonts w:ascii="Times New Roman" w:hAnsi="Times New Roman" w:eastAsia="Times New Roman" w:cs="Times New Roman"/>
                <w:spacing w:val="2"/>
              </w:rPr>
              <w:t>Q≥1</w:t>
            </w:r>
            <w:r>
              <w:rPr>
                <w:rFonts w:ascii="Times New Roman" w:hAnsi="Times New Roman" w:eastAsia="Times New Roman" w:cs="Times New Roman"/>
                <w:spacing w:val="24"/>
              </w:rPr>
              <w:t xml:space="preserve"> </w:t>
            </w:r>
            <w:r>
              <w:rPr>
                <w:spacing w:val="2"/>
              </w:rPr>
              <w:t>时，将</w:t>
            </w:r>
            <w:r>
              <w:rPr>
                <w:rFonts w:ascii="Times New Roman" w:hAnsi="Times New Roman" w:eastAsia="Times New Roman" w:cs="Times New Roman"/>
                <w:spacing w:val="2"/>
              </w:rPr>
              <w:t xml:space="preserve">Q </w:t>
            </w:r>
            <w:r>
              <w:rPr>
                <w:spacing w:val="2"/>
              </w:rPr>
              <w:t>值划分为：(1)1≤</w:t>
            </w:r>
            <w:r>
              <w:rPr>
                <w:spacing w:val="1"/>
              </w:rPr>
              <w:t>Q&lt;10;(2)10≤Q&lt;100;(3)Q≥100。</w:t>
            </w:r>
            <w:r>
              <w:t xml:space="preserve"> </w:t>
            </w:r>
            <w:r>
              <w:rPr>
                <w:spacing w:val="2"/>
              </w:rPr>
              <w:t>本项目</w:t>
            </w:r>
            <w:r>
              <w:rPr>
                <w:rFonts w:ascii="Times New Roman" w:hAnsi="Times New Roman" w:eastAsia="Times New Roman" w:cs="Times New Roman"/>
                <w:spacing w:val="2"/>
              </w:rPr>
              <w:t xml:space="preserve">Q </w:t>
            </w:r>
            <w:r>
              <w:rPr>
                <w:spacing w:val="2"/>
              </w:rPr>
              <w:t>值核算如下表。</w:t>
            </w:r>
          </w:p>
          <w:p w14:paraId="086059B9">
            <w:pPr>
              <w:pStyle w:val="6"/>
              <w:spacing w:before="115" w:line="359" w:lineRule="auto"/>
              <w:ind w:left="96" w:right="189" w:firstLine="479"/>
            </w:pPr>
            <w:r>
              <w:rPr>
                <w:spacing w:val="1"/>
              </w:rPr>
              <w:t>根据上文分析，整个项目区最大存在箱变变压器油25.5</w:t>
            </w:r>
            <w:r>
              <w:rPr>
                <w:rFonts w:ascii="Times New Roman" w:hAnsi="Times New Roman" w:eastAsia="Times New Roman" w:cs="Times New Roman"/>
                <w:spacing w:val="1"/>
              </w:rPr>
              <w:t xml:space="preserve">t,   </w:t>
            </w:r>
            <w:r>
              <w:rPr>
                <w:spacing w:val="1"/>
              </w:rPr>
              <w:t>主变压器油27t,</w:t>
            </w:r>
            <w:r>
              <w:rPr>
                <w:spacing w:val="7"/>
              </w:rPr>
              <w:t xml:space="preserve"> </w:t>
            </w:r>
            <w:r>
              <w:rPr>
                <w:spacing w:val="-3"/>
              </w:rPr>
              <w:t>则项目可能存在变压器油49.5</w:t>
            </w:r>
            <w:r>
              <w:rPr>
                <w:rFonts w:ascii="Times New Roman" w:hAnsi="Times New Roman" w:eastAsia="Times New Roman" w:cs="Times New Roman"/>
                <w:spacing w:val="-3"/>
              </w:rPr>
              <w:t>t</w:t>
            </w:r>
            <w:r>
              <w:rPr>
                <w:spacing w:val="-3"/>
              </w:rPr>
              <w:t>。项 目</w:t>
            </w:r>
            <w:r>
              <w:rPr>
                <w:rFonts w:ascii="Times New Roman" w:hAnsi="Times New Roman" w:eastAsia="Times New Roman" w:cs="Times New Roman"/>
                <w:spacing w:val="-3"/>
              </w:rPr>
              <w:t xml:space="preserve">Q </w:t>
            </w:r>
            <w:r>
              <w:rPr>
                <w:spacing w:val="-3"/>
              </w:rPr>
              <w:t>值确</w:t>
            </w:r>
            <w:r>
              <w:rPr>
                <w:spacing w:val="-4"/>
              </w:rPr>
              <w:t>定表详见下表。</w:t>
            </w:r>
          </w:p>
          <w:p w14:paraId="1F30F7AA">
            <w:pPr>
              <w:pStyle w:val="6"/>
              <w:spacing w:line="219" w:lineRule="auto"/>
              <w:ind w:left="3089"/>
            </w:pPr>
            <w:r>
              <w:rPr>
                <w:b/>
                <w:bCs/>
                <w:spacing w:val="-4"/>
              </w:rPr>
              <w:t>表4-11建设项目Q值确定表</w:t>
            </w:r>
          </w:p>
        </w:tc>
      </w:tr>
      <w:tr w14:paraId="14462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444" w:type="dxa"/>
            <w:vMerge w:val="continue"/>
            <w:tcBorders>
              <w:top w:val="nil"/>
              <w:bottom w:val="nil"/>
            </w:tcBorders>
            <w:vAlign w:val="top"/>
          </w:tcPr>
          <w:p w14:paraId="7D3D4527">
            <w:pPr>
              <w:rPr>
                <w:rFonts w:ascii="Arial"/>
                <w:sz w:val="21"/>
              </w:rPr>
            </w:pPr>
          </w:p>
        </w:tc>
        <w:tc>
          <w:tcPr>
            <w:tcW w:w="111" w:type="dxa"/>
            <w:tcBorders>
              <w:top w:val="nil"/>
              <w:bottom w:val="nil"/>
            </w:tcBorders>
            <w:vAlign w:val="top"/>
          </w:tcPr>
          <w:p w14:paraId="60D0A19C">
            <w:pPr>
              <w:rPr>
                <w:rFonts w:ascii="Arial"/>
                <w:sz w:val="21"/>
              </w:rPr>
            </w:pPr>
          </w:p>
        </w:tc>
        <w:tc>
          <w:tcPr>
            <w:tcW w:w="769" w:type="dxa"/>
            <w:vAlign w:val="top"/>
          </w:tcPr>
          <w:p w14:paraId="2960BB49">
            <w:pPr>
              <w:pStyle w:val="6"/>
              <w:spacing w:before="73" w:line="216" w:lineRule="auto"/>
              <w:ind w:left="157"/>
              <w:rPr>
                <w:sz w:val="21"/>
                <w:szCs w:val="21"/>
              </w:rPr>
            </w:pPr>
            <w:r>
              <w:rPr>
                <w:b/>
                <w:bCs/>
                <w:spacing w:val="-5"/>
                <w:sz w:val="21"/>
                <w:szCs w:val="21"/>
              </w:rPr>
              <w:t>序号</w:t>
            </w:r>
          </w:p>
        </w:tc>
        <w:tc>
          <w:tcPr>
            <w:tcW w:w="2851" w:type="dxa"/>
            <w:gridSpan w:val="2"/>
            <w:vAlign w:val="top"/>
          </w:tcPr>
          <w:p w14:paraId="34668B5C">
            <w:pPr>
              <w:pStyle w:val="6"/>
              <w:spacing w:before="72" w:line="217" w:lineRule="auto"/>
              <w:ind w:left="988"/>
              <w:rPr>
                <w:sz w:val="21"/>
                <w:szCs w:val="21"/>
              </w:rPr>
            </w:pPr>
            <w:r>
              <w:rPr>
                <w:b/>
                <w:bCs/>
                <w:spacing w:val="-4"/>
                <w:sz w:val="21"/>
                <w:szCs w:val="21"/>
              </w:rPr>
              <w:t>物质名称</w:t>
            </w:r>
          </w:p>
        </w:tc>
        <w:tc>
          <w:tcPr>
            <w:tcW w:w="1208" w:type="dxa"/>
            <w:vAlign w:val="top"/>
          </w:tcPr>
          <w:p w14:paraId="1A62B70A">
            <w:pPr>
              <w:pStyle w:val="6"/>
              <w:spacing w:before="71" w:line="218" w:lineRule="auto"/>
              <w:ind w:left="168"/>
              <w:rPr>
                <w:sz w:val="21"/>
                <w:szCs w:val="21"/>
              </w:rPr>
            </w:pPr>
            <w:r>
              <w:rPr>
                <w:b/>
                <w:bCs/>
                <w:spacing w:val="-1"/>
                <w:sz w:val="21"/>
                <w:szCs w:val="21"/>
              </w:rPr>
              <w:t>临界量/t</w:t>
            </w:r>
          </w:p>
        </w:tc>
        <w:tc>
          <w:tcPr>
            <w:tcW w:w="2077" w:type="dxa"/>
            <w:vAlign w:val="top"/>
          </w:tcPr>
          <w:p w14:paraId="67FD1C1F">
            <w:pPr>
              <w:pStyle w:val="6"/>
              <w:spacing w:before="71" w:line="218" w:lineRule="auto"/>
              <w:ind w:left="290"/>
              <w:rPr>
                <w:sz w:val="21"/>
                <w:szCs w:val="21"/>
              </w:rPr>
            </w:pPr>
            <w:r>
              <w:rPr>
                <w:b/>
                <w:bCs/>
                <w:spacing w:val="-4"/>
                <w:sz w:val="21"/>
                <w:szCs w:val="21"/>
              </w:rPr>
              <w:t>产生或储存量/t</w:t>
            </w:r>
          </w:p>
        </w:tc>
        <w:tc>
          <w:tcPr>
            <w:tcW w:w="1448" w:type="dxa"/>
            <w:vAlign w:val="top"/>
          </w:tcPr>
          <w:p w14:paraId="15835B0F">
            <w:pPr>
              <w:pStyle w:val="6"/>
              <w:spacing w:before="71" w:line="218" w:lineRule="auto"/>
              <w:ind w:left="552"/>
              <w:rPr>
                <w:sz w:val="21"/>
                <w:szCs w:val="21"/>
              </w:rPr>
            </w:pPr>
            <w:r>
              <w:rPr>
                <w:b/>
                <w:bCs/>
                <w:spacing w:val="-4"/>
                <w:sz w:val="21"/>
                <w:szCs w:val="21"/>
              </w:rPr>
              <w:t>Q值</w:t>
            </w:r>
          </w:p>
        </w:tc>
        <w:tc>
          <w:tcPr>
            <w:tcW w:w="109" w:type="dxa"/>
            <w:tcBorders>
              <w:right w:val="single" w:color="000000" w:sz="6" w:space="0"/>
            </w:tcBorders>
            <w:vAlign w:val="top"/>
          </w:tcPr>
          <w:p w14:paraId="25D97273">
            <w:pPr>
              <w:rPr>
                <w:rFonts w:ascii="Arial"/>
                <w:sz w:val="21"/>
              </w:rPr>
            </w:pPr>
          </w:p>
        </w:tc>
      </w:tr>
      <w:tr w14:paraId="5BD80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444" w:type="dxa"/>
            <w:vMerge w:val="continue"/>
            <w:tcBorders>
              <w:top w:val="nil"/>
              <w:bottom w:val="nil"/>
            </w:tcBorders>
            <w:vAlign w:val="top"/>
          </w:tcPr>
          <w:p w14:paraId="22FD7360">
            <w:pPr>
              <w:rPr>
                <w:rFonts w:ascii="Arial"/>
                <w:sz w:val="21"/>
              </w:rPr>
            </w:pPr>
          </w:p>
        </w:tc>
        <w:tc>
          <w:tcPr>
            <w:tcW w:w="111" w:type="dxa"/>
            <w:tcBorders>
              <w:top w:val="nil"/>
              <w:bottom w:val="nil"/>
            </w:tcBorders>
            <w:vAlign w:val="top"/>
          </w:tcPr>
          <w:p w14:paraId="097A8C04">
            <w:pPr>
              <w:rPr>
                <w:rFonts w:ascii="Arial"/>
                <w:sz w:val="21"/>
              </w:rPr>
            </w:pPr>
          </w:p>
        </w:tc>
        <w:tc>
          <w:tcPr>
            <w:tcW w:w="769" w:type="dxa"/>
            <w:vAlign w:val="top"/>
          </w:tcPr>
          <w:p w14:paraId="5A51DE76">
            <w:pPr>
              <w:pStyle w:val="6"/>
              <w:spacing w:before="107" w:line="195" w:lineRule="auto"/>
              <w:ind w:left="315"/>
              <w:rPr>
                <w:sz w:val="21"/>
                <w:szCs w:val="21"/>
              </w:rPr>
            </w:pPr>
            <w:r>
              <w:rPr>
                <w:sz w:val="21"/>
                <w:szCs w:val="21"/>
              </w:rPr>
              <w:t>1</w:t>
            </w:r>
          </w:p>
        </w:tc>
        <w:tc>
          <w:tcPr>
            <w:tcW w:w="2851" w:type="dxa"/>
            <w:gridSpan w:val="2"/>
            <w:vAlign w:val="top"/>
          </w:tcPr>
          <w:p w14:paraId="19BFE883">
            <w:pPr>
              <w:pStyle w:val="6"/>
              <w:spacing w:before="86" w:line="213" w:lineRule="auto"/>
              <w:ind w:left="985"/>
              <w:rPr>
                <w:sz w:val="21"/>
                <w:szCs w:val="21"/>
              </w:rPr>
            </w:pPr>
            <w:r>
              <w:rPr>
                <w:spacing w:val="5"/>
                <w:sz w:val="21"/>
                <w:szCs w:val="21"/>
              </w:rPr>
              <w:t>变压器油</w:t>
            </w:r>
          </w:p>
        </w:tc>
        <w:tc>
          <w:tcPr>
            <w:tcW w:w="1208" w:type="dxa"/>
            <w:vAlign w:val="top"/>
          </w:tcPr>
          <w:p w14:paraId="6E5357B3">
            <w:pPr>
              <w:pStyle w:val="6"/>
              <w:spacing w:before="107" w:line="195" w:lineRule="auto"/>
              <w:ind w:left="374"/>
              <w:rPr>
                <w:sz w:val="21"/>
                <w:szCs w:val="21"/>
              </w:rPr>
            </w:pPr>
            <w:r>
              <w:rPr>
                <w:spacing w:val="-3"/>
                <w:sz w:val="21"/>
                <w:szCs w:val="21"/>
              </w:rPr>
              <w:t>2500</w:t>
            </w:r>
          </w:p>
        </w:tc>
        <w:tc>
          <w:tcPr>
            <w:tcW w:w="2077" w:type="dxa"/>
            <w:vAlign w:val="top"/>
          </w:tcPr>
          <w:p w14:paraId="75A9C7E9">
            <w:pPr>
              <w:pStyle w:val="6"/>
              <w:spacing w:before="107" w:line="195" w:lineRule="auto"/>
              <w:ind w:left="916"/>
              <w:rPr>
                <w:sz w:val="21"/>
                <w:szCs w:val="21"/>
              </w:rPr>
            </w:pPr>
            <w:r>
              <w:rPr>
                <w:spacing w:val="-3"/>
                <w:sz w:val="21"/>
                <w:szCs w:val="21"/>
              </w:rPr>
              <w:t>27</w:t>
            </w:r>
          </w:p>
        </w:tc>
        <w:tc>
          <w:tcPr>
            <w:tcW w:w="1448" w:type="dxa"/>
            <w:vAlign w:val="top"/>
          </w:tcPr>
          <w:p w14:paraId="11722759">
            <w:pPr>
              <w:pStyle w:val="6"/>
              <w:spacing w:before="107" w:line="195" w:lineRule="auto"/>
              <w:ind w:left="400"/>
              <w:rPr>
                <w:sz w:val="21"/>
                <w:szCs w:val="21"/>
              </w:rPr>
            </w:pPr>
            <w:r>
              <w:rPr>
                <w:spacing w:val="-2"/>
                <w:sz w:val="21"/>
                <w:szCs w:val="21"/>
              </w:rPr>
              <w:t>0.0108</w:t>
            </w:r>
          </w:p>
        </w:tc>
        <w:tc>
          <w:tcPr>
            <w:tcW w:w="109" w:type="dxa"/>
            <w:tcBorders>
              <w:right w:val="single" w:color="000000" w:sz="6" w:space="0"/>
            </w:tcBorders>
            <w:vAlign w:val="top"/>
          </w:tcPr>
          <w:p w14:paraId="3743A930">
            <w:pPr>
              <w:rPr>
                <w:rFonts w:ascii="Arial"/>
                <w:sz w:val="21"/>
              </w:rPr>
            </w:pPr>
          </w:p>
        </w:tc>
      </w:tr>
      <w:tr w14:paraId="7295D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44" w:type="dxa"/>
            <w:vMerge w:val="continue"/>
            <w:tcBorders>
              <w:top w:val="nil"/>
              <w:bottom w:val="nil"/>
            </w:tcBorders>
            <w:vAlign w:val="top"/>
          </w:tcPr>
          <w:p w14:paraId="33EAA0B8">
            <w:pPr>
              <w:rPr>
                <w:rFonts w:ascii="Arial"/>
                <w:sz w:val="21"/>
              </w:rPr>
            </w:pPr>
          </w:p>
        </w:tc>
        <w:tc>
          <w:tcPr>
            <w:tcW w:w="111" w:type="dxa"/>
            <w:tcBorders>
              <w:top w:val="nil"/>
              <w:bottom w:val="nil"/>
            </w:tcBorders>
            <w:vAlign w:val="top"/>
          </w:tcPr>
          <w:p w14:paraId="20EEE455">
            <w:pPr>
              <w:rPr>
                <w:rFonts w:ascii="Arial"/>
                <w:sz w:val="21"/>
              </w:rPr>
            </w:pPr>
          </w:p>
        </w:tc>
        <w:tc>
          <w:tcPr>
            <w:tcW w:w="769" w:type="dxa"/>
            <w:vAlign w:val="top"/>
          </w:tcPr>
          <w:p w14:paraId="443DA260">
            <w:pPr>
              <w:pStyle w:val="6"/>
              <w:spacing w:before="108" w:line="195" w:lineRule="auto"/>
              <w:ind w:left="315"/>
              <w:rPr>
                <w:sz w:val="21"/>
                <w:szCs w:val="21"/>
              </w:rPr>
            </w:pPr>
            <w:r>
              <w:rPr>
                <w:sz w:val="21"/>
                <w:szCs w:val="21"/>
              </w:rPr>
              <w:t>2</w:t>
            </w:r>
          </w:p>
        </w:tc>
        <w:tc>
          <w:tcPr>
            <w:tcW w:w="2851" w:type="dxa"/>
            <w:gridSpan w:val="2"/>
            <w:vAlign w:val="top"/>
          </w:tcPr>
          <w:p w14:paraId="1B67BBFB">
            <w:pPr>
              <w:pStyle w:val="6"/>
              <w:spacing w:before="87" w:line="213" w:lineRule="auto"/>
              <w:ind w:left="985"/>
              <w:rPr>
                <w:sz w:val="21"/>
                <w:szCs w:val="21"/>
              </w:rPr>
            </w:pPr>
            <w:r>
              <w:rPr>
                <w:spacing w:val="5"/>
                <w:sz w:val="21"/>
                <w:szCs w:val="21"/>
              </w:rPr>
              <w:t>废润滑油</w:t>
            </w:r>
          </w:p>
        </w:tc>
        <w:tc>
          <w:tcPr>
            <w:tcW w:w="1208" w:type="dxa"/>
            <w:vAlign w:val="top"/>
          </w:tcPr>
          <w:p w14:paraId="69EB11DF">
            <w:pPr>
              <w:pStyle w:val="6"/>
              <w:spacing w:before="108" w:line="195" w:lineRule="auto"/>
              <w:ind w:left="374"/>
              <w:rPr>
                <w:sz w:val="21"/>
                <w:szCs w:val="21"/>
              </w:rPr>
            </w:pPr>
            <w:r>
              <w:rPr>
                <w:spacing w:val="-3"/>
                <w:sz w:val="21"/>
                <w:szCs w:val="21"/>
              </w:rPr>
              <w:t>2500</w:t>
            </w:r>
          </w:p>
        </w:tc>
        <w:tc>
          <w:tcPr>
            <w:tcW w:w="2077" w:type="dxa"/>
            <w:vAlign w:val="top"/>
          </w:tcPr>
          <w:p w14:paraId="58C8EB63">
            <w:pPr>
              <w:pStyle w:val="6"/>
              <w:spacing w:before="108" w:line="195" w:lineRule="auto"/>
              <w:ind w:left="816"/>
              <w:rPr>
                <w:sz w:val="21"/>
                <w:szCs w:val="21"/>
              </w:rPr>
            </w:pPr>
            <w:r>
              <w:rPr>
                <w:spacing w:val="-2"/>
                <w:sz w:val="21"/>
                <w:szCs w:val="21"/>
              </w:rPr>
              <w:t>0.05</w:t>
            </w:r>
          </w:p>
        </w:tc>
        <w:tc>
          <w:tcPr>
            <w:tcW w:w="1448" w:type="dxa"/>
            <w:vAlign w:val="top"/>
          </w:tcPr>
          <w:p w14:paraId="151F21EC">
            <w:pPr>
              <w:pStyle w:val="6"/>
              <w:spacing w:before="108" w:line="195" w:lineRule="auto"/>
              <w:ind w:left="339"/>
              <w:rPr>
                <w:sz w:val="21"/>
                <w:szCs w:val="21"/>
              </w:rPr>
            </w:pPr>
            <w:r>
              <w:rPr>
                <w:spacing w:val="-2"/>
                <w:sz w:val="21"/>
                <w:szCs w:val="21"/>
              </w:rPr>
              <w:t>0.00002</w:t>
            </w:r>
          </w:p>
        </w:tc>
        <w:tc>
          <w:tcPr>
            <w:tcW w:w="109" w:type="dxa"/>
            <w:tcBorders>
              <w:right w:val="single" w:color="000000" w:sz="6" w:space="0"/>
            </w:tcBorders>
            <w:vAlign w:val="top"/>
          </w:tcPr>
          <w:p w14:paraId="17342093">
            <w:pPr>
              <w:rPr>
                <w:rFonts w:ascii="Arial"/>
                <w:sz w:val="21"/>
              </w:rPr>
            </w:pPr>
          </w:p>
        </w:tc>
      </w:tr>
      <w:tr w14:paraId="41DA8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444" w:type="dxa"/>
            <w:vMerge w:val="continue"/>
            <w:tcBorders>
              <w:top w:val="nil"/>
              <w:bottom w:val="nil"/>
            </w:tcBorders>
            <w:vAlign w:val="top"/>
          </w:tcPr>
          <w:p w14:paraId="2446AA56">
            <w:pPr>
              <w:rPr>
                <w:rFonts w:ascii="Arial"/>
                <w:sz w:val="21"/>
              </w:rPr>
            </w:pPr>
          </w:p>
        </w:tc>
        <w:tc>
          <w:tcPr>
            <w:tcW w:w="111" w:type="dxa"/>
            <w:tcBorders>
              <w:top w:val="nil"/>
              <w:bottom w:val="nil"/>
            </w:tcBorders>
            <w:vAlign w:val="top"/>
          </w:tcPr>
          <w:p w14:paraId="1DD84C45">
            <w:pPr>
              <w:rPr>
                <w:rFonts w:ascii="Arial"/>
                <w:sz w:val="21"/>
              </w:rPr>
            </w:pPr>
          </w:p>
        </w:tc>
        <w:tc>
          <w:tcPr>
            <w:tcW w:w="3620" w:type="dxa"/>
            <w:gridSpan w:val="3"/>
            <w:vAlign w:val="top"/>
          </w:tcPr>
          <w:p w14:paraId="22774F02">
            <w:pPr>
              <w:pStyle w:val="6"/>
              <w:spacing w:before="87" w:line="221" w:lineRule="auto"/>
              <w:ind w:left="1594"/>
              <w:rPr>
                <w:sz w:val="21"/>
                <w:szCs w:val="21"/>
              </w:rPr>
            </w:pPr>
            <w:r>
              <w:rPr>
                <w:spacing w:val="-3"/>
                <w:sz w:val="21"/>
                <w:szCs w:val="21"/>
              </w:rPr>
              <w:t>合计</w:t>
            </w:r>
          </w:p>
        </w:tc>
        <w:tc>
          <w:tcPr>
            <w:tcW w:w="1208" w:type="dxa"/>
            <w:vAlign w:val="top"/>
          </w:tcPr>
          <w:p w14:paraId="60D083B7">
            <w:pPr>
              <w:pStyle w:val="6"/>
              <w:spacing w:before="92" w:line="217" w:lineRule="auto"/>
              <w:ind w:left="534"/>
              <w:rPr>
                <w:sz w:val="21"/>
                <w:szCs w:val="21"/>
              </w:rPr>
            </w:pPr>
            <w:r>
              <w:rPr>
                <w:sz w:val="21"/>
                <w:szCs w:val="21"/>
              </w:rPr>
              <w:t>/</w:t>
            </w:r>
          </w:p>
        </w:tc>
        <w:tc>
          <w:tcPr>
            <w:tcW w:w="2077" w:type="dxa"/>
            <w:vAlign w:val="top"/>
          </w:tcPr>
          <w:p w14:paraId="7F1E00E5">
            <w:pPr>
              <w:pStyle w:val="6"/>
              <w:spacing w:before="206" w:line="132" w:lineRule="exact"/>
              <w:ind w:left="916"/>
              <w:rPr>
                <w:sz w:val="21"/>
                <w:szCs w:val="21"/>
              </w:rPr>
            </w:pPr>
            <w:r>
              <w:rPr>
                <w:spacing w:val="-5"/>
                <w:w w:val="53"/>
                <w:position w:val="-4"/>
                <w:sz w:val="21"/>
                <w:szCs w:val="21"/>
              </w:rPr>
              <w:t>—</w:t>
            </w:r>
            <w:r>
              <w:rPr>
                <w:position w:val="-4"/>
                <w:sz w:val="21"/>
                <w:szCs w:val="21"/>
              </w:rPr>
              <w:t>—</w:t>
            </w:r>
          </w:p>
        </w:tc>
        <w:tc>
          <w:tcPr>
            <w:tcW w:w="1448" w:type="dxa"/>
            <w:vAlign w:val="top"/>
          </w:tcPr>
          <w:p w14:paraId="5127F1EE">
            <w:pPr>
              <w:pStyle w:val="6"/>
              <w:spacing w:before="108" w:line="203" w:lineRule="auto"/>
              <w:ind w:left="339"/>
              <w:rPr>
                <w:sz w:val="21"/>
                <w:szCs w:val="21"/>
              </w:rPr>
            </w:pPr>
            <w:r>
              <w:rPr>
                <w:spacing w:val="-2"/>
                <w:sz w:val="21"/>
                <w:szCs w:val="21"/>
              </w:rPr>
              <w:t>0.01082</w:t>
            </w:r>
          </w:p>
        </w:tc>
        <w:tc>
          <w:tcPr>
            <w:tcW w:w="109" w:type="dxa"/>
            <w:tcBorders>
              <w:right w:val="single" w:color="000000" w:sz="6" w:space="0"/>
            </w:tcBorders>
            <w:vAlign w:val="top"/>
          </w:tcPr>
          <w:p w14:paraId="0DCC3728">
            <w:pPr>
              <w:rPr>
                <w:rFonts w:ascii="Arial"/>
                <w:sz w:val="21"/>
              </w:rPr>
            </w:pPr>
          </w:p>
        </w:tc>
      </w:tr>
      <w:tr w14:paraId="6B213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444" w:type="dxa"/>
            <w:vMerge w:val="continue"/>
            <w:tcBorders>
              <w:top w:val="nil"/>
              <w:bottom w:val="single" w:color="000000" w:sz="8" w:space="0"/>
            </w:tcBorders>
            <w:vAlign w:val="top"/>
          </w:tcPr>
          <w:p w14:paraId="7394D030">
            <w:pPr>
              <w:rPr>
                <w:rFonts w:ascii="Arial"/>
                <w:sz w:val="21"/>
              </w:rPr>
            </w:pPr>
          </w:p>
        </w:tc>
        <w:tc>
          <w:tcPr>
            <w:tcW w:w="8573" w:type="dxa"/>
            <w:gridSpan w:val="8"/>
            <w:tcBorders>
              <w:bottom w:val="single" w:color="000000" w:sz="8" w:space="0"/>
              <w:right w:val="single" w:color="000000" w:sz="6" w:space="0"/>
            </w:tcBorders>
            <w:vAlign w:val="top"/>
          </w:tcPr>
          <w:p w14:paraId="70AF10B4">
            <w:pPr>
              <w:pStyle w:val="6"/>
              <w:spacing w:before="166" w:line="212" w:lineRule="auto"/>
              <w:ind w:left="565"/>
            </w:pPr>
            <w:r>
              <w:rPr>
                <w:spacing w:val="2"/>
              </w:rPr>
              <w:t>经计算，本项目</w:t>
            </w:r>
            <w:r>
              <w:rPr>
                <w:rFonts w:ascii="Times New Roman" w:hAnsi="Times New Roman" w:eastAsia="Times New Roman" w:cs="Times New Roman"/>
                <w:spacing w:val="2"/>
              </w:rPr>
              <w:t xml:space="preserve">Q&lt;1,     </w:t>
            </w:r>
            <w:r>
              <w:rPr>
                <w:spacing w:val="2"/>
              </w:rPr>
              <w:t>环境风险潜势判定为</w:t>
            </w:r>
            <w:r>
              <w:rPr>
                <w:rFonts w:ascii="Times New Roman" w:hAnsi="Times New Roman" w:eastAsia="Times New Roman" w:cs="Times New Roman"/>
                <w:spacing w:val="2"/>
              </w:rPr>
              <w:t>I,</w:t>
            </w:r>
            <w:r>
              <w:rPr>
                <w:rFonts w:ascii="Times New Roman" w:hAnsi="Times New Roman" w:eastAsia="Times New Roman" w:cs="Times New Roman"/>
                <w:spacing w:val="1"/>
              </w:rPr>
              <w:t xml:space="preserve">   </w:t>
            </w:r>
            <w:r>
              <w:rPr>
                <w:spacing w:val="1"/>
              </w:rPr>
              <w:t>根据《建设项目环境风险评</w:t>
            </w:r>
          </w:p>
        </w:tc>
      </w:tr>
    </w:tbl>
    <w:p w14:paraId="4AFC407B">
      <w:pPr>
        <w:pStyle w:val="2"/>
      </w:pPr>
    </w:p>
    <w:p w14:paraId="594C0067">
      <w:pPr>
        <w:sectPr>
          <w:footerReference r:id="rId107" w:type="default"/>
          <w:pgSz w:w="11910" w:h="16840"/>
          <w:pgMar w:top="1431" w:right="1470" w:bottom="400" w:left="1410" w:header="0" w:footer="0" w:gutter="0"/>
          <w:cols w:space="720" w:num="1"/>
        </w:sectPr>
      </w:pPr>
    </w:p>
    <w:p w14:paraId="54D53491">
      <w:pPr>
        <w:spacing w:line="103" w:lineRule="exact"/>
      </w:pPr>
    </w:p>
    <w:tbl>
      <w:tblPr>
        <w:tblStyle w:val="5"/>
        <w:tblW w:w="88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1228"/>
        <w:gridCol w:w="1928"/>
        <w:gridCol w:w="1978"/>
        <w:gridCol w:w="3291"/>
      </w:tblGrid>
      <w:tr w14:paraId="7E844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3" w:hRule="atLeast"/>
        </w:trPr>
        <w:tc>
          <w:tcPr>
            <w:tcW w:w="444" w:type="dxa"/>
            <w:vMerge w:val="restart"/>
            <w:tcBorders>
              <w:bottom w:val="nil"/>
            </w:tcBorders>
            <w:vAlign w:val="top"/>
          </w:tcPr>
          <w:p w14:paraId="58B5A720">
            <w:pPr>
              <w:rPr>
                <w:rFonts w:ascii="Arial"/>
                <w:sz w:val="21"/>
              </w:rPr>
            </w:pPr>
          </w:p>
        </w:tc>
        <w:tc>
          <w:tcPr>
            <w:tcW w:w="8425" w:type="dxa"/>
            <w:gridSpan w:val="4"/>
            <w:vAlign w:val="top"/>
          </w:tcPr>
          <w:p w14:paraId="5A1D219E">
            <w:pPr>
              <w:pStyle w:val="6"/>
              <w:spacing w:before="121" w:line="219" w:lineRule="auto"/>
              <w:ind w:left="664"/>
            </w:pPr>
            <w:bookmarkStart w:id="7" w:name="bookmark11"/>
            <w:bookmarkEnd w:id="7"/>
            <w:r>
              <w:rPr>
                <w:b/>
                <w:bCs/>
                <w:spacing w:val="-3"/>
              </w:rPr>
              <w:t>(3)环境风险影响途径</w:t>
            </w:r>
          </w:p>
          <w:p w14:paraId="0BD20541">
            <w:pPr>
              <w:spacing w:line="241" w:lineRule="auto"/>
              <w:rPr>
                <w:rFonts w:ascii="Arial"/>
                <w:sz w:val="21"/>
              </w:rPr>
            </w:pPr>
          </w:p>
          <w:p w14:paraId="69C53763">
            <w:pPr>
              <w:pStyle w:val="6"/>
              <w:spacing w:before="78" w:line="357" w:lineRule="auto"/>
              <w:ind w:left="40" w:firstLine="468"/>
              <w:jc w:val="both"/>
            </w:pPr>
            <w:r>
              <w:rPr>
                <w:spacing w:val="-1"/>
              </w:rPr>
              <w:t>根据项目风险物质的储存使用情况，可能产生环境风险的生产设施主</w:t>
            </w:r>
            <w:r>
              <w:rPr>
                <w:spacing w:val="-2"/>
              </w:rPr>
              <w:t>要有主</w:t>
            </w:r>
            <w:r>
              <w:t xml:space="preserve"> </w:t>
            </w:r>
            <w:r>
              <w:rPr>
                <w:spacing w:val="-1"/>
              </w:rPr>
              <w:t>变、箱变、润滑油品库、危废暂存间。风险物质向环境转移的途径主要是在油品</w:t>
            </w:r>
            <w:r>
              <w:rPr>
                <w:spacing w:val="8"/>
              </w:rPr>
              <w:t xml:space="preserve"> </w:t>
            </w:r>
            <w:r>
              <w:t>在使用、储运过程中若操作不当，造成物质泄漏，以及遇火源或在高温</w:t>
            </w:r>
            <w:r>
              <w:rPr>
                <w:spacing w:val="-1"/>
              </w:rPr>
              <w:t>(高于闪</w:t>
            </w:r>
            <w:r>
              <w:t xml:space="preserve"> </w:t>
            </w:r>
            <w:r>
              <w:rPr>
                <w:spacing w:val="-1"/>
              </w:rPr>
              <w:t>点)等特殊情况下，产生CO等次生污染物排放。</w:t>
            </w:r>
          </w:p>
          <w:p w14:paraId="2968A28D">
            <w:pPr>
              <w:pStyle w:val="6"/>
              <w:spacing w:before="8" w:line="219" w:lineRule="auto"/>
              <w:ind w:left="1034"/>
            </w:pPr>
            <w:r>
              <w:rPr>
                <w:b/>
                <w:bCs/>
                <w:spacing w:val="-3"/>
              </w:rPr>
              <w:t>表4-12生产设施危险性识别及风险物质向环境的转移途径</w:t>
            </w:r>
          </w:p>
        </w:tc>
      </w:tr>
      <w:tr w14:paraId="30080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444" w:type="dxa"/>
            <w:vMerge w:val="continue"/>
            <w:tcBorders>
              <w:top w:val="nil"/>
              <w:bottom w:val="nil"/>
            </w:tcBorders>
            <w:vAlign w:val="top"/>
          </w:tcPr>
          <w:p w14:paraId="6265F201">
            <w:pPr>
              <w:rPr>
                <w:rFonts w:ascii="Arial"/>
                <w:sz w:val="21"/>
              </w:rPr>
            </w:pPr>
          </w:p>
        </w:tc>
        <w:tc>
          <w:tcPr>
            <w:tcW w:w="1228" w:type="dxa"/>
            <w:vAlign w:val="top"/>
          </w:tcPr>
          <w:p w14:paraId="7FB495D6">
            <w:pPr>
              <w:pStyle w:val="6"/>
              <w:spacing w:before="59" w:line="216" w:lineRule="auto"/>
              <w:ind w:left="124"/>
            </w:pPr>
            <w:r>
              <w:rPr>
                <w:b/>
                <w:bCs/>
                <w:spacing w:val="2"/>
              </w:rPr>
              <w:t>危险物质</w:t>
            </w:r>
          </w:p>
        </w:tc>
        <w:tc>
          <w:tcPr>
            <w:tcW w:w="1928" w:type="dxa"/>
            <w:vAlign w:val="top"/>
          </w:tcPr>
          <w:p w14:paraId="065A627B">
            <w:pPr>
              <w:pStyle w:val="6"/>
              <w:spacing w:before="59" w:line="216" w:lineRule="auto"/>
              <w:ind w:left="476"/>
            </w:pPr>
            <w:r>
              <w:rPr>
                <w:b/>
                <w:bCs/>
                <w:spacing w:val="-5"/>
              </w:rPr>
              <w:t>风险单元</w:t>
            </w:r>
          </w:p>
        </w:tc>
        <w:tc>
          <w:tcPr>
            <w:tcW w:w="1978" w:type="dxa"/>
            <w:vAlign w:val="top"/>
          </w:tcPr>
          <w:p w14:paraId="30C7CC4C">
            <w:pPr>
              <w:pStyle w:val="6"/>
              <w:spacing w:before="57" w:line="217" w:lineRule="auto"/>
              <w:ind w:left="268"/>
            </w:pPr>
            <w:r>
              <w:rPr>
                <w:b/>
                <w:bCs/>
                <w:spacing w:val="-4"/>
              </w:rPr>
              <w:t>环境风险类型</w:t>
            </w:r>
          </w:p>
        </w:tc>
        <w:tc>
          <w:tcPr>
            <w:tcW w:w="3291" w:type="dxa"/>
            <w:vAlign w:val="top"/>
          </w:tcPr>
          <w:p w14:paraId="37933C89">
            <w:pPr>
              <w:pStyle w:val="6"/>
              <w:spacing w:before="57" w:line="217" w:lineRule="auto"/>
              <w:ind w:left="800"/>
            </w:pPr>
            <w:r>
              <w:rPr>
                <w:b/>
                <w:bCs/>
                <w:spacing w:val="-4"/>
              </w:rPr>
              <w:t>影响环境的途径</w:t>
            </w:r>
          </w:p>
        </w:tc>
      </w:tr>
      <w:tr w14:paraId="48AB4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44" w:type="dxa"/>
            <w:vMerge w:val="continue"/>
            <w:tcBorders>
              <w:top w:val="nil"/>
              <w:bottom w:val="nil"/>
            </w:tcBorders>
            <w:vAlign w:val="top"/>
          </w:tcPr>
          <w:p w14:paraId="674F3F36">
            <w:pPr>
              <w:rPr>
                <w:rFonts w:ascii="Arial"/>
                <w:sz w:val="21"/>
              </w:rPr>
            </w:pPr>
          </w:p>
        </w:tc>
        <w:tc>
          <w:tcPr>
            <w:tcW w:w="1228" w:type="dxa"/>
            <w:vMerge w:val="restart"/>
            <w:tcBorders>
              <w:bottom w:val="nil"/>
            </w:tcBorders>
            <w:vAlign w:val="top"/>
          </w:tcPr>
          <w:p w14:paraId="25A47E5E">
            <w:pPr>
              <w:pStyle w:val="6"/>
              <w:spacing w:before="204" w:line="217" w:lineRule="auto"/>
              <w:ind w:left="110" w:hanging="110"/>
            </w:pPr>
            <w:r>
              <w:rPr>
                <w:spacing w:val="3"/>
              </w:rPr>
              <w:t>变压器油、</w:t>
            </w:r>
            <w:r>
              <w:rPr>
                <w:spacing w:val="1"/>
              </w:rPr>
              <w:t xml:space="preserve"> </w:t>
            </w:r>
            <w:r>
              <w:rPr>
                <w:spacing w:val="-10"/>
              </w:rPr>
              <w:t>废润滑油</w:t>
            </w:r>
          </w:p>
        </w:tc>
        <w:tc>
          <w:tcPr>
            <w:tcW w:w="1928" w:type="dxa"/>
            <w:vMerge w:val="restart"/>
            <w:tcBorders>
              <w:bottom w:val="nil"/>
            </w:tcBorders>
            <w:vAlign w:val="top"/>
          </w:tcPr>
          <w:p w14:paraId="4BF81697">
            <w:pPr>
              <w:pStyle w:val="6"/>
              <w:spacing w:before="202" w:line="217" w:lineRule="auto"/>
              <w:ind w:left="111" w:hanging="99"/>
            </w:pPr>
            <w:r>
              <w:rPr>
                <w:spacing w:val="-2"/>
              </w:rPr>
              <w:t>主变、箱变、油品</w:t>
            </w:r>
            <w:r>
              <w:t xml:space="preserve"> </w:t>
            </w:r>
            <w:r>
              <w:rPr>
                <w:spacing w:val="2"/>
              </w:rPr>
              <w:t>库、危废暂存间</w:t>
            </w:r>
          </w:p>
        </w:tc>
        <w:tc>
          <w:tcPr>
            <w:tcW w:w="1978" w:type="dxa"/>
            <w:vAlign w:val="top"/>
          </w:tcPr>
          <w:p w14:paraId="6785807A">
            <w:pPr>
              <w:pStyle w:val="6"/>
              <w:spacing w:before="153" w:line="221" w:lineRule="auto"/>
              <w:ind w:left="745"/>
            </w:pPr>
            <w:r>
              <w:rPr>
                <w:spacing w:val="7"/>
              </w:rPr>
              <w:t>泄漏</w:t>
            </w:r>
          </w:p>
        </w:tc>
        <w:tc>
          <w:tcPr>
            <w:tcW w:w="3291" w:type="dxa"/>
            <w:vAlign w:val="top"/>
          </w:tcPr>
          <w:p w14:paraId="7A876E05">
            <w:pPr>
              <w:pStyle w:val="6"/>
              <w:spacing w:before="32" w:line="191" w:lineRule="auto"/>
              <w:ind w:left="75" w:hanging="59"/>
            </w:pPr>
            <w:r>
              <w:rPr>
                <w:spacing w:val="-24"/>
              </w:rPr>
              <w:t>溢流进入地表水</w:t>
            </w:r>
            <w:r>
              <w:rPr>
                <w:spacing w:val="-23"/>
              </w:rPr>
              <w:t>体；地表漫流或</w:t>
            </w:r>
            <w:r>
              <w:rPr>
                <w:spacing w:val="-16"/>
              </w:rPr>
              <w:t>下</w:t>
            </w:r>
            <w:r>
              <w:rPr>
                <w:spacing w:val="8"/>
              </w:rPr>
              <w:t xml:space="preserve"> </w:t>
            </w:r>
            <w:r>
              <w:t>渗污染土壤；下渗污染地下水</w:t>
            </w:r>
          </w:p>
        </w:tc>
      </w:tr>
      <w:tr w14:paraId="7BE99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44" w:type="dxa"/>
            <w:vMerge w:val="continue"/>
            <w:tcBorders>
              <w:top w:val="nil"/>
              <w:bottom w:val="nil"/>
            </w:tcBorders>
            <w:vAlign w:val="top"/>
          </w:tcPr>
          <w:p w14:paraId="63B0FA20">
            <w:pPr>
              <w:rPr>
                <w:rFonts w:ascii="Arial"/>
                <w:sz w:val="21"/>
              </w:rPr>
            </w:pPr>
          </w:p>
        </w:tc>
        <w:tc>
          <w:tcPr>
            <w:tcW w:w="1228" w:type="dxa"/>
            <w:vMerge w:val="continue"/>
            <w:tcBorders>
              <w:top w:val="nil"/>
            </w:tcBorders>
            <w:vAlign w:val="top"/>
          </w:tcPr>
          <w:p w14:paraId="5B1B602B">
            <w:pPr>
              <w:rPr>
                <w:rFonts w:ascii="Arial"/>
                <w:sz w:val="21"/>
              </w:rPr>
            </w:pPr>
          </w:p>
        </w:tc>
        <w:tc>
          <w:tcPr>
            <w:tcW w:w="1928" w:type="dxa"/>
            <w:vMerge w:val="continue"/>
            <w:tcBorders>
              <w:top w:val="nil"/>
            </w:tcBorders>
            <w:vAlign w:val="top"/>
          </w:tcPr>
          <w:p w14:paraId="599B9BF6">
            <w:pPr>
              <w:rPr>
                <w:rFonts w:ascii="Arial"/>
                <w:sz w:val="21"/>
              </w:rPr>
            </w:pPr>
          </w:p>
        </w:tc>
        <w:tc>
          <w:tcPr>
            <w:tcW w:w="1978" w:type="dxa"/>
            <w:vAlign w:val="top"/>
          </w:tcPr>
          <w:p w14:paraId="0EA88FB1">
            <w:pPr>
              <w:pStyle w:val="6"/>
              <w:spacing w:before="41" w:line="199" w:lineRule="auto"/>
              <w:ind w:left="444"/>
            </w:pPr>
            <w:r>
              <w:rPr>
                <w:spacing w:val="2"/>
              </w:rPr>
              <w:t>火灾/爆炸</w:t>
            </w:r>
          </w:p>
        </w:tc>
        <w:tc>
          <w:tcPr>
            <w:tcW w:w="3291" w:type="dxa"/>
            <w:vAlign w:val="top"/>
          </w:tcPr>
          <w:p w14:paraId="53D39E85">
            <w:pPr>
              <w:pStyle w:val="6"/>
              <w:spacing w:before="42" w:line="198" w:lineRule="auto"/>
              <w:ind w:left="556"/>
            </w:pPr>
            <w:r>
              <w:rPr>
                <w:spacing w:val="-1"/>
              </w:rPr>
              <w:t>产生CO造成大气污染</w:t>
            </w:r>
          </w:p>
        </w:tc>
      </w:tr>
      <w:tr w14:paraId="33A54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8" w:hRule="atLeast"/>
        </w:trPr>
        <w:tc>
          <w:tcPr>
            <w:tcW w:w="444" w:type="dxa"/>
            <w:vMerge w:val="continue"/>
            <w:tcBorders>
              <w:top w:val="nil"/>
            </w:tcBorders>
            <w:vAlign w:val="top"/>
          </w:tcPr>
          <w:p w14:paraId="44C68FF5">
            <w:pPr>
              <w:rPr>
                <w:rFonts w:ascii="Arial"/>
                <w:sz w:val="21"/>
              </w:rPr>
            </w:pPr>
          </w:p>
        </w:tc>
        <w:tc>
          <w:tcPr>
            <w:tcW w:w="8425" w:type="dxa"/>
            <w:gridSpan w:val="4"/>
            <w:vAlign w:val="top"/>
          </w:tcPr>
          <w:p w14:paraId="4CA87F49">
            <w:pPr>
              <w:pStyle w:val="6"/>
              <w:spacing w:before="183" w:line="359" w:lineRule="auto"/>
              <w:ind w:left="20" w:firstLine="488"/>
              <w:jc w:val="both"/>
            </w:pPr>
            <w:r>
              <w:rPr>
                <w:spacing w:val="-1"/>
              </w:rPr>
              <w:t>除此之外，项目各类高压带电设备、电缆等如未正确安装，或运行过程中出</w:t>
            </w:r>
            <w:r>
              <w:rPr>
                <w:spacing w:val="17"/>
              </w:rPr>
              <w:t xml:space="preserve"> </w:t>
            </w:r>
            <w:r>
              <w:rPr>
                <w:spacing w:val="-1"/>
              </w:rPr>
              <w:t>现设备损坏、操作不当等，也易发生爆燃、火灾事故，一方面直接威胁项目内及</w:t>
            </w:r>
            <w:r>
              <w:rPr>
                <w:spacing w:val="7"/>
              </w:rPr>
              <w:t xml:space="preserve"> </w:t>
            </w:r>
            <w:r>
              <w:t>周边人员的人身安全，同时各类塑料等燃烧</w:t>
            </w:r>
            <w:r>
              <w:rPr>
                <w:spacing w:val="-1"/>
              </w:rPr>
              <w:t>将产生有毒有害气体污染大气环境，</w:t>
            </w:r>
            <w:r>
              <w:t xml:space="preserve"> </w:t>
            </w:r>
            <w:r>
              <w:rPr>
                <w:spacing w:val="-1"/>
              </w:rPr>
              <w:t>此外火灾也可能对周边植被造成破坏。</w:t>
            </w:r>
          </w:p>
          <w:p w14:paraId="791A89E1">
            <w:pPr>
              <w:pStyle w:val="6"/>
              <w:spacing w:line="220" w:lineRule="auto"/>
              <w:ind w:left="604"/>
            </w:pPr>
            <w:r>
              <w:rPr>
                <w:b/>
                <w:bCs/>
                <w:spacing w:val="-3"/>
              </w:rPr>
              <w:t>(4)环境风险分析</w:t>
            </w:r>
          </w:p>
          <w:p w14:paraId="51082C47">
            <w:pPr>
              <w:pStyle w:val="6"/>
              <w:spacing w:before="177" w:line="220" w:lineRule="auto"/>
              <w:ind w:left="510"/>
            </w:pPr>
            <w:r>
              <w:rPr>
                <w:spacing w:val="1"/>
              </w:rPr>
              <w:t>1)大气环境风险分析</w:t>
            </w:r>
          </w:p>
          <w:p w14:paraId="2AEF587F">
            <w:pPr>
              <w:pStyle w:val="6"/>
              <w:spacing w:before="193" w:line="346" w:lineRule="auto"/>
              <w:ind w:left="30" w:firstLine="479"/>
            </w:pPr>
            <w:r>
              <w:rPr>
                <w:spacing w:val="-1"/>
              </w:rPr>
              <w:t>变压器油、废润滑油在使用、储运过程中若操作不当或设备损坏造成物质泄</w:t>
            </w:r>
            <w:r>
              <w:rPr>
                <w:spacing w:val="16"/>
              </w:rPr>
              <w:t xml:space="preserve"> </w:t>
            </w:r>
            <w:r>
              <w:t>漏，泄漏后遇火源或在高温(高于闪点)等特殊情况下，将引</w:t>
            </w:r>
            <w:r>
              <w:rPr>
                <w:spacing w:val="-1"/>
              </w:rPr>
              <w:t>发火灾爆炸风险，</w:t>
            </w:r>
          </w:p>
          <w:p w14:paraId="45A2B0D1">
            <w:pPr>
              <w:pStyle w:val="6"/>
              <w:spacing w:before="20" w:line="219" w:lineRule="auto"/>
              <w:ind w:left="30"/>
            </w:pPr>
            <w:r>
              <w:t>将对周边大气产生较为严重的环境污染。由于变压器油(废</w:t>
            </w:r>
            <w:r>
              <w:rPr>
                <w:spacing w:val="-1"/>
              </w:rPr>
              <w:t>变压器油)泄漏后直</w:t>
            </w:r>
          </w:p>
          <w:p w14:paraId="33847943">
            <w:pPr>
              <w:pStyle w:val="6"/>
              <w:spacing w:before="183" w:line="360" w:lineRule="auto"/>
              <w:ind w:left="30"/>
            </w:pPr>
            <w:r>
              <w:rPr>
                <w:spacing w:val="-4"/>
              </w:rPr>
              <w:t>接进入事故油池，暴露在空气中的量较小，通过加强巡检等措施后，可以及时发</w:t>
            </w:r>
            <w:r>
              <w:rPr>
                <w:spacing w:val="8"/>
              </w:rPr>
              <w:t xml:space="preserve">  </w:t>
            </w:r>
            <w:r>
              <w:rPr>
                <w:spacing w:val="-4"/>
              </w:rPr>
              <w:t>生泄漏，切断泄漏源，并用事故油池收容泄漏物，在采取以上应急措施后，引起</w:t>
            </w:r>
            <w:r>
              <w:rPr>
                <w:spacing w:val="6"/>
              </w:rPr>
              <w:t xml:space="preserve">  </w:t>
            </w:r>
            <w:r>
              <w:rPr>
                <w:spacing w:val="-7"/>
              </w:rPr>
              <w:t>火灾爆炸的可能性较小。建设单位需强化禁火区域安全管理，严禁烟火</w:t>
            </w:r>
            <w:r>
              <w:rPr>
                <w:spacing w:val="-8"/>
              </w:rPr>
              <w:t>，将生产、</w:t>
            </w:r>
            <w:r>
              <w:t xml:space="preserve"> </w:t>
            </w:r>
            <w:r>
              <w:rPr>
                <w:spacing w:val="-4"/>
              </w:rPr>
              <w:t>储存装置区域列为禁火区，区内加强火源管理，严禁吸烟。宿舍、办公室、休息</w:t>
            </w:r>
            <w:r>
              <w:rPr>
                <w:spacing w:val="8"/>
              </w:rPr>
              <w:t xml:space="preserve">  </w:t>
            </w:r>
            <w:r>
              <w:rPr>
                <w:spacing w:val="-1"/>
              </w:rPr>
              <w:t>室内严禁存放易燃易爆物品。在变压器、危险废物暂存间附近，配置灭火器材，</w:t>
            </w:r>
            <w:r>
              <w:rPr>
                <w:spacing w:val="18"/>
              </w:rPr>
              <w:t xml:space="preserve"> </w:t>
            </w:r>
            <w:r>
              <w:rPr>
                <w:spacing w:val="-3"/>
              </w:rPr>
              <w:t>设置室外消火栓。建设单位应认真落实风险防范措施，大气环境风险可</w:t>
            </w:r>
            <w:r>
              <w:rPr>
                <w:spacing w:val="-4"/>
              </w:rPr>
              <w:t>控，对周</w:t>
            </w:r>
            <w:r>
              <w:t xml:space="preserve"> 边环境影响较小。</w:t>
            </w:r>
          </w:p>
          <w:p w14:paraId="7FE010A0">
            <w:pPr>
              <w:pStyle w:val="6"/>
              <w:spacing w:before="16" w:line="219" w:lineRule="auto"/>
              <w:ind w:left="540"/>
            </w:pPr>
            <w:r>
              <w:t>2)地表水环境风险分析</w:t>
            </w:r>
          </w:p>
          <w:p w14:paraId="6F48B8E6">
            <w:pPr>
              <w:pStyle w:val="6"/>
              <w:spacing w:before="155" w:line="219" w:lineRule="auto"/>
              <w:ind w:left="510"/>
            </w:pPr>
            <w:r>
              <w:t>若因管理不当或设备损坏导致变压器油(废变压器油)发生泄漏，在雨天时</w:t>
            </w:r>
          </w:p>
          <w:p w14:paraId="6CF7AFE6">
            <w:pPr>
              <w:pStyle w:val="6"/>
              <w:spacing w:before="184" w:line="333" w:lineRule="auto"/>
              <w:ind w:left="30" w:firstLine="19"/>
            </w:pPr>
            <w:r>
              <w:rPr>
                <w:spacing w:val="-1"/>
              </w:rPr>
              <w:t>可能随地表径流一起进入地表水，对地表水造成污染。由于项目主变压器附</w:t>
            </w:r>
            <w:r>
              <w:rPr>
                <w:spacing w:val="-2"/>
              </w:rPr>
              <w:t>近设</w:t>
            </w:r>
            <w:r>
              <w:t xml:space="preserve"> </w:t>
            </w:r>
            <w:r>
              <w:rPr>
                <w:spacing w:val="-1"/>
              </w:rPr>
              <w:t>有事故油池，若变压器发生泄漏后，事故变压油将全部进入事故油池，事故油池</w:t>
            </w:r>
          </w:p>
        </w:tc>
      </w:tr>
    </w:tbl>
    <w:p w14:paraId="7F717028">
      <w:pPr>
        <w:pStyle w:val="2"/>
      </w:pPr>
    </w:p>
    <w:p w14:paraId="20DFC444">
      <w:pPr>
        <w:sectPr>
          <w:footerReference r:id="rId108" w:type="default"/>
          <w:pgSz w:w="11910" w:h="16840"/>
          <w:pgMar w:top="1431" w:right="1574" w:bottom="1255" w:left="1455" w:header="0" w:footer="1093" w:gutter="0"/>
          <w:cols w:space="720" w:num="1"/>
        </w:sectPr>
      </w:pPr>
    </w:p>
    <w:p w14:paraId="27739920">
      <w:pPr>
        <w:spacing w:line="93" w:lineRule="exact"/>
      </w:pPr>
    </w:p>
    <w:tbl>
      <w:tblPr>
        <w:tblStyle w:val="5"/>
        <w:tblW w:w="898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72"/>
      </w:tblGrid>
      <w:tr w14:paraId="2A5A6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234AF9BF">
            <w:pPr>
              <w:rPr>
                <w:rFonts w:ascii="Arial"/>
                <w:sz w:val="21"/>
              </w:rPr>
            </w:pPr>
          </w:p>
        </w:tc>
        <w:tc>
          <w:tcPr>
            <w:tcW w:w="8572" w:type="dxa"/>
            <w:vAlign w:val="top"/>
          </w:tcPr>
          <w:p w14:paraId="480EE266">
            <w:pPr>
              <w:pStyle w:val="6"/>
              <w:spacing w:before="13" w:line="360" w:lineRule="auto"/>
              <w:ind w:left="100" w:firstLine="9"/>
              <w:jc w:val="both"/>
            </w:pPr>
            <w:r>
              <w:rPr>
                <w:spacing w:val="-3"/>
              </w:rPr>
              <w:t>设计阶段按要求采取重点防渗措施，经事故油池收集的变压油最终交有资质的单</w:t>
            </w:r>
            <w:r>
              <w:rPr>
                <w:spacing w:val="2"/>
              </w:rPr>
              <w:t xml:space="preserve">  </w:t>
            </w:r>
            <w:r>
              <w:rPr>
                <w:spacing w:val="-3"/>
              </w:rPr>
              <w:t>位处理。危废贮存库设置有导流沟和收集池，若确实发生了泄漏事</w:t>
            </w:r>
            <w:r>
              <w:rPr>
                <w:spacing w:val="-4"/>
              </w:rPr>
              <w:t>故，及时切断</w:t>
            </w:r>
            <w:r>
              <w:t xml:space="preserve">  </w:t>
            </w:r>
            <w:r>
              <w:rPr>
                <w:spacing w:val="-5"/>
              </w:rPr>
              <w:t>泄漏源，封闭现场，采用合适的材料收容泄漏物。通过及时采取应急措施处理后，</w:t>
            </w:r>
            <w:r>
              <w:t xml:space="preserve"> </w:t>
            </w:r>
            <w:r>
              <w:rPr>
                <w:spacing w:val="-3"/>
              </w:rPr>
              <w:t>变压器油(废变压器油)不会随地表径流一起进入地表水，地表水环境风险可控。</w:t>
            </w:r>
          </w:p>
          <w:p w14:paraId="5FB570B5">
            <w:pPr>
              <w:pStyle w:val="6"/>
              <w:spacing w:before="19" w:line="219" w:lineRule="auto"/>
              <w:ind w:left="580"/>
            </w:pPr>
            <w:r>
              <w:t>3)地下水及土壤环境风险分析</w:t>
            </w:r>
          </w:p>
          <w:p w14:paraId="6527BA0A">
            <w:pPr>
              <w:pStyle w:val="6"/>
              <w:spacing w:before="154" w:line="363" w:lineRule="auto"/>
              <w:ind w:left="110" w:firstLine="474"/>
            </w:pPr>
            <w:r>
              <w:rPr>
                <w:spacing w:val="-1"/>
              </w:rPr>
              <w:t>若事故油池及危废贮存库设置的防渗层破裂或失效，变压器油</w:t>
            </w:r>
            <w:r>
              <w:rPr>
                <w:spacing w:val="-2"/>
              </w:rPr>
              <w:t>(废变压器油)</w:t>
            </w:r>
            <w:r>
              <w:t xml:space="preserve"> </w:t>
            </w:r>
            <w:r>
              <w:rPr>
                <w:spacing w:val="-3"/>
              </w:rPr>
              <w:t>下渗后可能对地下水及土壤造成污染，导致泄漏主要原因为：衬垫材料不良或施</w:t>
            </w:r>
            <w:r>
              <w:rPr>
                <w:spacing w:val="8"/>
              </w:rPr>
              <w:t xml:space="preserve">  </w:t>
            </w:r>
            <w:r>
              <w:rPr>
                <w:spacing w:val="-5"/>
              </w:rPr>
              <w:t>工不当引起衬垫失效；基础不均匀沉降引起的衬垫破裂；人</w:t>
            </w:r>
            <w:r>
              <w:rPr>
                <w:spacing w:val="-6"/>
              </w:rPr>
              <w:t>为破坏引起衬垫失效。</w:t>
            </w:r>
          </w:p>
          <w:p w14:paraId="1C7ADC5E">
            <w:pPr>
              <w:pStyle w:val="6"/>
              <w:spacing w:before="3" w:line="357" w:lineRule="auto"/>
              <w:ind w:left="90" w:firstLine="499"/>
            </w:pPr>
            <w:r>
              <w:t>项目在基建期根据环评要求及设计规范的要求严格做好分区防渗工程。危废</w:t>
            </w:r>
            <w:r>
              <w:rPr>
                <w:spacing w:val="1"/>
              </w:rPr>
              <w:t xml:space="preserve"> </w:t>
            </w:r>
            <w:r>
              <w:rPr>
                <w:spacing w:val="6"/>
              </w:rPr>
              <w:t>暂存间防渗技术要求为：防渗层为至少1m厚黏土层(渗透系数不大于10-</w:t>
            </w:r>
            <w:r>
              <w:rPr>
                <w:rFonts w:ascii="Calibri" w:hAnsi="Calibri" w:eastAsia="Calibri" w:cs="Calibri"/>
                <w:spacing w:val="6"/>
              </w:rPr>
              <w:t>⁷</w:t>
            </w:r>
            <w:r>
              <w:t>cm</w:t>
            </w:r>
            <w:r>
              <w:rPr>
                <w:spacing w:val="6"/>
              </w:rPr>
              <w:t>/s),</w:t>
            </w:r>
            <w:r>
              <w:t xml:space="preserve"> </w:t>
            </w:r>
            <w:r>
              <w:rPr>
                <w:spacing w:val="2"/>
              </w:rPr>
              <w:t>或至少2</w:t>
            </w:r>
            <w:r>
              <w:t>mm</w:t>
            </w:r>
            <w:r>
              <w:rPr>
                <w:spacing w:val="2"/>
              </w:rPr>
              <w:t>厚高密度聚乙烯膜等人工防渗材料(渗透系数不大于</w:t>
            </w:r>
            <w:r>
              <w:rPr>
                <w:spacing w:val="1"/>
              </w:rPr>
              <w:t>10-10</w:t>
            </w:r>
            <w:r>
              <w:t>cm</w:t>
            </w:r>
            <w:r>
              <w:rPr>
                <w:spacing w:val="1"/>
              </w:rPr>
              <w:t>/s),</w:t>
            </w:r>
          </w:p>
          <w:p w14:paraId="3EE5C681">
            <w:pPr>
              <w:pStyle w:val="6"/>
              <w:spacing w:before="17" w:line="353" w:lineRule="auto"/>
              <w:ind w:left="110" w:right="41"/>
            </w:pPr>
            <w:r>
              <w:t>或其他防渗性能等效的材料。事故油池、集油坑按照《环境影响评价技术导则地</w:t>
            </w:r>
            <w:r>
              <w:rPr>
                <w:spacing w:val="8"/>
              </w:rPr>
              <w:t xml:space="preserve"> </w:t>
            </w:r>
            <w:r>
              <w:t>下水环境》(HJ610-2016)表7重点防渗区要求进行防渗：等效黏土防渗层Mb</w:t>
            </w:r>
          </w:p>
          <w:p w14:paraId="7AC0844A">
            <w:pPr>
              <w:pStyle w:val="6"/>
              <w:spacing w:before="1" w:line="216" w:lineRule="auto"/>
              <w:ind w:left="100"/>
            </w:pPr>
            <w:r>
              <w:rPr>
                <w:spacing w:val="-3"/>
              </w:rPr>
              <w:t>≥6.0m,K≤1×10-</w:t>
            </w:r>
            <w:r>
              <w:rPr>
                <w:rFonts w:ascii="Calibri" w:hAnsi="Calibri" w:eastAsia="Calibri" w:cs="Calibri"/>
                <w:spacing w:val="-3"/>
              </w:rPr>
              <w:t>⁷</w:t>
            </w:r>
            <w:r>
              <w:rPr>
                <w:spacing w:val="-3"/>
              </w:rPr>
              <w:t>cm/s。</w:t>
            </w:r>
          </w:p>
          <w:p w14:paraId="1204E33B">
            <w:pPr>
              <w:pStyle w:val="6"/>
              <w:spacing w:before="191" w:line="356" w:lineRule="auto"/>
              <w:ind w:left="100" w:right="37" w:firstLine="489"/>
            </w:pPr>
            <w:r>
              <w:t>危废储存在危险废物暂存间内，危废贮存库做重点防渗处理，渗入地下水及</w:t>
            </w:r>
            <w:r>
              <w:rPr>
                <w:spacing w:val="12"/>
              </w:rPr>
              <w:t xml:space="preserve"> </w:t>
            </w:r>
            <w:r>
              <w:t>土壤可能性较小，运营期加强监管的基础上，则地下水及土壤环境风险可</w:t>
            </w:r>
            <w:r>
              <w:rPr>
                <w:spacing w:val="-1"/>
              </w:rPr>
              <w:t>控。</w:t>
            </w:r>
          </w:p>
          <w:p w14:paraId="36C29092">
            <w:pPr>
              <w:pStyle w:val="6"/>
              <w:spacing w:before="3" w:line="354" w:lineRule="auto"/>
              <w:ind w:left="110" w:right="520" w:firstLine="479"/>
            </w:pPr>
            <w:r>
              <w:rPr>
                <w:spacing w:val="4"/>
              </w:rPr>
              <w:t>本项目在升压站生产区设置一座地埋式事故油池(容积45m</w:t>
            </w:r>
            <w:r>
              <w:rPr>
                <w:spacing w:val="3"/>
              </w:rPr>
              <w:t>³),在主变基</w:t>
            </w:r>
            <w:r>
              <w:t xml:space="preserve"> </w:t>
            </w:r>
            <w:r>
              <w:rPr>
                <w:spacing w:val="4"/>
              </w:rPr>
              <w:t>础靠事故油池一侧设置集油坑(容积10m³</w:t>
            </w:r>
            <w:r>
              <w:rPr>
                <w:spacing w:val="3"/>
              </w:rPr>
              <w:t>),内接直径200</w:t>
            </w:r>
            <w:r>
              <w:t>mm</w:t>
            </w:r>
            <w:r>
              <w:rPr>
                <w:spacing w:val="3"/>
              </w:rPr>
              <w:t>钢管，通向事故</w:t>
            </w:r>
          </w:p>
          <w:p w14:paraId="04410B02">
            <w:pPr>
              <w:pStyle w:val="6"/>
              <w:spacing w:before="12" w:line="219" w:lineRule="auto"/>
              <w:ind w:left="90"/>
            </w:pPr>
            <w:r>
              <w:t>油池，排油坡度不小于2%。事故油池经排油管道与主变下集油坑连接，可满足</w:t>
            </w:r>
          </w:p>
          <w:p w14:paraId="77822672">
            <w:pPr>
              <w:pStyle w:val="6"/>
              <w:spacing w:before="175" w:line="219" w:lineRule="auto"/>
              <w:ind w:left="110"/>
            </w:pPr>
            <w:r>
              <w:t>事故状态下主变100%泄露油量。若流入地表土壤，第</w:t>
            </w:r>
            <w:r>
              <w:rPr>
                <w:spacing w:val="-1"/>
              </w:rPr>
              <w:t>四系坡残积粉质黏土，其</w:t>
            </w:r>
          </w:p>
          <w:p w14:paraId="76796D12">
            <w:pPr>
              <w:pStyle w:val="6"/>
              <w:spacing w:before="196" w:line="360" w:lineRule="auto"/>
              <w:ind w:left="120" w:right="40" w:hanging="10"/>
            </w:pPr>
            <w:r>
              <w:t>渗透性低，防污性能较强，向地下水及土壤渗透的影响范围很小，电站内工作人</w:t>
            </w:r>
            <w:r>
              <w:rPr>
                <w:spacing w:val="9"/>
              </w:rPr>
              <w:t xml:space="preserve"> </w:t>
            </w:r>
            <w:r>
              <w:t>员在巡检时能够及时发现并作出处理，污染地下水及土壤的可能性极</w:t>
            </w:r>
            <w:r>
              <w:rPr>
                <w:spacing w:val="-1"/>
              </w:rPr>
              <w:t>小。</w:t>
            </w:r>
          </w:p>
          <w:p w14:paraId="56C1BE7F">
            <w:pPr>
              <w:pStyle w:val="6"/>
              <w:spacing w:line="216" w:lineRule="auto"/>
              <w:ind w:left="610"/>
            </w:pPr>
            <w:r>
              <w:rPr>
                <w:spacing w:val="3"/>
              </w:rPr>
              <w:t>本项目在各箱变基础内配套设置集油坑(容积不小于1m³),事故状态下，</w:t>
            </w:r>
          </w:p>
          <w:p w14:paraId="788FFC14">
            <w:pPr>
              <w:pStyle w:val="6"/>
              <w:spacing w:before="192" w:line="358" w:lineRule="auto"/>
              <w:ind w:left="110" w:right="37"/>
            </w:pPr>
            <w:r>
              <w:t>泄露的废油进入集油坑。项目设置的集油坑有效容积满足《火力发电厂与升压站</w:t>
            </w:r>
            <w:r>
              <w:rPr>
                <w:spacing w:val="12"/>
              </w:rPr>
              <w:t xml:space="preserve"> </w:t>
            </w:r>
            <w:r>
              <w:t>设计防火规范》(GB50229-2019)中相关要求，对集油坑设计满足《危险废物贮</w:t>
            </w:r>
          </w:p>
          <w:p w14:paraId="5D013F36">
            <w:pPr>
              <w:pStyle w:val="6"/>
              <w:spacing w:before="1" w:line="360" w:lineRule="auto"/>
              <w:ind w:left="90" w:right="299" w:firstLine="20"/>
            </w:pPr>
            <w:r>
              <w:t>存污染控制标准》(GB18597-2023)要求的基础防渗措施</w:t>
            </w:r>
            <w:r>
              <w:rPr>
                <w:spacing w:val="-1"/>
              </w:rPr>
              <w:t>，可以有效减缓变压器</w:t>
            </w:r>
            <w:r>
              <w:t xml:space="preserve"> 绝缘油在事故失控情况下泄露时对外环境的影响。</w:t>
            </w:r>
          </w:p>
          <w:p w14:paraId="1CCA2138">
            <w:pPr>
              <w:pStyle w:val="6"/>
              <w:spacing w:line="220" w:lineRule="auto"/>
              <w:ind w:left="694"/>
            </w:pPr>
            <w:r>
              <w:rPr>
                <w:b/>
                <w:bCs/>
                <w:spacing w:val="-3"/>
              </w:rPr>
              <w:t>(5)环境风险防范措施</w:t>
            </w:r>
          </w:p>
          <w:p w14:paraId="656D7B41">
            <w:pPr>
              <w:pStyle w:val="6"/>
              <w:spacing w:before="177" w:line="219" w:lineRule="auto"/>
              <w:ind w:left="610"/>
            </w:pPr>
            <w:r>
              <w:t>1)运行过程中，建设单位应对升压站、箱变基础、危险废物暂存间等危险</w:t>
            </w:r>
          </w:p>
        </w:tc>
      </w:tr>
    </w:tbl>
    <w:p w14:paraId="3E14E309">
      <w:pPr>
        <w:pStyle w:val="2"/>
      </w:pPr>
    </w:p>
    <w:p w14:paraId="1D3B79E4">
      <w:pPr>
        <w:sectPr>
          <w:footerReference r:id="rId109" w:type="default"/>
          <w:pgSz w:w="11910" w:h="16840"/>
          <w:pgMar w:top="1431" w:right="1468" w:bottom="1255" w:left="1445" w:header="0" w:footer="1093" w:gutter="0"/>
          <w:cols w:space="720" w:num="1"/>
        </w:sectPr>
      </w:pPr>
    </w:p>
    <w:p w14:paraId="51EC4E01">
      <w:pPr>
        <w:spacing w:line="93" w:lineRule="exact"/>
      </w:pPr>
    </w:p>
    <w:tbl>
      <w:tblPr>
        <w:tblStyle w:val="5"/>
        <w:tblW w:w="897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63"/>
      </w:tblGrid>
      <w:tr w14:paraId="5E1CD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414" w:type="dxa"/>
            <w:vAlign w:val="top"/>
          </w:tcPr>
          <w:p w14:paraId="71AB8BB1">
            <w:pPr>
              <w:rPr>
                <w:rFonts w:ascii="Arial"/>
                <w:sz w:val="21"/>
              </w:rPr>
            </w:pPr>
          </w:p>
        </w:tc>
        <w:tc>
          <w:tcPr>
            <w:tcW w:w="8563" w:type="dxa"/>
            <w:vAlign w:val="top"/>
          </w:tcPr>
          <w:p w14:paraId="3EFF655B">
            <w:pPr>
              <w:pStyle w:val="6"/>
              <w:spacing w:before="13" w:line="219" w:lineRule="auto"/>
              <w:ind w:left="90"/>
            </w:pPr>
            <w:r>
              <w:rPr>
                <w:spacing w:val="4"/>
              </w:rPr>
              <w:t>区域定期进行巡逻检修，若发现泄露迹象，及时采取措施防止泄</w:t>
            </w:r>
            <w:r>
              <w:rPr>
                <w:spacing w:val="3"/>
              </w:rPr>
              <w:t>露；</w:t>
            </w:r>
          </w:p>
          <w:p w14:paraId="2E6BAB12">
            <w:pPr>
              <w:pStyle w:val="6"/>
              <w:spacing w:before="176" w:line="290" w:lineRule="auto"/>
              <w:ind w:left="100" w:firstLine="476"/>
            </w:pPr>
            <w:r>
              <w:t xml:space="preserve">2)建设方应强化禁火区域，加强管理，禁火区域严禁烟火，加强火源管理， </w:t>
            </w:r>
            <w:r>
              <w:rPr>
                <w:spacing w:val="1"/>
              </w:rPr>
              <w:t>严禁吸烟，在变压器、危险废物暂存间附近，配置灭火器材，设置室外消火栓；</w:t>
            </w:r>
          </w:p>
          <w:p w14:paraId="59450019">
            <w:pPr>
              <w:pStyle w:val="6"/>
              <w:spacing w:before="185" w:line="219" w:lineRule="auto"/>
              <w:ind w:left="570"/>
            </w:pPr>
            <w:r>
              <w:t>3)为防止变压油事故泄露污染地表水体，设计已考虑在升压站内主变压器</w:t>
            </w:r>
          </w:p>
          <w:p w14:paraId="36F00265">
            <w:pPr>
              <w:pStyle w:val="6"/>
              <w:spacing w:before="195" w:line="219" w:lineRule="auto"/>
              <w:ind w:left="100"/>
            </w:pPr>
            <w:r>
              <w:rPr>
                <w:spacing w:val="4"/>
              </w:rPr>
              <w:t>处设置1个集油坑和1个事故油池，事故油池设置为</w:t>
            </w:r>
            <w:r>
              <w:rPr>
                <w:spacing w:val="3"/>
              </w:rPr>
              <w:t>地埋式，容积45m³。光伏</w:t>
            </w:r>
          </w:p>
          <w:p w14:paraId="08C58425">
            <w:pPr>
              <w:pStyle w:val="6"/>
              <w:spacing w:before="166" w:line="219" w:lineRule="auto"/>
              <w:ind w:left="110"/>
            </w:pPr>
            <w:r>
              <w:rPr>
                <w:spacing w:val="4"/>
              </w:rPr>
              <w:t>阵列区51台箱变配置51个集油坑，单个集油坑容积不低</w:t>
            </w:r>
            <w:r>
              <w:rPr>
                <w:spacing w:val="3"/>
              </w:rPr>
              <w:t>于1m³。箱变集油坑雨</w:t>
            </w:r>
          </w:p>
          <w:p w14:paraId="16707216">
            <w:pPr>
              <w:pStyle w:val="6"/>
              <w:spacing w:before="184" w:line="326" w:lineRule="auto"/>
              <w:ind w:left="90" w:right="28" w:firstLine="20"/>
            </w:pPr>
            <w:r>
              <w:t>季增加检查频率排水，增加排水频率。若变压器发生泄漏后，事故变压油将全部</w:t>
            </w:r>
            <w:r>
              <w:rPr>
                <w:spacing w:val="12"/>
              </w:rPr>
              <w:t xml:space="preserve"> </w:t>
            </w:r>
            <w:r>
              <w:t>进入事故油池，要求建设单位严格按照分区防渗要求对事故油池、危险废物暂存</w:t>
            </w:r>
            <w:r>
              <w:rPr>
                <w:spacing w:val="11"/>
              </w:rPr>
              <w:t xml:space="preserve"> </w:t>
            </w:r>
            <w:r>
              <w:rPr>
                <w:spacing w:val="1"/>
              </w:rPr>
              <w:t>间等进行重点防渗。施工期加强工程监理和环境监理，提高防渗</w:t>
            </w:r>
            <w:r>
              <w:t xml:space="preserve">工程质量，做好 </w:t>
            </w:r>
            <w:r>
              <w:rPr>
                <w:spacing w:val="-1"/>
              </w:rPr>
              <w:t>照片、录像以及相关文字说明等存档资料。</w:t>
            </w:r>
          </w:p>
          <w:p w14:paraId="79A22942">
            <w:pPr>
              <w:pStyle w:val="6"/>
              <w:spacing w:before="186" w:line="220" w:lineRule="auto"/>
              <w:ind w:left="560"/>
            </w:pPr>
            <w:r>
              <w:rPr>
                <w:spacing w:val="-1"/>
              </w:rPr>
              <w:t>4)防渗要求如下：</w:t>
            </w:r>
          </w:p>
          <w:p w14:paraId="4C354A42">
            <w:pPr>
              <w:pStyle w:val="6"/>
              <w:spacing w:before="182" w:line="352" w:lineRule="auto"/>
              <w:ind w:left="110" w:right="262" w:firstLine="479"/>
            </w:pPr>
            <w:r>
              <w:t>危险废物暂存间按照《危险废物贮存污染控制标准》(GB18597-2023)的相</w:t>
            </w:r>
            <w:r>
              <w:rPr>
                <w:spacing w:val="18"/>
              </w:rPr>
              <w:t xml:space="preserve"> </w:t>
            </w:r>
            <w:r>
              <w:rPr>
                <w:spacing w:val="4"/>
              </w:rPr>
              <w:t>关要求进行防渗，防渗层为至少1m厚黏土层(渗透系数不大于10-</w:t>
            </w:r>
            <w:r>
              <w:rPr>
                <w:rFonts w:ascii="Calibri" w:hAnsi="Calibri" w:eastAsia="Calibri" w:cs="Calibri"/>
                <w:spacing w:val="4"/>
              </w:rPr>
              <w:t>⁷</w:t>
            </w:r>
            <w:r>
              <w:t>cm</w:t>
            </w:r>
            <w:r>
              <w:rPr>
                <w:spacing w:val="4"/>
              </w:rPr>
              <w:t>/s),或</w:t>
            </w:r>
          </w:p>
          <w:p w14:paraId="38AC90C1">
            <w:pPr>
              <w:pStyle w:val="6"/>
              <w:spacing w:before="13" w:line="358" w:lineRule="auto"/>
              <w:ind w:left="110" w:right="519"/>
            </w:pPr>
            <w:r>
              <w:rPr>
                <w:spacing w:val="4"/>
              </w:rPr>
              <w:t>至少2</w:t>
            </w:r>
            <w:r>
              <w:t>mm</w:t>
            </w:r>
            <w:r>
              <w:rPr>
                <w:spacing w:val="4"/>
              </w:rPr>
              <w:t>厚高密度聚乙烯膜等人工防渗材料(渗透系数不大于10-1</w:t>
            </w:r>
            <w:r>
              <w:rPr>
                <w:rFonts w:ascii="Calibri" w:hAnsi="Calibri" w:eastAsia="Calibri" w:cs="Calibri"/>
                <w:spacing w:val="4"/>
              </w:rPr>
              <w:t>⁰</w:t>
            </w:r>
            <w:r>
              <w:t>cm</w:t>
            </w:r>
            <w:r>
              <w:rPr>
                <w:spacing w:val="4"/>
              </w:rPr>
              <w:t>/s),或</w:t>
            </w:r>
            <w:r>
              <w:rPr>
                <w:spacing w:val="3"/>
              </w:rPr>
              <w:t xml:space="preserve"> </w:t>
            </w:r>
            <w:r>
              <w:rPr>
                <w:spacing w:val="-1"/>
              </w:rPr>
              <w:t>其他防渗性能等效的材料。</w:t>
            </w:r>
          </w:p>
          <w:p w14:paraId="64B4BFEE">
            <w:pPr>
              <w:pStyle w:val="6"/>
              <w:spacing w:before="1" w:line="358" w:lineRule="auto"/>
              <w:ind w:left="110" w:firstLine="479"/>
            </w:pPr>
            <w:r>
              <w:rPr>
                <w:spacing w:val="1"/>
              </w:rPr>
              <w:t>事故油池、集油坑按照《环境影响评价技术导则地下水环境》(</w:t>
            </w:r>
            <w:r>
              <w:t>HJ</w:t>
            </w:r>
            <w:r>
              <w:rPr>
                <w:spacing w:val="1"/>
              </w:rPr>
              <w:t>610-2016)</w:t>
            </w:r>
            <w:r>
              <w:rPr>
                <w:spacing w:val="4"/>
              </w:rPr>
              <w:t xml:space="preserve"> </w:t>
            </w:r>
            <w:r>
              <w:t>表7重点防渗区要求进行防渗：等效黏土防渗层Mb≥6.0m,K≤1×10-7cm</w:t>
            </w:r>
            <w:r>
              <w:rPr>
                <w:spacing w:val="-1"/>
              </w:rPr>
              <w:t>/s。</w:t>
            </w:r>
          </w:p>
          <w:p w14:paraId="5F2C0551">
            <w:pPr>
              <w:pStyle w:val="6"/>
              <w:spacing w:before="1" w:line="290" w:lineRule="auto"/>
              <w:ind w:left="90" w:firstLine="489"/>
            </w:pPr>
            <w:r>
              <w:rPr>
                <w:spacing w:val="1"/>
              </w:rPr>
              <w:t>5)危险废物的贮存严格按照《危险废物贮存污染控制标准》(</w:t>
            </w:r>
            <w:r>
              <w:t>GB</w:t>
            </w:r>
            <w:r>
              <w:rPr>
                <w:spacing w:val="1"/>
              </w:rPr>
              <w:t>18597-2023)</w:t>
            </w:r>
            <w:r>
              <w:rPr>
                <w:spacing w:val="12"/>
              </w:rPr>
              <w:t xml:space="preserve"> </w:t>
            </w:r>
            <w:r>
              <w:rPr>
                <w:spacing w:val="17"/>
              </w:rPr>
              <w:t>相关要求执行；</w:t>
            </w:r>
          </w:p>
          <w:p w14:paraId="66D544E4">
            <w:pPr>
              <w:pStyle w:val="6"/>
              <w:spacing w:before="194" w:line="219" w:lineRule="auto"/>
              <w:ind w:left="570"/>
            </w:pPr>
            <w:r>
              <w:t>6)加强对操作人员的岗位培训，建立健全的环保管理机制和各项环保规章</w:t>
            </w:r>
          </w:p>
          <w:p w14:paraId="6B436C87">
            <w:pPr>
              <w:pStyle w:val="6"/>
              <w:spacing w:before="176" w:line="289" w:lineRule="auto"/>
              <w:ind w:left="90" w:right="14" w:firstLine="20"/>
            </w:pPr>
            <w:r>
              <w:rPr>
                <w:spacing w:val="1"/>
              </w:rPr>
              <w:t>制度，落实岗位环保责任制，加强环境风险防范工作，防止</w:t>
            </w:r>
            <w:r>
              <w:t xml:space="preserve">事故排放导致环境问 </w:t>
            </w:r>
            <w:r>
              <w:rPr>
                <w:spacing w:val="-5"/>
              </w:rPr>
              <w:t>题</w:t>
            </w:r>
            <w:r>
              <w:rPr>
                <w:spacing w:val="65"/>
              </w:rPr>
              <w:t xml:space="preserve"> </w:t>
            </w:r>
            <w:r>
              <w:rPr>
                <w:spacing w:val="-5"/>
              </w:rPr>
              <w:t>；</w:t>
            </w:r>
          </w:p>
          <w:p w14:paraId="273F7825">
            <w:pPr>
              <w:pStyle w:val="6"/>
              <w:spacing w:before="188" w:line="219" w:lineRule="auto"/>
              <w:ind w:left="570"/>
            </w:pPr>
            <w:r>
              <w:t>7)项目一旦发生火灾事故时，火灾会伴随释放大量的一氧化碳、二氧化碳</w:t>
            </w:r>
          </w:p>
          <w:p w14:paraId="0A276EFF">
            <w:pPr>
              <w:pStyle w:val="6"/>
              <w:spacing w:before="187" w:line="312" w:lineRule="auto"/>
              <w:ind w:left="100" w:firstLine="19"/>
            </w:pPr>
            <w:r>
              <w:rPr>
                <w:spacing w:val="-3"/>
              </w:rPr>
              <w:t>等大气污染物，对周边大气环境造成污染；在灭火过程中，消防喷水会产生消防</w:t>
            </w:r>
            <w:r>
              <w:rPr>
                <w:spacing w:val="5"/>
              </w:rPr>
              <w:t xml:space="preserve">  </w:t>
            </w:r>
            <w:r>
              <w:rPr>
                <w:spacing w:val="-5"/>
              </w:rPr>
              <w:t>废水，消防废水含有大量的废渣，若直接进入地表水体，会对</w:t>
            </w:r>
            <w:r>
              <w:rPr>
                <w:spacing w:val="-6"/>
              </w:rPr>
              <w:t>地表水体造成污染。</w:t>
            </w:r>
            <w:r>
              <w:t xml:space="preserve"> </w:t>
            </w:r>
            <w:r>
              <w:rPr>
                <w:spacing w:val="-3"/>
              </w:rPr>
              <w:t>风险事故发生时应急处理措施如下：</w:t>
            </w:r>
          </w:p>
          <w:p w14:paraId="1CEC4EFA">
            <w:pPr>
              <w:pStyle w:val="6"/>
              <w:spacing w:before="181" w:line="312" w:lineRule="auto"/>
              <w:ind w:left="100" w:firstLine="476"/>
            </w:pPr>
            <w:r>
              <w:rPr>
                <w:spacing w:val="2"/>
              </w:rPr>
              <w:t>①项目光伏场区均应严格按照消防要求进行规划</w:t>
            </w:r>
            <w:r>
              <w:rPr>
                <w:spacing w:val="1"/>
              </w:rPr>
              <w:t>设计，配置相应的灭火器、</w:t>
            </w:r>
            <w:r>
              <w:t xml:space="preserve"> </w:t>
            </w:r>
            <w:r>
              <w:rPr>
                <w:spacing w:val="-1"/>
              </w:rPr>
              <w:t>消防栓等设施。发生火灾时，应及时采取相应的灭</w:t>
            </w:r>
            <w:r>
              <w:rPr>
                <w:spacing w:val="-2"/>
              </w:rPr>
              <w:t>火措施，必要时启动突发事故</w:t>
            </w:r>
            <w:r>
              <w:t xml:space="preserve"> </w:t>
            </w:r>
            <w:r>
              <w:rPr>
                <w:spacing w:val="3"/>
              </w:rPr>
              <w:t>应急预案，及时疏散最近环境敏感点周围的居民；</w:t>
            </w:r>
          </w:p>
        </w:tc>
      </w:tr>
    </w:tbl>
    <w:p w14:paraId="378DE1E4">
      <w:pPr>
        <w:pStyle w:val="2"/>
      </w:pPr>
    </w:p>
    <w:p w14:paraId="7568FFDC">
      <w:pPr>
        <w:sectPr>
          <w:footerReference r:id="rId110" w:type="default"/>
          <w:pgSz w:w="11910" w:h="16840"/>
          <w:pgMar w:top="1431" w:right="1477" w:bottom="1255" w:left="1445" w:header="0" w:footer="1093" w:gutter="0"/>
          <w:cols w:space="720" w:num="1"/>
        </w:sectPr>
      </w:pPr>
    </w:p>
    <w:p w14:paraId="698CFBD7">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
        <w:gridCol w:w="8576"/>
      </w:tblGrid>
      <w:tr w14:paraId="1250E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9" w:hRule="atLeast"/>
        </w:trPr>
        <w:tc>
          <w:tcPr>
            <w:tcW w:w="394" w:type="dxa"/>
            <w:vAlign w:val="top"/>
          </w:tcPr>
          <w:p w14:paraId="4F1BC93E">
            <w:pPr>
              <w:rPr>
                <w:rFonts w:ascii="Arial"/>
                <w:sz w:val="21"/>
              </w:rPr>
            </w:pPr>
          </w:p>
        </w:tc>
        <w:tc>
          <w:tcPr>
            <w:tcW w:w="8576" w:type="dxa"/>
            <w:vAlign w:val="top"/>
          </w:tcPr>
          <w:p w14:paraId="6FC28F81">
            <w:pPr>
              <w:pStyle w:val="6"/>
              <w:spacing w:before="13" w:line="315" w:lineRule="auto"/>
              <w:ind w:left="120" w:right="30" w:firstLine="459"/>
            </w:pPr>
            <w:r>
              <w:rPr>
                <w:spacing w:val="1"/>
              </w:rPr>
              <w:t>②发生火灾事故时，在事故发生位置四周用装满沙</w:t>
            </w:r>
            <w:r>
              <w:t>土的袋子围成围堰拦截消 防废液，并在光伏场区内采取导流方式将消防废液统一收集，集中处理，消除安</w:t>
            </w:r>
            <w:r>
              <w:rPr>
                <w:spacing w:val="13"/>
              </w:rPr>
              <w:t xml:space="preserve"> </w:t>
            </w:r>
            <w:r>
              <w:rPr>
                <w:spacing w:val="9"/>
              </w:rPr>
              <w:t>全隐患后委托有资质单位处理；</w:t>
            </w:r>
          </w:p>
          <w:p w14:paraId="6BAE298E">
            <w:pPr>
              <w:pStyle w:val="6"/>
              <w:spacing w:before="179" w:line="315" w:lineRule="auto"/>
              <w:ind w:left="110" w:right="33" w:firstLine="479"/>
            </w:pPr>
            <w:r>
              <w:t>③建议建设单位在雨水管网的光伏场区出口处设置一个闸门，发生事故时及</w:t>
            </w:r>
            <w:r>
              <w:rPr>
                <w:spacing w:val="12"/>
              </w:rPr>
              <w:t xml:space="preserve"> </w:t>
            </w:r>
            <w:r>
              <w:rPr>
                <w:spacing w:val="1"/>
              </w:rPr>
              <w:t>时关闭闸门，防止消防废水流出光伏场区，将其</w:t>
            </w:r>
            <w:r>
              <w:t xml:space="preserve">可能产生的环境影响控制在光伏 </w:t>
            </w:r>
            <w:r>
              <w:rPr>
                <w:spacing w:val="23"/>
              </w:rPr>
              <w:t>场区之内；</w:t>
            </w:r>
          </w:p>
          <w:p w14:paraId="55EF7D24">
            <w:pPr>
              <w:pStyle w:val="6"/>
              <w:spacing w:before="171" w:line="288" w:lineRule="auto"/>
              <w:ind w:left="120" w:right="30" w:firstLine="479"/>
            </w:pPr>
            <w:r>
              <w:t>④事故发生后，相关部门要制定污染监测计划，对可能污染进行监测，根据</w:t>
            </w:r>
            <w:r>
              <w:rPr>
                <w:spacing w:val="13"/>
              </w:rPr>
              <w:t xml:space="preserve"> </w:t>
            </w:r>
            <w:r>
              <w:t>现场监测结果，直至无异常方可停止监测工</w:t>
            </w:r>
            <w:r>
              <w:rPr>
                <w:spacing w:val="-1"/>
              </w:rPr>
              <w:t>作。</w:t>
            </w:r>
          </w:p>
          <w:p w14:paraId="4DF3B231">
            <w:pPr>
              <w:rPr>
                <w:rFonts w:ascii="Arial"/>
                <w:sz w:val="21"/>
              </w:rPr>
            </w:pPr>
          </w:p>
          <w:p w14:paraId="10A1977E">
            <w:pPr>
              <w:pStyle w:val="6"/>
              <w:spacing w:before="78" w:line="218" w:lineRule="auto"/>
              <w:ind w:left="714"/>
            </w:pPr>
            <w:r>
              <w:rPr>
                <w:b/>
                <w:bCs/>
                <w:spacing w:val="-3"/>
              </w:rPr>
              <w:t>(6)环境风险评价结论</w:t>
            </w:r>
          </w:p>
          <w:p w14:paraId="14C39119">
            <w:pPr>
              <w:pStyle w:val="6"/>
              <w:spacing w:before="181" w:line="359" w:lineRule="auto"/>
              <w:ind w:left="120" w:right="23" w:firstLine="479"/>
              <w:jc w:val="both"/>
            </w:pPr>
            <w:r>
              <w:t>本项目环境风险等级为简单分析，采取严格的风险防范措施，建立有效的应</w:t>
            </w:r>
            <w:r>
              <w:rPr>
                <w:spacing w:val="9"/>
              </w:rPr>
              <w:t xml:space="preserve"> </w:t>
            </w:r>
            <w:r>
              <w:rPr>
                <w:spacing w:val="1"/>
              </w:rPr>
              <w:t>急预案，加强风险管理，防止事故的发生，将</w:t>
            </w:r>
            <w:r>
              <w:t xml:space="preserve">事故影响程度减少到最低。在建设 </w:t>
            </w:r>
            <w:r>
              <w:rPr>
                <w:spacing w:val="1"/>
              </w:rPr>
              <w:t>单位严格落实各项风险防范措施和风险应急</w:t>
            </w:r>
            <w:r>
              <w:t>预案的前提下，工程环境风险可防可 控，项目建设是可行的。</w:t>
            </w:r>
          </w:p>
          <w:p w14:paraId="1FC35AB1">
            <w:pPr>
              <w:pStyle w:val="6"/>
              <w:spacing w:line="219" w:lineRule="auto"/>
              <w:ind w:left="584"/>
            </w:pPr>
            <w:r>
              <w:rPr>
                <w:b/>
                <w:bCs/>
                <w:spacing w:val="-4"/>
              </w:rPr>
              <w:t>6、光污染影响分析</w:t>
            </w:r>
          </w:p>
          <w:p w14:paraId="29F59CF2">
            <w:pPr>
              <w:pStyle w:val="6"/>
              <w:spacing w:before="176" w:line="362" w:lineRule="auto"/>
              <w:ind w:left="120" w:right="29" w:firstLine="479"/>
            </w:pPr>
            <w:r>
              <w:t>本项目采用单晶硅太阳能电池，该电池组件最外层为特种钢化玻璃，这种钢</w:t>
            </w:r>
            <w:r>
              <w:rPr>
                <w:spacing w:val="14"/>
              </w:rPr>
              <w:t xml:space="preserve"> </w:t>
            </w:r>
            <w:r>
              <w:t>化玻璃的透光率极高，达95%以上，该光伏方阵区的反射率仅为5%左右，远低</w:t>
            </w:r>
          </w:p>
          <w:p w14:paraId="7E1C6B04">
            <w:pPr>
              <w:pStyle w:val="6"/>
              <w:spacing w:before="3" w:line="358" w:lineRule="auto"/>
              <w:ind w:left="120" w:right="13" w:firstLine="10"/>
            </w:pPr>
            <w:r>
              <w:t>于《玻璃幕墙光学性能》(GB/T18091-2000)中“在城市主干道、立交桥、高架桥</w:t>
            </w:r>
            <w:r>
              <w:rPr>
                <w:spacing w:val="8"/>
              </w:rPr>
              <w:t xml:space="preserve"> </w:t>
            </w:r>
            <w:r>
              <w:t>两侧设立的玻璃幕墙，应采用反射比小于16%的低辐射玻璃”的规定，反射量极</w:t>
            </w:r>
            <w:r>
              <w:rPr>
                <w:spacing w:val="4"/>
              </w:rPr>
              <w:t xml:space="preserve">  </w:t>
            </w:r>
            <w:r>
              <w:t>小；本项目太阳电池组件产品的表面设计要求最大程度地减少对太阳光的反射，</w:t>
            </w:r>
            <w:r>
              <w:rPr>
                <w:spacing w:val="8"/>
              </w:rPr>
              <w:t xml:space="preserve"> </w:t>
            </w:r>
            <w:r>
              <w:rPr>
                <w:spacing w:val="1"/>
              </w:rPr>
              <w:t>以利于提高其发电效率。太阳电池方阵的反光性一般是很低的，本项</w:t>
            </w:r>
            <w:r>
              <w:t xml:space="preserve">目太阳电池 </w:t>
            </w:r>
            <w:r>
              <w:rPr>
                <w:spacing w:val="1"/>
              </w:rPr>
              <w:t>组件产品中采用的晶体硅是经过刻槽处理的(</w:t>
            </w:r>
            <w:r>
              <w:t>其上刻了小金字塔样的槽体),同</w:t>
            </w:r>
          </w:p>
          <w:p w14:paraId="0474CB18">
            <w:pPr>
              <w:pStyle w:val="6"/>
              <w:spacing w:before="1" w:line="218" w:lineRule="auto"/>
              <w:ind w:left="120"/>
            </w:pPr>
            <w:r>
              <w:t>时加了ZVA材料，最大限度的起到了吸收太阳光的作用；且太阳能组件内晶硅</w:t>
            </w:r>
          </w:p>
          <w:p w14:paraId="3D9541DF">
            <w:pPr>
              <w:pStyle w:val="6"/>
              <w:spacing w:before="186" w:line="351" w:lineRule="auto"/>
              <w:ind w:left="120" w:right="23"/>
            </w:pPr>
            <w:r>
              <w:t>片表面涂覆有一层防反射涂层，太阳能电池组件本身并不向外辐射任何形式的光</w:t>
            </w:r>
            <w:r>
              <w:rPr>
                <w:spacing w:val="10"/>
              </w:rPr>
              <w:t xml:space="preserve"> </w:t>
            </w:r>
            <w:r>
              <w:rPr>
                <w:spacing w:val="1"/>
              </w:rPr>
              <w:t>及电磁波，未吸收的太阳光中一部分被前面板玻</w:t>
            </w:r>
            <w:r>
              <w:t>璃反射回去，其表面上覆盖的是 一层高透明玻璃，另一部分将穿透前面极、硅材料吸收层和背面板玻璃。因</w:t>
            </w:r>
            <w:r>
              <w:rPr>
                <w:spacing w:val="-1"/>
              </w:rPr>
              <w:t>此，</w:t>
            </w:r>
            <w:r>
              <w:t xml:space="preserve"> 一般不会对周围环境产生光污染。</w:t>
            </w:r>
          </w:p>
        </w:tc>
      </w:tr>
    </w:tbl>
    <w:p w14:paraId="4DB0FF88">
      <w:pPr>
        <w:pStyle w:val="2"/>
      </w:pPr>
    </w:p>
    <w:p w14:paraId="54532F5C">
      <w:pPr>
        <w:sectPr>
          <w:footerReference r:id="rId111" w:type="default"/>
          <w:pgSz w:w="11910" w:h="16840"/>
          <w:pgMar w:top="1431" w:right="1484" w:bottom="1269" w:left="1445" w:header="0" w:footer="1089" w:gutter="0"/>
          <w:cols w:space="720" w:num="1"/>
        </w:sectPr>
      </w:pPr>
    </w:p>
    <w:p w14:paraId="4F4A57D1">
      <w:pPr>
        <w:spacing w:line="93" w:lineRule="exact"/>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65"/>
      </w:tblGrid>
      <w:tr w14:paraId="33977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2" w:hRule="atLeast"/>
        </w:trPr>
        <w:tc>
          <w:tcPr>
            <w:tcW w:w="414" w:type="dxa"/>
            <w:tcBorders>
              <w:bottom w:val="nil"/>
            </w:tcBorders>
            <w:vAlign w:val="top"/>
          </w:tcPr>
          <w:p w14:paraId="193C1559">
            <w:pPr>
              <w:rPr>
                <w:rFonts w:ascii="Arial"/>
                <w:sz w:val="21"/>
              </w:rPr>
            </w:pPr>
          </w:p>
        </w:tc>
        <w:tc>
          <w:tcPr>
            <w:tcW w:w="8565" w:type="dxa"/>
            <w:tcBorders>
              <w:bottom w:val="nil"/>
            </w:tcBorders>
            <w:vAlign w:val="top"/>
          </w:tcPr>
          <w:p w14:paraId="4DF2F38B">
            <w:pPr>
              <w:pStyle w:val="6"/>
              <w:spacing w:before="14" w:line="3490" w:lineRule="exact"/>
              <w:ind w:firstLine="2530"/>
            </w:pPr>
            <w:r>
              <w:rPr>
                <w:position w:val="-69"/>
              </w:rPr>
              <w:pict>
                <v:group id="_x0000_s1076" o:spid="_x0000_s1076" o:spt="203" style="height:174.55pt;width:173.5pt;" coordsize="3470,3491">
                  <o:lock v:ext="edit"/>
                  <v:shape id="_x0000_s1077" o:spid="_x0000_s1077" o:spt="75" type="#_x0000_t75" style="position:absolute;left:0;top:10;height:3480;width:3470;" filled="f" stroked="f" coordsize="21600,21600">
                    <v:path/>
                    <v:fill on="f" focussize="0,0"/>
                    <v:stroke on="f"/>
                    <v:imagedata r:id="rId203" o:title=""/>
                    <o:lock v:ext="edit" aspectratio="t"/>
                  </v:shape>
                  <v:shape id="_x0000_s1078" o:spid="_x0000_s1078" o:spt="202" type="#_x0000_t202" style="position:absolute;left:-20;top:-20;height:3531;width:3510;" filled="f" stroked="f" coordsize="21600,21600">
                    <v:path/>
                    <v:fill on="f" focussize="0,0"/>
                    <v:stroke on="f"/>
                    <v:imagedata o:title=""/>
                    <o:lock v:ext="edit" aspectratio="f"/>
                    <v:textbox inset="0mm,0mm,0mm,0mm">
                      <w:txbxContent>
                        <w:p w14:paraId="47C76D93">
                          <w:pPr>
                            <w:spacing w:before="20" w:line="219" w:lineRule="auto"/>
                            <w:ind w:left="30"/>
                            <w:rPr>
                              <w:rFonts w:ascii="宋体" w:hAnsi="宋体" w:eastAsia="宋体" w:cs="宋体"/>
                              <w:sz w:val="24"/>
                              <w:szCs w:val="24"/>
                            </w:rPr>
                          </w:pPr>
                          <w:r>
                            <w:rPr>
                              <w:rFonts w:ascii="宋体" w:hAnsi="宋体" w:eastAsia="宋体" w:cs="宋体"/>
                              <w:spacing w:val="-2"/>
                              <w:sz w:val="24"/>
                              <w:szCs w:val="24"/>
                            </w:rPr>
                            <w:t>入射光</w:t>
                          </w:r>
                        </w:p>
                        <w:p w14:paraId="31EB2C99">
                          <w:pPr>
                            <w:spacing w:before="241" w:line="219" w:lineRule="auto"/>
                            <w:ind w:left="2553"/>
                            <w:rPr>
                              <w:rFonts w:ascii="宋体" w:hAnsi="宋体" w:eastAsia="宋体" w:cs="宋体"/>
                              <w:sz w:val="24"/>
                              <w:szCs w:val="24"/>
                            </w:rPr>
                          </w:pPr>
                          <w:r>
                            <w:rPr>
                              <w:rFonts w:ascii="宋体" w:hAnsi="宋体" w:eastAsia="宋体" w:cs="宋体"/>
                              <w:b/>
                              <w:bCs/>
                              <w:spacing w:val="-5"/>
                              <w:sz w:val="24"/>
                              <w:szCs w:val="24"/>
                            </w:rPr>
                            <w:t>反射光</w:t>
                          </w:r>
                        </w:p>
                      </w:txbxContent>
                    </v:textbox>
                  </v:shape>
                  <w10:wrap type="none"/>
                  <w10:anchorlock/>
                </v:group>
              </w:pict>
            </w:r>
          </w:p>
        </w:tc>
      </w:tr>
      <w:tr w14:paraId="24F70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7" w:hRule="atLeast"/>
        </w:trPr>
        <w:tc>
          <w:tcPr>
            <w:tcW w:w="414" w:type="dxa"/>
            <w:tcBorders>
              <w:top w:val="nil"/>
              <w:bottom w:val="nil"/>
            </w:tcBorders>
            <w:vAlign w:val="top"/>
          </w:tcPr>
          <w:p w14:paraId="2CEB016F">
            <w:pPr>
              <w:rPr>
                <w:rFonts w:ascii="Arial"/>
                <w:sz w:val="21"/>
              </w:rPr>
            </w:pPr>
          </w:p>
        </w:tc>
        <w:tc>
          <w:tcPr>
            <w:tcW w:w="8565" w:type="dxa"/>
            <w:tcBorders>
              <w:top w:val="nil"/>
              <w:bottom w:val="nil"/>
            </w:tcBorders>
            <w:vAlign w:val="top"/>
          </w:tcPr>
          <w:p w14:paraId="4E2076D3">
            <w:pPr>
              <w:pStyle w:val="6"/>
              <w:spacing w:before="13" w:line="219" w:lineRule="auto"/>
              <w:ind w:left="630"/>
            </w:pPr>
            <w:r>
              <w:drawing>
                <wp:anchor distT="0" distB="0" distL="0" distR="0" simplePos="0" relativeHeight="251687936" behindDoc="1" locked="0" layoutInCell="1" allowOverlap="1">
                  <wp:simplePos x="0" y="0"/>
                  <wp:positionH relativeFrom="column">
                    <wp:posOffset>171450</wp:posOffset>
                  </wp:positionH>
                  <wp:positionV relativeFrom="paragraph">
                    <wp:posOffset>1905</wp:posOffset>
                  </wp:positionV>
                  <wp:extent cx="5213350" cy="267335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04"/>
                          <a:stretch>
                            <a:fillRect/>
                          </a:stretch>
                        </pic:blipFill>
                        <pic:spPr>
                          <a:xfrm>
                            <a:off x="0" y="0"/>
                            <a:ext cx="5213374" cy="2673350"/>
                          </a:xfrm>
                          <a:prstGeom prst="rect">
                            <a:avLst/>
                          </a:prstGeom>
                        </pic:spPr>
                      </pic:pic>
                    </a:graphicData>
                  </a:graphic>
                </wp:anchor>
              </w:drawing>
            </w:r>
            <w:r>
              <w:rPr>
                <w:spacing w:val="2"/>
              </w:rPr>
              <w:t>入射光(紫外光、可见光、近红外光、红外光)</w:t>
            </w:r>
          </w:p>
          <w:p w14:paraId="486B42F7">
            <w:pPr>
              <w:spacing w:line="454" w:lineRule="auto"/>
              <w:rPr>
                <w:rFonts w:ascii="Arial"/>
                <w:sz w:val="21"/>
              </w:rPr>
            </w:pPr>
          </w:p>
          <w:p w14:paraId="55F91F8A">
            <w:pPr>
              <w:pStyle w:val="6"/>
              <w:spacing w:before="78" w:line="219" w:lineRule="auto"/>
              <w:ind w:left="2460"/>
            </w:pPr>
            <w:r>
              <w:rPr>
                <w:spacing w:val="-1"/>
              </w:rPr>
              <w:t>反射光(可见光、近红外光)4-11%</w:t>
            </w:r>
          </w:p>
          <w:p w14:paraId="05476120">
            <w:pPr>
              <w:pStyle w:val="6"/>
              <w:spacing w:before="86" w:line="221" w:lineRule="auto"/>
              <w:ind w:left="5750"/>
            </w:pPr>
            <w:r>
              <w:rPr>
                <w:spacing w:val="6"/>
              </w:rPr>
              <w:t>电能</w:t>
            </w:r>
          </w:p>
          <w:p w14:paraId="2FE05BD2">
            <w:pPr>
              <w:pStyle w:val="6"/>
              <w:spacing w:before="71" w:line="219" w:lineRule="auto"/>
              <w:ind w:left="4920"/>
            </w:pPr>
            <w:r>
              <w:rPr>
                <w:spacing w:val="-2"/>
              </w:rPr>
              <w:t>转换效率14%/</w:t>
            </w:r>
          </w:p>
          <w:p w14:paraId="225B7D70">
            <w:pPr>
              <w:pStyle w:val="6"/>
              <w:spacing w:before="155" w:line="219" w:lineRule="auto"/>
              <w:ind w:right="1"/>
              <w:jc w:val="right"/>
            </w:pPr>
            <w:r>
              <w:rPr>
                <w:spacing w:val="2"/>
              </w:rPr>
              <w:t>89-90%被吸收(可见光、近红外光)</w:t>
            </w:r>
          </w:p>
          <w:p w14:paraId="4892595D">
            <w:pPr>
              <w:spacing w:line="425" w:lineRule="auto"/>
              <w:rPr>
                <w:rFonts w:ascii="Arial"/>
                <w:sz w:val="21"/>
              </w:rPr>
            </w:pPr>
          </w:p>
          <w:p w14:paraId="466DF342">
            <w:pPr>
              <w:pStyle w:val="6"/>
              <w:spacing w:before="78" w:line="221" w:lineRule="auto"/>
              <w:ind w:left="5750"/>
            </w:pPr>
            <w:r>
              <w:rPr>
                <w:spacing w:val="6"/>
              </w:rPr>
              <w:t>热能</w:t>
            </w:r>
          </w:p>
          <w:p w14:paraId="5622CA92">
            <w:pPr>
              <w:spacing w:line="241" w:lineRule="auto"/>
              <w:rPr>
                <w:rFonts w:ascii="Arial"/>
                <w:sz w:val="21"/>
              </w:rPr>
            </w:pPr>
          </w:p>
          <w:p w14:paraId="4F0A6EE4">
            <w:pPr>
              <w:pStyle w:val="6"/>
              <w:spacing w:before="79" w:line="219" w:lineRule="auto"/>
              <w:ind w:left="1481"/>
            </w:pPr>
            <w:r>
              <w:rPr>
                <w:spacing w:val="1"/>
              </w:rPr>
              <w:t>紫外光、红外光</w:t>
            </w:r>
          </w:p>
        </w:tc>
      </w:tr>
      <w:tr w14:paraId="5D60E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0" w:hRule="atLeast"/>
        </w:trPr>
        <w:tc>
          <w:tcPr>
            <w:tcW w:w="414" w:type="dxa"/>
            <w:tcBorders>
              <w:top w:val="nil"/>
            </w:tcBorders>
            <w:vAlign w:val="top"/>
          </w:tcPr>
          <w:p w14:paraId="50C23C3F">
            <w:pPr>
              <w:rPr>
                <w:rFonts w:ascii="Arial"/>
                <w:sz w:val="21"/>
              </w:rPr>
            </w:pPr>
          </w:p>
        </w:tc>
        <w:tc>
          <w:tcPr>
            <w:tcW w:w="8565" w:type="dxa"/>
            <w:tcBorders>
              <w:top w:val="nil"/>
            </w:tcBorders>
            <w:vAlign w:val="top"/>
          </w:tcPr>
          <w:p w14:paraId="72375DF3">
            <w:pPr>
              <w:pStyle w:val="6"/>
              <w:spacing w:before="85" w:line="361" w:lineRule="auto"/>
              <w:ind w:left="110" w:right="23" w:firstLine="479"/>
            </w:pPr>
            <w:r>
              <w:t>为了提高电池板发电效率，太阳能电池组件产品的表面设计要求最大程度地</w:t>
            </w:r>
            <w:r>
              <w:rPr>
                <w:spacing w:val="8"/>
              </w:rPr>
              <w:t xml:space="preserve"> </w:t>
            </w:r>
            <w:r>
              <w:t>减少对太阳光的反射，以便使太阳能电池板能够很好的</w:t>
            </w:r>
            <w:r>
              <w:rPr>
                <w:spacing w:val="-1"/>
              </w:rPr>
              <w:t>吸收太阳能，且晶硅体太</w:t>
            </w:r>
            <w:r>
              <w:t xml:space="preserve"> </w:t>
            </w:r>
            <w:r>
              <w:rPr>
                <w:spacing w:val="1"/>
              </w:rPr>
              <w:t>阳能电池板主要吸收太阳能光中的可见光、</w:t>
            </w:r>
            <w:r>
              <w:t xml:space="preserve">近红外光中的部分能量，而硅片对可 </w:t>
            </w:r>
            <w:r>
              <w:rPr>
                <w:spacing w:val="1"/>
              </w:rPr>
              <w:t>见光和近红外光的反射率仅达4~10%,故太阳能电池板对光的反射系</w:t>
            </w:r>
            <w:r>
              <w:t>数很低，不</w:t>
            </w:r>
          </w:p>
          <w:p w14:paraId="6AE8C024">
            <w:pPr>
              <w:pStyle w:val="6"/>
              <w:spacing w:before="1" w:line="358" w:lineRule="auto"/>
              <w:ind w:left="110" w:right="19"/>
            </w:pPr>
            <w:r>
              <w:rPr>
                <w:spacing w:val="1"/>
              </w:rPr>
              <w:t>致造成光干扰，且项目在设计时充分考虑了反射光的</w:t>
            </w:r>
            <w:r>
              <w:t xml:space="preserve">影响，即太阳电池组件产品 </w:t>
            </w:r>
            <w:r>
              <w:rPr>
                <w:spacing w:val="1"/>
              </w:rPr>
              <w:t>中采用的晶体硅是经过刻槽处理的(其上刻了小金字塔样的槽体),同</w:t>
            </w:r>
            <w:r>
              <w:t>时加了</w:t>
            </w:r>
          </w:p>
          <w:p w14:paraId="065A70CA">
            <w:pPr>
              <w:pStyle w:val="6"/>
              <w:spacing w:before="3" w:line="360" w:lineRule="auto"/>
              <w:ind w:left="100" w:right="22" w:firstLine="10"/>
            </w:pPr>
            <w:r>
              <w:t>ZVA</w:t>
            </w:r>
            <w:r>
              <w:rPr>
                <w:spacing w:val="1"/>
              </w:rPr>
              <w:t>材料，最大限度的起到了吸收太阳光的作用，防止反射</w:t>
            </w:r>
            <w:r>
              <w:t xml:space="preserve">的同时充分吸收太阳  </w:t>
            </w:r>
            <w:r>
              <w:rPr>
                <w:spacing w:val="1"/>
              </w:rPr>
              <w:t>光，减少反射光对周围敏感目标的影响。因此，项目的建设不会对周</w:t>
            </w:r>
            <w:r>
              <w:t>围环境造成 光污染影响。</w:t>
            </w:r>
          </w:p>
          <w:p w14:paraId="270D7517">
            <w:pPr>
              <w:pStyle w:val="6"/>
              <w:spacing w:line="219" w:lineRule="auto"/>
              <w:ind w:left="564"/>
            </w:pPr>
            <w:r>
              <w:rPr>
                <w:b/>
                <w:bCs/>
                <w:spacing w:val="-4"/>
              </w:rPr>
              <w:t>7、电磁辐射影响分析</w:t>
            </w:r>
          </w:p>
          <w:p w14:paraId="64E6C37D">
            <w:pPr>
              <w:pStyle w:val="6"/>
              <w:spacing w:before="176" w:line="218" w:lineRule="auto"/>
              <w:ind w:left="590"/>
            </w:pPr>
            <w:r>
              <w:t>对照《环境影响评价技术导则输变电工程》(HJ24-2021)中关于输变电工</w:t>
            </w:r>
          </w:p>
          <w:p w14:paraId="2FDB8653">
            <w:pPr>
              <w:pStyle w:val="6"/>
              <w:spacing w:before="186" w:line="218" w:lineRule="auto"/>
              <w:ind w:left="110"/>
            </w:pPr>
            <w:r>
              <w:t>程电磁环境影响评价工作等级划分标准，本项目升压站为</w:t>
            </w:r>
            <w:r>
              <w:rPr>
                <w:spacing w:val="-1"/>
              </w:rPr>
              <w:t>户外布置，对应评价等</w:t>
            </w:r>
          </w:p>
        </w:tc>
      </w:tr>
    </w:tbl>
    <w:p w14:paraId="240C2A70">
      <w:pPr>
        <w:pStyle w:val="2"/>
      </w:pPr>
    </w:p>
    <w:p w14:paraId="637449CD">
      <w:pPr>
        <w:sectPr>
          <w:footerReference r:id="rId112" w:type="default"/>
          <w:pgSz w:w="11910" w:h="16840"/>
          <w:pgMar w:top="1431" w:right="1475" w:bottom="1269" w:left="1445" w:header="0" w:footer="1089" w:gutter="0"/>
          <w:cols w:space="720" w:num="1"/>
        </w:sectPr>
      </w:pPr>
    </w:p>
    <w:p w14:paraId="62D690BA">
      <w:pPr>
        <w:spacing w:line="93" w:lineRule="exact"/>
      </w:pPr>
    </w:p>
    <w:tbl>
      <w:tblPr>
        <w:tblStyle w:val="5"/>
        <w:tblW w:w="89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68"/>
      </w:tblGrid>
      <w:tr w14:paraId="4F05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46" w:hRule="atLeast"/>
        </w:trPr>
        <w:tc>
          <w:tcPr>
            <w:tcW w:w="414" w:type="dxa"/>
            <w:vAlign w:val="top"/>
          </w:tcPr>
          <w:p w14:paraId="1E4D35CE">
            <w:pPr>
              <w:rPr>
                <w:rFonts w:ascii="Arial"/>
                <w:sz w:val="21"/>
              </w:rPr>
            </w:pPr>
          </w:p>
        </w:tc>
        <w:tc>
          <w:tcPr>
            <w:tcW w:w="8568" w:type="dxa"/>
            <w:vAlign w:val="top"/>
          </w:tcPr>
          <w:p w14:paraId="03B85EAA">
            <w:pPr>
              <w:pStyle w:val="6"/>
              <w:spacing w:before="13" w:line="219" w:lineRule="auto"/>
              <w:ind w:left="100"/>
            </w:pPr>
            <w:r>
              <w:t>级为二级，电磁环境影响预测采用类比监测的方</w:t>
            </w:r>
            <w:r>
              <w:rPr>
                <w:spacing w:val="-1"/>
              </w:rPr>
              <w:t>式。</w:t>
            </w:r>
          </w:p>
          <w:p w14:paraId="38708DC5">
            <w:pPr>
              <w:pStyle w:val="6"/>
              <w:spacing w:before="184" w:line="357" w:lineRule="auto"/>
              <w:ind w:left="120" w:right="166" w:firstLine="479"/>
            </w:pPr>
            <w:r>
              <w:t>根据类比监测结果，本项目220kV升压站围墙外电</w:t>
            </w:r>
            <w:r>
              <w:rPr>
                <w:spacing w:val="-1"/>
              </w:rPr>
              <w:t>场强度及磁感应强度均可</w:t>
            </w:r>
            <w:r>
              <w:t xml:space="preserve"> 满足《电磁环境控制限值》(GB8702-2014)中电场强度4000V/m、磁感应强度</w:t>
            </w:r>
          </w:p>
          <w:p w14:paraId="7E1CF6EE">
            <w:pPr>
              <w:pStyle w:val="6"/>
              <w:spacing w:before="12" w:line="219" w:lineRule="auto"/>
              <w:ind w:left="120"/>
            </w:pPr>
            <w:r>
              <w:t>100μT的限值要求。详见电磁环境影响专</w:t>
            </w:r>
            <w:r>
              <w:rPr>
                <w:spacing w:val="-1"/>
              </w:rPr>
              <w:t>章。</w:t>
            </w:r>
          </w:p>
          <w:p w14:paraId="698DF47F">
            <w:pPr>
              <w:pStyle w:val="6"/>
              <w:spacing w:before="173" w:line="219" w:lineRule="auto"/>
              <w:ind w:left="124"/>
            </w:pPr>
            <w:r>
              <w:rPr>
                <w:b/>
                <w:bCs/>
                <w:spacing w:val="-2"/>
              </w:rPr>
              <w:t>四、服务期满后的环境影响</w:t>
            </w:r>
          </w:p>
          <w:p w14:paraId="5F5434AD">
            <w:pPr>
              <w:pStyle w:val="6"/>
              <w:spacing w:before="176" w:line="362" w:lineRule="auto"/>
              <w:ind w:left="131" w:firstLine="465"/>
            </w:pPr>
            <w:r>
              <w:rPr>
                <w:spacing w:val="1"/>
              </w:rPr>
              <w:t>项目光伏系统使用寿命25年，光伏电站运行期满后对光伏组件、电气设备、</w:t>
            </w:r>
            <w:r>
              <w:rPr>
                <w:spacing w:val="6"/>
              </w:rPr>
              <w:t xml:space="preserve"> </w:t>
            </w:r>
            <w:r>
              <w:rPr>
                <w:spacing w:val="-2"/>
              </w:rPr>
              <w:t>各类建(构)筑物进行拆除，光伏电站服务期满后影响主要为拆除的太阳能电池</w:t>
            </w:r>
          </w:p>
          <w:p w14:paraId="45DE3960">
            <w:pPr>
              <w:pStyle w:val="6"/>
              <w:spacing w:before="1" w:line="218" w:lineRule="auto"/>
              <w:ind w:left="100"/>
            </w:pPr>
            <w:r>
              <w:t>板及升压站等固体废物影响及基础拆除产生的生态环境影响。</w:t>
            </w:r>
          </w:p>
          <w:p w14:paraId="69186BDD">
            <w:pPr>
              <w:pStyle w:val="6"/>
              <w:spacing w:before="197" w:line="220" w:lineRule="auto"/>
              <w:ind w:left="720"/>
            </w:pPr>
            <w:r>
              <w:rPr>
                <w:spacing w:val="1"/>
              </w:rPr>
              <w:t>(1)固体废物对环境影响</w:t>
            </w:r>
          </w:p>
          <w:p w14:paraId="7F741516">
            <w:pPr>
              <w:pStyle w:val="6"/>
              <w:spacing w:before="173" w:line="359" w:lineRule="auto"/>
              <w:ind w:left="131" w:firstLine="469"/>
            </w:pPr>
            <w:r>
              <w:t>服务期满后，拆除光伏组件262184块，全部由光伏组件提供厂商负责回</w:t>
            </w:r>
            <w:r>
              <w:rPr>
                <w:spacing w:val="-1"/>
              </w:rPr>
              <w:t>收。</w:t>
            </w:r>
            <w:r>
              <w:t xml:space="preserve"> </w:t>
            </w:r>
            <w:r>
              <w:rPr>
                <w:spacing w:val="1"/>
              </w:rPr>
              <w:t>电气设备主要为逆变器、箱式变压器就地进行拆解后运回设</w:t>
            </w:r>
            <w:r>
              <w:t>备生产商进行维修后 再次使用。拆除光伏组件基础和升压站建构筑物基础，拆除的建(构)筑物主要</w:t>
            </w:r>
          </w:p>
          <w:p w14:paraId="62173C99">
            <w:pPr>
              <w:pStyle w:val="6"/>
              <w:spacing w:before="2" w:line="363" w:lineRule="auto"/>
              <w:ind w:left="100" w:right="12" w:firstLine="30"/>
            </w:pPr>
            <w:r>
              <w:t>为混凝土结构，集中收集后送当地建筑垃圾消纳场处置。服务期满后拆除过程产</w:t>
            </w:r>
            <w:r>
              <w:rPr>
                <w:spacing w:val="13"/>
              </w:rPr>
              <w:t xml:space="preserve"> </w:t>
            </w:r>
            <w:r>
              <w:t>生的固体废物得到妥善处置，对环境影响较</w:t>
            </w:r>
            <w:r>
              <w:rPr>
                <w:spacing w:val="-1"/>
              </w:rPr>
              <w:t>小。</w:t>
            </w:r>
          </w:p>
          <w:p w14:paraId="5F8481F5">
            <w:pPr>
              <w:pStyle w:val="6"/>
              <w:spacing w:before="15" w:line="220" w:lineRule="auto"/>
              <w:ind w:left="711"/>
            </w:pPr>
            <w:r>
              <w:rPr>
                <w:spacing w:val="2"/>
              </w:rPr>
              <w:t>(2)生态环境影响</w:t>
            </w:r>
          </w:p>
          <w:p w14:paraId="25BD3BC8">
            <w:pPr>
              <w:pStyle w:val="6"/>
              <w:spacing w:before="157" w:line="361" w:lineRule="auto"/>
              <w:ind w:left="110" w:firstLine="483"/>
            </w:pPr>
            <w:r>
              <w:rPr>
                <w:spacing w:val="-2"/>
              </w:rPr>
              <w:t>对植被的影响：拆除过程中占用的土地使原有的植被遭</w:t>
            </w:r>
            <w:r>
              <w:rPr>
                <w:spacing w:val="-3"/>
              </w:rPr>
              <w:t>到破坏，直接减少了</w:t>
            </w:r>
            <w:r>
              <w:t xml:space="preserve">  </w:t>
            </w:r>
            <w:r>
              <w:rPr>
                <w:spacing w:val="-2"/>
              </w:rPr>
              <w:t>工程区内的生物量，引起植被生物量、净生产量和</w:t>
            </w:r>
            <w:r>
              <w:rPr>
                <w:spacing w:val="-3"/>
              </w:rPr>
              <w:t>固碳放氧量的损失。拆除时候</w:t>
            </w:r>
            <w:r>
              <w:t xml:space="preserve">  </w:t>
            </w:r>
            <w:r>
              <w:rPr>
                <w:spacing w:val="-2"/>
              </w:rPr>
              <w:t>的扬尘随风飞扬，会在周边植被的叶片表面沉积下来</w:t>
            </w:r>
            <w:r>
              <w:rPr>
                <w:spacing w:val="-3"/>
              </w:rPr>
              <w:t>，堵塞叶片的气孔，影响植</w:t>
            </w:r>
            <w:r>
              <w:t xml:space="preserve">  </w:t>
            </w:r>
            <w:r>
              <w:rPr>
                <w:spacing w:val="-5"/>
              </w:rPr>
              <w:t>物正常的光合作用和蒸腾作用，严重时会导致植物</w:t>
            </w:r>
            <w:r>
              <w:rPr>
                <w:spacing w:val="-6"/>
              </w:rPr>
              <w:t>生长不良，减少产量和生长量。</w:t>
            </w:r>
            <w:r>
              <w:t xml:space="preserve"> </w:t>
            </w:r>
            <w:r>
              <w:rPr>
                <w:spacing w:val="-2"/>
              </w:rPr>
              <w:t>但是项目施工结束后立即对原有占地植被进行覆土绿化，故项目服务</w:t>
            </w:r>
            <w:r>
              <w:rPr>
                <w:spacing w:val="-3"/>
              </w:rPr>
              <w:t>期满后对周</w:t>
            </w:r>
            <w:r>
              <w:t xml:space="preserve">  </w:t>
            </w:r>
            <w:r>
              <w:rPr>
                <w:spacing w:val="-3"/>
              </w:rPr>
              <w:t>边植被的影响不大。</w:t>
            </w:r>
          </w:p>
          <w:p w14:paraId="2E919776">
            <w:pPr>
              <w:pStyle w:val="6"/>
              <w:spacing w:before="3" w:line="344" w:lineRule="auto"/>
              <w:ind w:left="100" w:firstLine="492"/>
              <w:jc w:val="both"/>
            </w:pPr>
            <w:r>
              <w:rPr>
                <w:spacing w:val="-4"/>
              </w:rPr>
              <w:t>对水土流失的影响：拆除过程的活动主要集中在光伏电场区域，新增侵蚀活</w:t>
            </w:r>
            <w:r>
              <w:rPr>
                <w:spacing w:val="1"/>
              </w:rPr>
              <w:t xml:space="preserve">  </w:t>
            </w:r>
            <w:r>
              <w:rPr>
                <w:spacing w:val="-3"/>
              </w:rPr>
              <w:t>跃，拆除结束后，侵蚀活动随之减弱，呈现先强后弱的特点；太阳能光伏电场占</w:t>
            </w:r>
            <w:r>
              <w:rPr>
                <w:spacing w:val="7"/>
              </w:rPr>
              <w:t xml:space="preserve">  </w:t>
            </w:r>
            <w:r>
              <w:rPr>
                <w:spacing w:val="-5"/>
              </w:rPr>
              <w:t>地面积比较大，土壤侵蚀影响区域较广。但是由于项目土建拆除部分作业</w:t>
            </w:r>
            <w:r>
              <w:rPr>
                <w:spacing w:val="-6"/>
              </w:rPr>
              <w:t>面较小，</w:t>
            </w:r>
            <w:r>
              <w:t xml:space="preserve"> </w:t>
            </w:r>
            <w:r>
              <w:rPr>
                <w:spacing w:val="-4"/>
              </w:rPr>
              <w:t>拆除扰动范围小，因此项目基础拆除造成的水土流失较小，对环境的影响不大。</w:t>
            </w:r>
          </w:p>
        </w:tc>
      </w:tr>
      <w:tr w14:paraId="4B31D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3" w:hRule="atLeast"/>
        </w:trPr>
        <w:tc>
          <w:tcPr>
            <w:tcW w:w="414" w:type="dxa"/>
            <w:textDirection w:val="tbRlV"/>
            <w:vAlign w:val="top"/>
          </w:tcPr>
          <w:p w14:paraId="5537BCFB">
            <w:pPr>
              <w:pStyle w:val="6"/>
              <w:spacing w:before="138" w:line="202" w:lineRule="auto"/>
              <w:ind w:left="25"/>
            </w:pPr>
            <w:r>
              <w:t>选</w:t>
            </w:r>
            <w:r>
              <w:rPr>
                <w:spacing w:val="-41"/>
              </w:rPr>
              <w:t xml:space="preserve"> </w:t>
            </w:r>
            <w:r>
              <w:t>址</w:t>
            </w:r>
            <w:r>
              <w:rPr>
                <w:spacing w:val="-41"/>
              </w:rPr>
              <w:t xml:space="preserve"> </w:t>
            </w:r>
            <w:r>
              <w:t>选</w:t>
            </w:r>
            <w:r>
              <w:rPr>
                <w:spacing w:val="-40"/>
              </w:rPr>
              <w:t xml:space="preserve"> </w:t>
            </w:r>
            <w:r>
              <w:t>线</w:t>
            </w:r>
            <w:r>
              <w:rPr>
                <w:spacing w:val="-40"/>
              </w:rPr>
              <w:t xml:space="preserve"> </w:t>
            </w:r>
            <w:r>
              <w:t>环</w:t>
            </w:r>
            <w:r>
              <w:rPr>
                <w:spacing w:val="-41"/>
              </w:rPr>
              <w:t xml:space="preserve"> </w:t>
            </w:r>
            <w:r>
              <w:t>境</w:t>
            </w:r>
          </w:p>
        </w:tc>
        <w:tc>
          <w:tcPr>
            <w:tcW w:w="8568" w:type="dxa"/>
            <w:vAlign w:val="top"/>
          </w:tcPr>
          <w:p w14:paraId="6EAAD4A8">
            <w:pPr>
              <w:pStyle w:val="6"/>
              <w:spacing w:before="66" w:line="220" w:lineRule="auto"/>
              <w:ind w:left="74"/>
            </w:pPr>
            <w:r>
              <w:rPr>
                <w:b/>
                <w:bCs/>
                <w:spacing w:val="-5"/>
              </w:rPr>
              <w:t>一、工程选址合理性分析</w:t>
            </w:r>
          </w:p>
          <w:p w14:paraId="0427AD60">
            <w:pPr>
              <w:pStyle w:val="6"/>
              <w:spacing w:before="176" w:line="219" w:lineRule="auto"/>
              <w:ind w:left="590"/>
            </w:pPr>
            <w:r>
              <w:rPr>
                <w:spacing w:val="3"/>
              </w:rPr>
              <w:t>1、光能资源利用</w:t>
            </w:r>
          </w:p>
          <w:p w14:paraId="118BD8EA">
            <w:pPr>
              <w:pStyle w:val="6"/>
              <w:spacing w:before="172" w:line="345" w:lineRule="auto"/>
              <w:ind w:left="120" w:right="25" w:firstLine="469"/>
            </w:pPr>
            <w:r>
              <w:rPr>
                <w:spacing w:val="3"/>
              </w:rPr>
              <w:t>项目场址年太阳总辐射为5647.06</w:t>
            </w:r>
            <w:r>
              <w:t>MJ</w:t>
            </w:r>
            <w:r>
              <w:rPr>
                <w:spacing w:val="3"/>
              </w:rPr>
              <w:t>/m²,太阳能资源属于很丰富区，适合进</w:t>
            </w:r>
            <w:r>
              <w:rPr>
                <w:spacing w:val="17"/>
              </w:rPr>
              <w:t xml:space="preserve"> </w:t>
            </w:r>
            <w:r>
              <w:t>行太阳能资源的开发利用；项目区地质稳定，无活动性断裂通过，地基承载力满</w:t>
            </w:r>
          </w:p>
        </w:tc>
      </w:tr>
    </w:tbl>
    <w:p w14:paraId="530BAD15">
      <w:pPr>
        <w:pStyle w:val="2"/>
      </w:pPr>
    </w:p>
    <w:p w14:paraId="7AA1881B">
      <w:pPr>
        <w:sectPr>
          <w:footerReference r:id="rId113" w:type="default"/>
          <w:pgSz w:w="11910" w:h="16840"/>
          <w:pgMar w:top="1431" w:right="1482" w:bottom="1255" w:left="1435" w:header="0" w:footer="1093" w:gutter="0"/>
          <w:cols w:space="720" w:num="1"/>
        </w:sectPr>
      </w:pPr>
    </w:p>
    <w:p w14:paraId="059E7976">
      <w:pPr>
        <w:spacing w:line="93" w:lineRule="exact"/>
      </w:pPr>
    </w:p>
    <w:tbl>
      <w:tblPr>
        <w:tblStyle w:val="5"/>
        <w:tblW w:w="898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69"/>
      </w:tblGrid>
      <w:tr w14:paraId="4D781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9" w:hRule="atLeast"/>
        </w:trPr>
        <w:tc>
          <w:tcPr>
            <w:tcW w:w="414" w:type="dxa"/>
            <w:textDirection w:val="tbRlV"/>
            <w:vAlign w:val="top"/>
          </w:tcPr>
          <w:p w14:paraId="3071E280">
            <w:pPr>
              <w:pStyle w:val="6"/>
              <w:spacing w:before="136" w:line="202" w:lineRule="auto"/>
            </w:pPr>
            <w:r>
              <w:rPr>
                <w:spacing w:val="-1"/>
              </w:rPr>
              <w:t>合</w:t>
            </w:r>
            <w:r>
              <w:rPr>
                <w:spacing w:val="-36"/>
              </w:rPr>
              <w:t xml:space="preserve"> </w:t>
            </w:r>
            <w:r>
              <w:rPr>
                <w:spacing w:val="-1"/>
              </w:rPr>
              <w:t>理</w:t>
            </w:r>
            <w:r>
              <w:rPr>
                <w:spacing w:val="-36"/>
              </w:rPr>
              <w:t xml:space="preserve"> </w:t>
            </w:r>
            <w:r>
              <w:rPr>
                <w:spacing w:val="-1"/>
              </w:rPr>
              <w:t>性</w:t>
            </w:r>
            <w:r>
              <w:rPr>
                <w:spacing w:val="-36"/>
              </w:rPr>
              <w:t xml:space="preserve"> </w:t>
            </w:r>
            <w:r>
              <w:rPr>
                <w:spacing w:val="-1"/>
              </w:rPr>
              <w:t>分</w:t>
            </w:r>
            <w:r>
              <w:rPr>
                <w:spacing w:val="-36"/>
              </w:rPr>
              <w:t xml:space="preserve"> </w:t>
            </w:r>
            <w:r>
              <w:rPr>
                <w:spacing w:val="-1"/>
              </w:rPr>
              <w:t>析</w:t>
            </w:r>
          </w:p>
        </w:tc>
        <w:tc>
          <w:tcPr>
            <w:tcW w:w="8569" w:type="dxa"/>
            <w:vAlign w:val="top"/>
          </w:tcPr>
          <w:p w14:paraId="7E20BB2D">
            <w:pPr>
              <w:pStyle w:val="6"/>
              <w:spacing w:before="13" w:line="219" w:lineRule="auto"/>
              <w:ind w:left="100"/>
            </w:pPr>
            <w:r>
              <w:t>足设计要求，适合于拟建项目光伏组件的布</w:t>
            </w:r>
            <w:r>
              <w:rPr>
                <w:spacing w:val="-1"/>
              </w:rPr>
              <w:t>设。</w:t>
            </w:r>
          </w:p>
          <w:p w14:paraId="6E0089B3">
            <w:pPr>
              <w:pStyle w:val="6"/>
              <w:spacing w:before="175" w:line="219" w:lineRule="auto"/>
              <w:ind w:left="560"/>
            </w:pPr>
            <w:r>
              <w:rPr>
                <w:spacing w:val="1"/>
              </w:rPr>
              <w:t>2、政府主管部门选址意见</w:t>
            </w:r>
          </w:p>
          <w:p w14:paraId="1AF9E8DD">
            <w:pPr>
              <w:pStyle w:val="6"/>
              <w:spacing w:before="185" w:line="359" w:lineRule="auto"/>
              <w:ind w:left="70" w:right="58" w:firstLine="519"/>
            </w:pPr>
            <w:r>
              <w:t>本项目已经取得曲靖市生态环境局、曲靖市马龙</w:t>
            </w:r>
            <w:r>
              <w:rPr>
                <w:spacing w:val="-1"/>
              </w:rPr>
              <w:t>区水务局、曲靖市马龙区地</w:t>
            </w:r>
            <w:r>
              <w:t xml:space="preserve"> 震局、曲靖市马龙区自然资源局等意见，明确项目不占用生态保护红线、永久基</w:t>
            </w:r>
            <w:r>
              <w:rPr>
                <w:spacing w:val="9"/>
              </w:rPr>
              <w:t xml:space="preserve"> </w:t>
            </w:r>
            <w:r>
              <w:rPr>
                <w:spacing w:val="2"/>
              </w:rPr>
              <w:t>本农田、水源地环境敏感区，同意项目选址。</w:t>
            </w:r>
          </w:p>
          <w:p w14:paraId="17FAC0FC">
            <w:pPr>
              <w:pStyle w:val="6"/>
              <w:spacing w:line="218" w:lineRule="auto"/>
              <w:ind w:left="570"/>
            </w:pPr>
            <w:r>
              <w:t>3、光伏阵列选址环境合理性分析</w:t>
            </w:r>
          </w:p>
          <w:p w14:paraId="47410763">
            <w:pPr>
              <w:pStyle w:val="6"/>
              <w:spacing w:before="193" w:line="359" w:lineRule="auto"/>
              <w:ind w:left="131" w:firstLine="556"/>
            </w:pPr>
            <w:r>
              <w:rPr>
                <w:spacing w:val="-2"/>
              </w:rPr>
              <w:t>项目位于云南省曲靖市马鸣乡北侧。光伏阵列周边为林地、居民区、耕地，</w:t>
            </w:r>
            <w:r>
              <w:rPr>
                <w:spacing w:val="16"/>
              </w:rPr>
              <w:t xml:space="preserve"> </w:t>
            </w:r>
            <w:r>
              <w:rPr>
                <w:spacing w:val="-1"/>
              </w:rPr>
              <w:t>不涉及自然保护区、风景名胜区、饮用水源保护区、世界遗产地、地质公园、基</w:t>
            </w:r>
            <w:r>
              <w:rPr>
                <w:spacing w:val="2"/>
              </w:rPr>
              <w:t xml:space="preserve"> </w:t>
            </w:r>
            <w:r>
              <w:t xml:space="preserve">本农田保护区、森林公园、不涉及已发布的马龙区生态保护红线等环境敏感区， </w:t>
            </w:r>
            <w:r>
              <w:rPr>
                <w:spacing w:val="-1"/>
              </w:rPr>
              <w:t>地形开阔平坦，周围无高大建筑物，不会产生遮光等不利于光伏发电的情况，可</w:t>
            </w:r>
            <w:r>
              <w:rPr>
                <w:spacing w:val="2"/>
              </w:rPr>
              <w:t xml:space="preserve"> </w:t>
            </w:r>
            <w:r>
              <w:rPr>
                <w:spacing w:val="-1"/>
              </w:rPr>
              <w:t>最大程度发挥太阳能资源优势。环境敏感点分散布置于项目区的四周，但项目光</w:t>
            </w:r>
            <w:r>
              <w:rPr>
                <w:spacing w:val="3"/>
              </w:rPr>
              <w:t xml:space="preserve"> </w:t>
            </w:r>
            <w:r>
              <w:rPr>
                <w:spacing w:val="-1"/>
              </w:rPr>
              <w:t>伏板布置时已避开敏感点，避开了长势较好的自然植被，尽量选择其他土地(山</w:t>
            </w:r>
            <w:r>
              <w:rPr>
                <w:spacing w:val="6"/>
              </w:rPr>
              <w:t xml:space="preserve">  </w:t>
            </w:r>
            <w:r>
              <w:rPr>
                <w:spacing w:val="-1"/>
              </w:rPr>
              <w:t>石裸露地)。光伏电池板对太阳光的反射会产生一定的光污染，但通</w:t>
            </w:r>
            <w:r>
              <w:rPr>
                <w:spacing w:val="-2"/>
              </w:rPr>
              <w:t>过调整光伏</w:t>
            </w:r>
            <w:r>
              <w:t xml:space="preserve">  </w:t>
            </w:r>
            <w:r>
              <w:rPr>
                <w:spacing w:val="-1"/>
              </w:rPr>
              <w:t>电池板倾角，可以一定程度上减弱光线的反射，基本不会对人的视觉产生不利影</w:t>
            </w:r>
            <w:r>
              <w:rPr>
                <w:spacing w:val="2"/>
              </w:rPr>
              <w:t xml:space="preserve"> </w:t>
            </w:r>
            <w:r>
              <w:rPr>
                <w:spacing w:val="-1"/>
              </w:rPr>
              <w:t>响，也不会对居民生活和地面交通产生影响，光污染影响较小。项目建设将充分</w:t>
            </w:r>
            <w:r>
              <w:rPr>
                <w:spacing w:val="2"/>
              </w:rPr>
              <w:t xml:space="preserve"> </w:t>
            </w:r>
            <w:r>
              <w:rPr>
                <w:spacing w:val="-1"/>
              </w:rPr>
              <w:t>利用现有地形地貌，使得太阳能的利用量最大化。箱变均靠近道路布置，便于施</w:t>
            </w:r>
            <w:r>
              <w:rPr>
                <w:spacing w:val="3"/>
              </w:rPr>
              <w:t xml:space="preserve"> </w:t>
            </w:r>
            <w:r>
              <w:rPr>
                <w:spacing w:val="2"/>
              </w:rPr>
              <w:t>工和今后电缆维修。因此，光伏阵列环境选址合理。</w:t>
            </w:r>
          </w:p>
          <w:p w14:paraId="0657617B">
            <w:pPr>
              <w:pStyle w:val="6"/>
              <w:spacing w:line="220" w:lineRule="auto"/>
              <w:ind w:left="510"/>
            </w:pPr>
            <w:r>
              <w:rPr>
                <w:spacing w:val="-1"/>
              </w:rPr>
              <w:t>4、升压站环境选址合理性分析</w:t>
            </w:r>
          </w:p>
          <w:p w14:paraId="55407C13">
            <w:pPr>
              <w:pStyle w:val="6"/>
              <w:spacing w:before="183" w:line="357" w:lineRule="auto"/>
              <w:ind w:left="10" w:firstLine="559"/>
            </w:pPr>
            <w:r>
              <w:rPr>
                <w:spacing w:val="-5"/>
              </w:rPr>
              <w:t>本项目升压站的选址规划满足出线及相关专业的要求，新建升压</w:t>
            </w:r>
            <w:r>
              <w:rPr>
                <w:spacing w:val="-6"/>
              </w:rPr>
              <w:t>站位于场区中</w:t>
            </w:r>
            <w:r>
              <w:t xml:space="preserve"> </w:t>
            </w:r>
            <w:r>
              <w:rPr>
                <w:spacing w:val="-3"/>
              </w:rPr>
              <w:t>部且靠近道路。根据项目可研，本项目升压站规划场址地势平缓，坡度</w:t>
            </w:r>
            <w:r>
              <w:rPr>
                <w:spacing w:val="-4"/>
              </w:rPr>
              <w:t>较小，附近</w:t>
            </w:r>
            <w:r>
              <w:t xml:space="preserve"> </w:t>
            </w:r>
            <w:r>
              <w:rPr>
                <w:spacing w:val="-3"/>
              </w:rPr>
              <w:t>无大冲沟，规划场区附近有县道，交通便利。站址基面承载力较好，能满足建</w:t>
            </w:r>
            <w:r>
              <w:rPr>
                <w:spacing w:val="-4"/>
              </w:rPr>
              <w:t>筑要</w:t>
            </w:r>
            <w:r>
              <w:t xml:space="preserve"> </w:t>
            </w:r>
            <w:r>
              <w:rPr>
                <w:spacing w:val="-3"/>
              </w:rPr>
              <w:t>求。根据站址的站内外衔接、建构筑物布置特点，设计场地采用平坡式布</w:t>
            </w:r>
            <w:r>
              <w:rPr>
                <w:spacing w:val="-4"/>
              </w:rPr>
              <w:t>置，设计</w:t>
            </w:r>
            <w:r>
              <w:t xml:space="preserve"> </w:t>
            </w:r>
            <w:r>
              <w:rPr>
                <w:spacing w:val="3"/>
              </w:rPr>
              <w:t>场地坡度1%～2%,能达到升压站防洪要求。根据《云南</w:t>
            </w:r>
            <w:r>
              <w:rPr>
                <w:spacing w:val="2"/>
              </w:rPr>
              <w:t>省电力设施保护条例》变</w:t>
            </w:r>
            <w:r>
              <w:t xml:space="preserve">  </w:t>
            </w:r>
            <w:r>
              <w:rPr>
                <w:spacing w:val="4"/>
              </w:rPr>
              <w:t>电站围墙外延伸3米所形成的区域为安全防护距离，</w:t>
            </w:r>
            <w:r>
              <w:rPr>
                <w:spacing w:val="3"/>
              </w:rPr>
              <w:t>本项目升压站围墙外3m范围</w:t>
            </w:r>
            <w:r>
              <w:t xml:space="preserve">  内无居民敏感点分布，最近的居民点杨梅沟散户距离升压站670m,升压站选址做到</w:t>
            </w:r>
            <w:r>
              <w:rPr>
                <w:spacing w:val="5"/>
              </w:rPr>
              <w:t xml:space="preserve"> </w:t>
            </w:r>
            <w:r>
              <w:rPr>
                <w:spacing w:val="-3"/>
              </w:rPr>
              <w:t>了远离了居民点布置，运行期间产生的噪声、电磁影响对村庄居民点影响较小，另</w:t>
            </w:r>
            <w:r>
              <w:rPr>
                <w:spacing w:val="15"/>
              </w:rPr>
              <w:t xml:space="preserve"> </w:t>
            </w:r>
            <w:r>
              <w:rPr>
                <w:spacing w:val="-3"/>
              </w:rPr>
              <w:t>外升压站区域不涉及自然保护区、风景名胜区、饮用水水源保护区等需要特殊保护</w:t>
            </w:r>
            <w:r>
              <w:rPr>
                <w:spacing w:val="4"/>
              </w:rPr>
              <w:t xml:space="preserve"> </w:t>
            </w:r>
            <w:r>
              <w:rPr>
                <w:spacing w:val="-3"/>
              </w:rPr>
              <w:t>的区域，不占用生态保护红线、永久基本农田、耕地保护目标，相关用地已取得管</w:t>
            </w:r>
            <w:r>
              <w:t xml:space="preserve"> </w:t>
            </w:r>
            <w:r>
              <w:rPr>
                <w:spacing w:val="4"/>
              </w:rPr>
              <w:t>理部门用地手续。因此升压站选址合理。</w:t>
            </w:r>
          </w:p>
        </w:tc>
      </w:tr>
    </w:tbl>
    <w:p w14:paraId="3CC66D3F">
      <w:pPr>
        <w:pStyle w:val="2"/>
      </w:pPr>
    </w:p>
    <w:p w14:paraId="14530C71">
      <w:pPr>
        <w:sectPr>
          <w:footerReference r:id="rId114" w:type="default"/>
          <w:pgSz w:w="11910" w:h="16840"/>
          <w:pgMar w:top="1431" w:right="1471" w:bottom="1255" w:left="1445" w:header="0" w:footer="1093" w:gutter="0"/>
          <w:cols w:space="720" w:num="1"/>
        </w:sectPr>
      </w:pPr>
    </w:p>
    <w:p w14:paraId="3D011EAC">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8556"/>
      </w:tblGrid>
      <w:tr w14:paraId="4B1CB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9" w:hRule="atLeast"/>
        </w:trPr>
        <w:tc>
          <w:tcPr>
            <w:tcW w:w="414" w:type="dxa"/>
            <w:vAlign w:val="top"/>
          </w:tcPr>
          <w:p w14:paraId="47E11DCD">
            <w:pPr>
              <w:rPr>
                <w:rFonts w:ascii="Arial"/>
                <w:sz w:val="21"/>
              </w:rPr>
            </w:pPr>
          </w:p>
        </w:tc>
        <w:tc>
          <w:tcPr>
            <w:tcW w:w="8556" w:type="dxa"/>
            <w:vAlign w:val="top"/>
          </w:tcPr>
          <w:p w14:paraId="794F6AFF">
            <w:pPr>
              <w:pStyle w:val="6"/>
              <w:spacing w:before="14" w:line="219" w:lineRule="auto"/>
              <w:ind w:left="510"/>
            </w:pPr>
            <w:r>
              <w:t>5、集电线路环境选址合理性分析</w:t>
            </w:r>
          </w:p>
          <w:p w14:paraId="15250C47">
            <w:pPr>
              <w:pStyle w:val="6"/>
              <w:spacing w:before="177" w:line="360" w:lineRule="auto"/>
              <w:ind w:left="200" w:firstLine="463"/>
              <w:jc w:val="both"/>
            </w:pPr>
            <w:r>
              <w:rPr>
                <w:spacing w:val="-4"/>
              </w:rPr>
              <w:t>项目集电线路采用直埋电缆及桥架的方式敷设</w:t>
            </w:r>
            <w:r>
              <w:rPr>
                <w:spacing w:val="-5"/>
              </w:rPr>
              <w:t>，光伏阵列外集电线路采用架</w:t>
            </w:r>
            <w:r>
              <w:t xml:space="preserve">  </w:t>
            </w:r>
            <w:r>
              <w:rPr>
                <w:spacing w:val="-4"/>
              </w:rPr>
              <w:t>空方式，光伏阵列内集电线路采用直埋电缆。根据本项目可行性研究报告，项目</w:t>
            </w:r>
            <w:r>
              <w:rPr>
                <w:spacing w:val="18"/>
              </w:rPr>
              <w:t xml:space="preserve"> </w:t>
            </w:r>
            <w:r>
              <w:rPr>
                <w:spacing w:val="-4"/>
              </w:rPr>
              <w:t>架空线路的塔基、直埋电缆不涉及自然保护区、</w:t>
            </w:r>
            <w:r>
              <w:rPr>
                <w:spacing w:val="-5"/>
              </w:rPr>
              <w:t>风景名胜区、饮用水水源保护区</w:t>
            </w:r>
            <w:r>
              <w:t xml:space="preserve"> </w:t>
            </w:r>
            <w:r>
              <w:rPr>
                <w:spacing w:val="-3"/>
              </w:rPr>
              <w:t>等需要特殊保护的区域，不占用生态保护红线、永久</w:t>
            </w:r>
            <w:r>
              <w:rPr>
                <w:spacing w:val="-4"/>
              </w:rPr>
              <w:t>基本农田、稳定耕地。项目</w:t>
            </w:r>
            <w:r>
              <w:t xml:space="preserve"> </w:t>
            </w:r>
            <w:r>
              <w:rPr>
                <w:spacing w:val="-5"/>
              </w:rPr>
              <w:t>架空线路部分穿越生态保护红线、永久基本农田，集电线路的塔基及直埋电缆不</w:t>
            </w:r>
            <w:r>
              <w:rPr>
                <w:spacing w:val="6"/>
              </w:rPr>
              <w:t xml:space="preserve">  </w:t>
            </w:r>
            <w:r>
              <w:rPr>
                <w:spacing w:val="-2"/>
              </w:rPr>
              <w:t>涉及占用生态保护红线、永久基本农田，项目架空线路部分穿越生态保护红线、</w:t>
            </w:r>
            <w:r>
              <w:rPr>
                <w:spacing w:val="14"/>
              </w:rPr>
              <w:t xml:space="preserve"> </w:t>
            </w:r>
            <w:r>
              <w:rPr>
                <w:spacing w:val="-11"/>
              </w:rPr>
              <w:t>永久基本农田，为无害化穿越，架空线路对植被造成的影响主要为</w:t>
            </w:r>
            <w:r>
              <w:rPr>
                <w:spacing w:val="-12"/>
              </w:rPr>
              <w:t>辐射，根据《环</w:t>
            </w:r>
            <w:r>
              <w:t xml:space="preserve">  </w:t>
            </w:r>
            <w:r>
              <w:rPr>
                <w:spacing w:val="-3"/>
              </w:rPr>
              <w:t>境影响评价技术导则输变电》(HJ24-2020)及《电磁环</w:t>
            </w:r>
            <w:r>
              <w:rPr>
                <w:spacing w:val="-4"/>
              </w:rPr>
              <w:t>境控制限值》</w:t>
            </w:r>
          </w:p>
          <w:p w14:paraId="655C5690">
            <w:pPr>
              <w:pStyle w:val="6"/>
              <w:spacing w:line="216" w:lineRule="auto"/>
              <w:ind w:left="330"/>
            </w:pPr>
            <w:r>
              <w:t>(GB8702-2014),100kV及以下输变电电磁辐射属于豁免范围，本项目35kV</w:t>
            </w:r>
          </w:p>
          <w:p w14:paraId="3AAFC7E2">
            <w:pPr>
              <w:pStyle w:val="6"/>
              <w:spacing w:before="191" w:line="358" w:lineRule="auto"/>
              <w:ind w:left="200" w:right="174" w:firstLine="20"/>
            </w:pPr>
            <w:r>
              <w:t>集电线路产生的辐射对植被的影响甚微，不会影响植</w:t>
            </w:r>
            <w:r>
              <w:rPr>
                <w:spacing w:val="-1"/>
              </w:rPr>
              <w:t>被的生长。项目集电线路</w:t>
            </w:r>
            <w:r>
              <w:t xml:space="preserve"> 选址选线合理。</w:t>
            </w:r>
          </w:p>
          <w:p w14:paraId="599DF4CF">
            <w:pPr>
              <w:pStyle w:val="6"/>
              <w:spacing w:line="219" w:lineRule="auto"/>
              <w:ind w:left="500"/>
            </w:pPr>
            <w:r>
              <w:t>6、施工道路环境选址合理性分析</w:t>
            </w:r>
          </w:p>
          <w:p w14:paraId="1F8B14C3">
            <w:pPr>
              <w:pStyle w:val="6"/>
              <w:spacing w:before="183" w:line="358" w:lineRule="auto"/>
              <w:ind w:left="100" w:firstLine="459"/>
            </w:pPr>
            <w:r>
              <w:rPr>
                <w:spacing w:val="-5"/>
              </w:rPr>
              <w:t>场区周边有多条乡村道路通往场区，交通便利，不进行新建道路</w:t>
            </w:r>
            <w:r>
              <w:rPr>
                <w:spacing w:val="-6"/>
              </w:rPr>
              <w:t>。对部分路面</w:t>
            </w:r>
            <w:r>
              <w:t xml:space="preserve"> 进行改造填平和弯道进行加宽，部分改造后的路面为20c</w:t>
            </w:r>
            <w:r>
              <w:rPr>
                <w:spacing w:val="-1"/>
              </w:rPr>
              <w:t>m石渣路面。</w:t>
            </w:r>
          </w:p>
          <w:p w14:paraId="1593B86B">
            <w:pPr>
              <w:pStyle w:val="6"/>
              <w:spacing w:before="4" w:line="358" w:lineRule="auto"/>
              <w:ind w:left="100" w:firstLine="469"/>
              <w:jc w:val="both"/>
            </w:pPr>
            <w:r>
              <w:rPr>
                <w:spacing w:val="-6"/>
              </w:rPr>
              <w:t>场内交通线路采用施工主线道路与施工支线道路相结合的方式进行布置，施工</w:t>
            </w:r>
            <w:r>
              <w:rPr>
                <w:spacing w:val="18"/>
              </w:rPr>
              <w:t xml:space="preserve"> </w:t>
            </w:r>
            <w:r>
              <w:rPr>
                <w:spacing w:val="-6"/>
              </w:rPr>
              <w:t>主线道路由省道及乡村道路接入，施工支线道路由施工主线道路接入，通到每个光</w:t>
            </w:r>
            <w:r>
              <w:rPr>
                <w:spacing w:val="18"/>
              </w:rPr>
              <w:t xml:space="preserve"> </w:t>
            </w:r>
            <w:r>
              <w:t>伏矩阵及各施工部位。同时考虑尽可能的缩短其与施工</w:t>
            </w:r>
            <w:r>
              <w:rPr>
                <w:spacing w:val="-1"/>
              </w:rPr>
              <w:t>主线道路的距离。</w:t>
            </w:r>
          </w:p>
          <w:p w14:paraId="1AF798AB">
            <w:pPr>
              <w:pStyle w:val="6"/>
              <w:spacing w:before="3" w:line="360" w:lineRule="auto"/>
              <w:ind w:left="90" w:firstLine="483"/>
              <w:jc w:val="both"/>
            </w:pPr>
            <w:r>
              <w:rPr>
                <w:spacing w:val="-9"/>
              </w:rPr>
              <w:t>本工程场内施工道路不涉及环境敏感区，从利用现有道路建设改扩建和优化整</w:t>
            </w:r>
            <w:r>
              <w:rPr>
                <w:spacing w:val="5"/>
              </w:rPr>
              <w:t xml:space="preserve">  </w:t>
            </w:r>
            <w:r>
              <w:rPr>
                <w:spacing w:val="-12"/>
              </w:rPr>
              <w:t>体布置方面，最大限度减少了新建道路边坡开挖造成的水土流失危害及对生态环境、</w:t>
            </w:r>
            <w:r>
              <w:rPr>
                <w:spacing w:val="18"/>
              </w:rPr>
              <w:t xml:space="preserve"> </w:t>
            </w:r>
            <w:r>
              <w:rPr>
                <w:spacing w:val="-8"/>
              </w:rPr>
              <w:t>景观的破坏，同时改善当地交通基础设施。从占用的植被分析，主要占用宜林荒山</w:t>
            </w:r>
            <w:r>
              <w:rPr>
                <w:spacing w:val="13"/>
              </w:rPr>
              <w:t xml:space="preserve"> </w:t>
            </w:r>
            <w:r>
              <w:rPr>
                <w:spacing w:val="-8"/>
              </w:rPr>
              <w:t>荒地，其不利影响可通过采取相应措施加以控制。工程设计已按</w:t>
            </w:r>
            <w:r>
              <w:rPr>
                <w:spacing w:val="-9"/>
              </w:rPr>
              <w:t>相关环保要求，从</w:t>
            </w:r>
            <w:r>
              <w:t xml:space="preserve">  </w:t>
            </w:r>
            <w:r>
              <w:rPr>
                <w:spacing w:val="-8"/>
              </w:rPr>
              <w:t>尽可能减轻生态破坏角度进行优化调整。本报告表也针对道路建设及运</w:t>
            </w:r>
            <w:r>
              <w:rPr>
                <w:spacing w:val="-9"/>
              </w:rPr>
              <w:t>行对生态环</w:t>
            </w:r>
            <w:r>
              <w:t xml:space="preserve">  </w:t>
            </w:r>
            <w:r>
              <w:rPr>
                <w:spacing w:val="-8"/>
              </w:rPr>
              <w:t>境等的不利影响提出相应的环境保护措施。因此，从环境保护的</w:t>
            </w:r>
            <w:r>
              <w:rPr>
                <w:spacing w:val="-9"/>
              </w:rPr>
              <w:t>角度场内道路的选</w:t>
            </w:r>
            <w:r>
              <w:t xml:space="preserve">  </w:t>
            </w:r>
            <w:r>
              <w:rPr>
                <w:spacing w:val="-3"/>
              </w:rPr>
              <w:t>线基本环境可行。</w:t>
            </w:r>
          </w:p>
          <w:p w14:paraId="68EB13E7">
            <w:pPr>
              <w:pStyle w:val="6"/>
              <w:spacing w:line="220" w:lineRule="auto"/>
              <w:ind w:left="94"/>
            </w:pPr>
            <w:r>
              <w:rPr>
                <w:b/>
                <w:bCs/>
                <w:spacing w:val="-4"/>
              </w:rPr>
              <w:t>二、施工“三场”选址的环境合理性分析</w:t>
            </w:r>
          </w:p>
          <w:p w14:paraId="68A6BE42">
            <w:pPr>
              <w:pStyle w:val="6"/>
              <w:spacing w:before="187" w:line="220" w:lineRule="auto"/>
              <w:ind w:left="681"/>
            </w:pPr>
            <w:r>
              <w:t>(1)取料场规划合理性分析</w:t>
            </w:r>
          </w:p>
          <w:p w14:paraId="44A5FD8C">
            <w:pPr>
              <w:pStyle w:val="6"/>
              <w:spacing w:before="182" w:line="219" w:lineRule="auto"/>
              <w:ind w:left="570"/>
            </w:pPr>
            <w:r>
              <w:t>本工程所需的砂石骨料拟通过外购的方式解决，不设置取料场。</w:t>
            </w:r>
          </w:p>
          <w:p w14:paraId="38221BC4">
            <w:pPr>
              <w:pStyle w:val="6"/>
              <w:spacing w:before="177" w:line="219" w:lineRule="auto"/>
              <w:ind w:left="640"/>
            </w:pPr>
            <w:r>
              <w:t>(2)弃渣场、临时表土堆场选址合理性分析</w:t>
            </w:r>
          </w:p>
        </w:tc>
      </w:tr>
    </w:tbl>
    <w:p w14:paraId="7D374C2B">
      <w:pPr>
        <w:pStyle w:val="2"/>
      </w:pPr>
    </w:p>
    <w:p w14:paraId="3D4D1664">
      <w:pPr>
        <w:sectPr>
          <w:footerReference r:id="rId115" w:type="default"/>
          <w:pgSz w:w="11910" w:h="16840"/>
          <w:pgMar w:top="1431" w:right="1484" w:bottom="1255" w:left="1445" w:header="0" w:footer="1093" w:gutter="0"/>
          <w:cols w:space="720" w:num="1"/>
        </w:sectPr>
      </w:pPr>
    </w:p>
    <w:p w14:paraId="16629369">
      <w:pPr>
        <w:spacing w:line="93" w:lineRule="exact"/>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4"/>
        <w:gridCol w:w="8575"/>
      </w:tblGrid>
      <w:tr w14:paraId="22D7A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9" w:hRule="atLeast"/>
        </w:trPr>
        <w:tc>
          <w:tcPr>
            <w:tcW w:w="404" w:type="dxa"/>
            <w:vAlign w:val="top"/>
          </w:tcPr>
          <w:p w14:paraId="26CC09E0">
            <w:pPr>
              <w:rPr>
                <w:rFonts w:ascii="Arial"/>
                <w:sz w:val="21"/>
              </w:rPr>
            </w:pPr>
          </w:p>
        </w:tc>
        <w:tc>
          <w:tcPr>
            <w:tcW w:w="8575" w:type="dxa"/>
            <w:vAlign w:val="top"/>
          </w:tcPr>
          <w:p w14:paraId="6D37E564">
            <w:pPr>
              <w:pStyle w:val="6"/>
              <w:spacing w:before="27" w:line="358" w:lineRule="auto"/>
              <w:ind w:left="90" w:right="42" w:firstLine="499"/>
              <w:jc w:val="both"/>
            </w:pPr>
            <w:r>
              <w:t>项目施工期间不产生废弃方，项目不设置弃渣场。根据水土保持方案，升压</w:t>
            </w:r>
            <w:r>
              <w:rPr>
                <w:spacing w:val="10"/>
              </w:rPr>
              <w:t xml:space="preserve"> </w:t>
            </w:r>
            <w:r>
              <w:rPr>
                <w:spacing w:val="7"/>
              </w:rPr>
              <w:t>站表土集中堆存于升压站一角，占地面积0.01</w:t>
            </w:r>
            <w:r>
              <w:t>hm</w:t>
            </w:r>
            <w:r>
              <w:rPr>
                <w:spacing w:val="7"/>
              </w:rPr>
              <w:t>²,容量0.02万m³;集电线路区</w:t>
            </w:r>
            <w:r>
              <w:rPr>
                <w:spacing w:val="3"/>
              </w:rPr>
              <w:t xml:space="preserve">  </w:t>
            </w:r>
            <w:r>
              <w:t>开挖的表土即挖即填，不布设集中表土堆存场。表土堆场的设置采取就近原则， 在靠近表土开挖场地进行堆放，尽量选用项目区占地范围内的土地，且施工时候</w:t>
            </w:r>
            <w:r>
              <w:rPr>
                <w:spacing w:val="10"/>
              </w:rPr>
              <w:t xml:space="preserve"> </w:t>
            </w:r>
            <w:r>
              <w:t>采取边开挖边回填，施工结束后恢复临时表土堆场的土地类型。</w:t>
            </w:r>
          </w:p>
          <w:p w14:paraId="668AD244">
            <w:pPr>
              <w:pStyle w:val="6"/>
              <w:spacing w:line="219" w:lineRule="auto"/>
              <w:ind w:left="620"/>
            </w:pPr>
            <w:r>
              <w:t>(3)施工生产、生活区选址合理性分析</w:t>
            </w:r>
          </w:p>
          <w:p w14:paraId="18B31C2D">
            <w:pPr>
              <w:pStyle w:val="6"/>
              <w:spacing w:before="193" w:line="359" w:lineRule="auto"/>
              <w:ind w:left="90" w:right="40" w:firstLine="499"/>
            </w:pPr>
            <w:r>
              <w:t>场址内不设置施工营地，施工人员在施工场地周边农</w:t>
            </w:r>
            <w:r>
              <w:rPr>
                <w:spacing w:val="-1"/>
              </w:rPr>
              <w:t>村租用房屋居住，升压</w:t>
            </w:r>
            <w:r>
              <w:t xml:space="preserve"> </w:t>
            </w:r>
            <w:r>
              <w:rPr>
                <w:spacing w:val="1"/>
              </w:rPr>
              <w:t>站及塔基土建用混凝土为外购商品混凝土。光伏板支架桩及箱变基础用混</w:t>
            </w:r>
            <w:r>
              <w:t>凝土在 场地内自行拌合。不设置混凝土拌合站。光伏支架等安装材料在施工场地周边集</w:t>
            </w:r>
            <w:r>
              <w:rPr>
                <w:spacing w:val="10"/>
              </w:rPr>
              <w:t xml:space="preserve"> </w:t>
            </w:r>
            <w:r>
              <w:t>镇租用仓库暂存。因此，选址从环境的角度分析是可行</w:t>
            </w:r>
            <w:r>
              <w:rPr>
                <w:spacing w:val="-1"/>
              </w:rPr>
              <w:t>的。</w:t>
            </w:r>
          </w:p>
          <w:p w14:paraId="2DEA9B93">
            <w:pPr>
              <w:pStyle w:val="6"/>
              <w:spacing w:line="218" w:lineRule="auto"/>
              <w:ind w:left="94"/>
            </w:pPr>
            <w:r>
              <w:rPr>
                <w:b/>
                <w:bCs/>
                <w:spacing w:val="-4"/>
              </w:rPr>
              <w:t>三、平面布置合理性分析</w:t>
            </w:r>
          </w:p>
          <w:p w14:paraId="1B475E3F">
            <w:pPr>
              <w:pStyle w:val="6"/>
              <w:spacing w:before="194" w:line="214" w:lineRule="auto"/>
              <w:ind w:left="590"/>
            </w:pPr>
            <w:r>
              <w:t>本工程项目建设规模为180MW,拟采用630Wp组件选用组串式逆变器方案。</w:t>
            </w:r>
          </w:p>
          <w:p w14:paraId="412D4CE5">
            <w:pPr>
              <w:pStyle w:val="6"/>
              <w:spacing w:before="176" w:line="358" w:lineRule="auto"/>
              <w:ind w:left="120" w:right="277" w:hanging="10"/>
            </w:pPr>
            <w:r>
              <w:t>项目由51个光伏方阵组成，按照农光互补要求，光伏支架最低端离地高度不低</w:t>
            </w:r>
            <w:r>
              <w:rPr>
                <w:spacing w:val="15"/>
              </w:rPr>
              <w:t xml:space="preserve"> </w:t>
            </w:r>
            <w:r>
              <w:t>于2.5m。拟在场址中部建设220kV升压站1座，以4回35KV集电线路汇集光伏</w:t>
            </w:r>
          </w:p>
          <w:p w14:paraId="3820E008">
            <w:pPr>
              <w:pStyle w:val="6"/>
              <w:spacing w:before="4" w:line="358" w:lineRule="auto"/>
              <w:ind w:left="90" w:right="33" w:firstLine="40"/>
              <w:jc w:val="both"/>
            </w:pPr>
            <w:r>
              <w:t>电力至220kV升压站，集电线路采用直埋及桥架相结合的敷设方式。场区内的道</w:t>
            </w:r>
            <w:r>
              <w:rPr>
                <w:spacing w:val="5"/>
              </w:rPr>
              <w:t xml:space="preserve">  </w:t>
            </w:r>
            <w:r>
              <w:rPr>
                <w:spacing w:val="1"/>
              </w:rPr>
              <w:t>路根据地形及光伏板矩阵布置设置，尽量利用现有道路，其它道路设置满足厂区</w:t>
            </w:r>
            <w:r>
              <w:rPr>
                <w:spacing w:val="4"/>
              </w:rPr>
              <w:t xml:space="preserve"> </w:t>
            </w:r>
            <w:r>
              <w:t>交通运输需求，且坡度不宜过大。</w:t>
            </w:r>
          </w:p>
          <w:p w14:paraId="51645219">
            <w:pPr>
              <w:pStyle w:val="6"/>
              <w:spacing w:before="2" w:line="366" w:lineRule="auto"/>
              <w:ind w:left="100" w:right="43" w:firstLine="489"/>
              <w:jc w:val="both"/>
            </w:pPr>
            <w:r>
              <w:t>本项目的布置综合考虑了工程特性及地形条件，避开环境敏感因素，避让较</w:t>
            </w:r>
            <w:r>
              <w:rPr>
                <w:spacing w:val="9"/>
              </w:rPr>
              <w:t xml:space="preserve"> </w:t>
            </w:r>
            <w:r>
              <w:t>好的植被区，满足《云南省能源局关于进一步支持光伏扶贫和规范光伏发电产业 用地的通知》等政策的要求，项目平面布置合理可</w:t>
            </w:r>
            <w:r>
              <w:rPr>
                <w:spacing w:val="-1"/>
              </w:rPr>
              <w:t>行。</w:t>
            </w:r>
          </w:p>
        </w:tc>
      </w:tr>
    </w:tbl>
    <w:p w14:paraId="4CDDC8D1">
      <w:pPr>
        <w:pStyle w:val="2"/>
      </w:pPr>
    </w:p>
    <w:p w14:paraId="6BADB770">
      <w:pPr>
        <w:sectPr>
          <w:footerReference r:id="rId116" w:type="default"/>
          <w:pgSz w:w="11910" w:h="16840"/>
          <w:pgMar w:top="1431" w:right="1475" w:bottom="1253" w:left="1445" w:header="0" w:footer="1091" w:gutter="0"/>
          <w:cols w:space="720" w:num="1"/>
        </w:sectPr>
      </w:pPr>
    </w:p>
    <w:p w14:paraId="21ABF853">
      <w:pPr>
        <w:pStyle w:val="2"/>
        <w:spacing w:line="309" w:lineRule="auto"/>
      </w:pPr>
    </w:p>
    <w:p w14:paraId="1F0EB4BC">
      <w:pPr>
        <w:spacing w:before="101" w:line="220" w:lineRule="auto"/>
        <w:ind w:left="2684"/>
        <w:outlineLvl w:val="0"/>
        <w:rPr>
          <w:rFonts w:ascii="宋体" w:hAnsi="宋体" w:eastAsia="宋体" w:cs="宋体"/>
          <w:sz w:val="31"/>
          <w:szCs w:val="31"/>
        </w:rPr>
      </w:pPr>
      <w:bookmarkStart w:id="8" w:name="bookmark5"/>
      <w:bookmarkEnd w:id="8"/>
      <w:r>
        <w:rPr>
          <w:rFonts w:ascii="宋体" w:hAnsi="宋体" w:eastAsia="宋体" w:cs="宋体"/>
          <w:spacing w:val="-7"/>
          <w:sz w:val="31"/>
          <w:szCs w:val="31"/>
        </w:rPr>
        <w:t>五、主要生态环境保护措施</w:t>
      </w:r>
    </w:p>
    <w:p w14:paraId="1B4C9C9D">
      <w:pPr>
        <w:spacing w:before="10"/>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8255"/>
      </w:tblGrid>
      <w:tr w14:paraId="57937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0" w:hRule="atLeast"/>
        </w:trPr>
        <w:tc>
          <w:tcPr>
            <w:tcW w:w="724" w:type="dxa"/>
            <w:vAlign w:val="top"/>
          </w:tcPr>
          <w:p w14:paraId="51FCB061">
            <w:pPr>
              <w:spacing w:line="249" w:lineRule="auto"/>
              <w:rPr>
                <w:rFonts w:ascii="Arial"/>
                <w:sz w:val="21"/>
              </w:rPr>
            </w:pPr>
          </w:p>
          <w:p w14:paraId="2C079663">
            <w:pPr>
              <w:spacing w:line="249" w:lineRule="auto"/>
              <w:rPr>
                <w:rFonts w:ascii="Arial"/>
                <w:sz w:val="21"/>
              </w:rPr>
            </w:pPr>
          </w:p>
          <w:p w14:paraId="0F01E0EB">
            <w:pPr>
              <w:spacing w:line="249" w:lineRule="auto"/>
              <w:rPr>
                <w:rFonts w:ascii="Arial"/>
                <w:sz w:val="21"/>
              </w:rPr>
            </w:pPr>
          </w:p>
          <w:p w14:paraId="23B79B46">
            <w:pPr>
              <w:spacing w:line="249" w:lineRule="auto"/>
              <w:rPr>
                <w:rFonts w:ascii="Arial"/>
                <w:sz w:val="21"/>
              </w:rPr>
            </w:pPr>
          </w:p>
          <w:p w14:paraId="1DBB3AF8">
            <w:pPr>
              <w:spacing w:line="249" w:lineRule="auto"/>
              <w:rPr>
                <w:rFonts w:ascii="Arial"/>
                <w:sz w:val="21"/>
              </w:rPr>
            </w:pPr>
          </w:p>
          <w:p w14:paraId="397633DB">
            <w:pPr>
              <w:spacing w:line="249" w:lineRule="auto"/>
              <w:rPr>
                <w:rFonts w:ascii="Arial"/>
                <w:sz w:val="21"/>
              </w:rPr>
            </w:pPr>
          </w:p>
          <w:p w14:paraId="189E9FA7">
            <w:pPr>
              <w:spacing w:line="249" w:lineRule="auto"/>
              <w:rPr>
                <w:rFonts w:ascii="Arial"/>
                <w:sz w:val="21"/>
              </w:rPr>
            </w:pPr>
          </w:p>
          <w:p w14:paraId="2CAAF792">
            <w:pPr>
              <w:spacing w:line="249" w:lineRule="auto"/>
              <w:rPr>
                <w:rFonts w:ascii="Arial"/>
                <w:sz w:val="21"/>
              </w:rPr>
            </w:pPr>
          </w:p>
          <w:p w14:paraId="570748A4">
            <w:pPr>
              <w:spacing w:line="249" w:lineRule="auto"/>
              <w:rPr>
                <w:rFonts w:ascii="Arial"/>
                <w:sz w:val="21"/>
              </w:rPr>
            </w:pPr>
          </w:p>
          <w:p w14:paraId="1938A203">
            <w:pPr>
              <w:spacing w:line="249" w:lineRule="auto"/>
              <w:rPr>
                <w:rFonts w:ascii="Arial"/>
                <w:sz w:val="21"/>
              </w:rPr>
            </w:pPr>
          </w:p>
          <w:p w14:paraId="075C7377">
            <w:pPr>
              <w:spacing w:line="249" w:lineRule="auto"/>
              <w:rPr>
                <w:rFonts w:ascii="Arial"/>
                <w:sz w:val="21"/>
              </w:rPr>
            </w:pPr>
          </w:p>
          <w:p w14:paraId="1C293AB2">
            <w:pPr>
              <w:spacing w:line="249" w:lineRule="auto"/>
              <w:rPr>
                <w:rFonts w:ascii="Arial"/>
                <w:sz w:val="21"/>
              </w:rPr>
            </w:pPr>
          </w:p>
          <w:p w14:paraId="1628E882">
            <w:pPr>
              <w:spacing w:line="250" w:lineRule="auto"/>
              <w:rPr>
                <w:rFonts w:ascii="Arial"/>
                <w:sz w:val="21"/>
              </w:rPr>
            </w:pPr>
          </w:p>
          <w:p w14:paraId="2A74A24D">
            <w:pPr>
              <w:spacing w:line="250" w:lineRule="auto"/>
              <w:rPr>
                <w:rFonts w:ascii="Arial"/>
                <w:sz w:val="21"/>
              </w:rPr>
            </w:pPr>
          </w:p>
          <w:p w14:paraId="050E9C95">
            <w:pPr>
              <w:spacing w:line="250" w:lineRule="auto"/>
              <w:rPr>
                <w:rFonts w:ascii="Arial"/>
                <w:sz w:val="21"/>
              </w:rPr>
            </w:pPr>
          </w:p>
          <w:p w14:paraId="179FE0B6">
            <w:pPr>
              <w:spacing w:line="250" w:lineRule="auto"/>
              <w:rPr>
                <w:rFonts w:ascii="Arial"/>
                <w:sz w:val="21"/>
              </w:rPr>
            </w:pPr>
          </w:p>
          <w:p w14:paraId="2A3A2759">
            <w:pPr>
              <w:spacing w:line="250" w:lineRule="auto"/>
              <w:rPr>
                <w:rFonts w:ascii="Arial"/>
                <w:sz w:val="21"/>
              </w:rPr>
            </w:pPr>
          </w:p>
          <w:p w14:paraId="012B5A9A">
            <w:pPr>
              <w:spacing w:line="250" w:lineRule="auto"/>
              <w:rPr>
                <w:rFonts w:ascii="Arial"/>
                <w:sz w:val="21"/>
              </w:rPr>
            </w:pPr>
          </w:p>
          <w:p w14:paraId="22D9C809">
            <w:pPr>
              <w:spacing w:line="250" w:lineRule="auto"/>
              <w:rPr>
                <w:rFonts w:ascii="Arial"/>
                <w:sz w:val="21"/>
              </w:rPr>
            </w:pPr>
          </w:p>
          <w:p w14:paraId="3468BFFD">
            <w:pPr>
              <w:spacing w:line="250" w:lineRule="auto"/>
              <w:rPr>
                <w:rFonts w:ascii="Arial"/>
                <w:sz w:val="21"/>
              </w:rPr>
            </w:pPr>
          </w:p>
          <w:p w14:paraId="221F0096">
            <w:pPr>
              <w:spacing w:line="250" w:lineRule="auto"/>
              <w:rPr>
                <w:rFonts w:ascii="Arial"/>
                <w:sz w:val="21"/>
              </w:rPr>
            </w:pPr>
          </w:p>
          <w:p w14:paraId="379C65B4">
            <w:pPr>
              <w:pStyle w:val="6"/>
              <w:spacing w:before="78" w:line="222" w:lineRule="auto"/>
              <w:ind w:left="114"/>
            </w:pPr>
            <w:r>
              <w:rPr>
                <w:spacing w:val="6"/>
              </w:rPr>
              <w:t>施工</w:t>
            </w:r>
          </w:p>
          <w:p w14:paraId="7FA1A225">
            <w:pPr>
              <w:pStyle w:val="6"/>
              <w:spacing w:before="8" w:line="220" w:lineRule="auto"/>
              <w:ind w:left="114"/>
            </w:pPr>
            <w:r>
              <w:rPr>
                <w:spacing w:val="5"/>
              </w:rPr>
              <w:t>期生</w:t>
            </w:r>
          </w:p>
          <w:p w14:paraId="3B7594E8">
            <w:pPr>
              <w:pStyle w:val="6"/>
              <w:spacing w:before="36" w:line="221" w:lineRule="auto"/>
              <w:ind w:left="114"/>
            </w:pPr>
            <w:r>
              <w:rPr>
                <w:spacing w:val="6"/>
              </w:rPr>
              <w:t>态环</w:t>
            </w:r>
          </w:p>
          <w:p w14:paraId="3DED9CF5">
            <w:pPr>
              <w:pStyle w:val="6"/>
              <w:spacing w:before="20" w:line="220" w:lineRule="auto"/>
              <w:ind w:left="114"/>
            </w:pPr>
            <w:r>
              <w:rPr>
                <w:spacing w:val="-3"/>
              </w:rPr>
              <w:t>境保</w:t>
            </w:r>
          </w:p>
          <w:p w14:paraId="090EE5C2">
            <w:pPr>
              <w:pStyle w:val="6"/>
              <w:spacing w:before="14" w:line="220" w:lineRule="auto"/>
              <w:ind w:left="114"/>
            </w:pPr>
            <w:r>
              <w:rPr>
                <w:spacing w:val="6"/>
              </w:rPr>
              <w:t>护措</w:t>
            </w:r>
          </w:p>
          <w:p w14:paraId="38B91928">
            <w:pPr>
              <w:pStyle w:val="6"/>
              <w:spacing w:before="37" w:line="222" w:lineRule="auto"/>
              <w:ind w:left="234"/>
            </w:pPr>
            <w:r>
              <w:t>施</w:t>
            </w:r>
          </w:p>
        </w:tc>
        <w:tc>
          <w:tcPr>
            <w:tcW w:w="8255" w:type="dxa"/>
            <w:vAlign w:val="top"/>
          </w:tcPr>
          <w:p w14:paraId="729E0961">
            <w:pPr>
              <w:pStyle w:val="6"/>
              <w:spacing w:before="42" w:line="220" w:lineRule="auto"/>
              <w:ind w:left="94"/>
            </w:pPr>
            <w:r>
              <w:rPr>
                <w:b/>
                <w:bCs/>
                <w:spacing w:val="-5"/>
              </w:rPr>
              <w:t>一、施工期生态环境保护措施</w:t>
            </w:r>
          </w:p>
          <w:p w14:paraId="63007822">
            <w:pPr>
              <w:pStyle w:val="6"/>
              <w:spacing w:before="23" w:line="219" w:lineRule="auto"/>
              <w:ind w:left="724"/>
            </w:pPr>
            <w:r>
              <w:rPr>
                <w:b/>
                <w:bCs/>
                <w:spacing w:val="-3"/>
              </w:rPr>
              <w:t>(1)植物与植被保护措施</w:t>
            </w:r>
          </w:p>
          <w:p w14:paraId="72C80B02">
            <w:pPr>
              <w:pStyle w:val="6"/>
              <w:spacing w:before="198" w:line="219" w:lineRule="auto"/>
              <w:ind w:left="600"/>
            </w:pPr>
            <w:r>
              <w:t>在施工过程中，为保护工程区内的生态环境，在环境管理体系指导</w:t>
            </w:r>
            <w:r>
              <w:rPr>
                <w:spacing w:val="-1"/>
              </w:rPr>
              <w:t>下，</w:t>
            </w:r>
          </w:p>
          <w:p w14:paraId="1D07CB2B">
            <w:pPr>
              <w:pStyle w:val="6"/>
              <w:spacing w:before="175" w:line="354" w:lineRule="auto"/>
              <w:ind w:left="111"/>
            </w:pPr>
            <w:r>
              <w:rPr>
                <w:spacing w:val="-1"/>
              </w:rPr>
              <w:t>施工期进行精密设计，尽量少占用土地，减少施工工期和施工范围，以</w:t>
            </w:r>
            <w:r>
              <w:rPr>
                <w:spacing w:val="-2"/>
              </w:rPr>
              <w:t>减轻</w:t>
            </w:r>
            <w:r>
              <w:t xml:space="preserve">   </w:t>
            </w:r>
            <w:r>
              <w:rPr>
                <w:spacing w:val="-1"/>
              </w:rPr>
              <w:t>施工对周围自然植被、地形地貌等环境的影响。具体采取以下生态保护措施：</w:t>
            </w:r>
          </w:p>
          <w:p w14:paraId="21333886">
            <w:pPr>
              <w:pStyle w:val="6"/>
              <w:spacing w:line="220" w:lineRule="auto"/>
              <w:ind w:left="600"/>
            </w:pPr>
            <w:r>
              <w:t>1)绿化和防护工程应与主体工程同时设计。</w:t>
            </w:r>
          </w:p>
          <w:p w14:paraId="5FD662C2">
            <w:pPr>
              <w:pStyle w:val="6"/>
              <w:spacing w:before="182" w:line="328" w:lineRule="auto"/>
              <w:ind w:left="111" w:right="224" w:firstLine="449"/>
            </w:pPr>
            <w:r>
              <w:t>2)加强施工管理和环境宣传，对施工人员进行环境教育及有关法律、法</w:t>
            </w:r>
            <w:r>
              <w:rPr>
                <w:spacing w:val="7"/>
              </w:rPr>
              <w:t xml:space="preserve"> </w:t>
            </w:r>
            <w:r>
              <w:t>规的宣传教育及培训，提高施工人员的环保意识</w:t>
            </w:r>
            <w:r>
              <w:rPr>
                <w:spacing w:val="-1"/>
              </w:rPr>
              <w:t>。将环境保护要求纳入工程</w:t>
            </w:r>
            <w:r>
              <w:t xml:space="preserve"> 招标中，建设单位应严格按设计进行施工范围的</w:t>
            </w:r>
            <w:r>
              <w:rPr>
                <w:spacing w:val="-1"/>
              </w:rPr>
              <w:t>划定，禁止超计划占用土地</w:t>
            </w:r>
            <w:r>
              <w:t xml:space="preserve"> 和破坏植被。对于被占用的土地，应按相关规定办理合法手</w:t>
            </w:r>
            <w:r>
              <w:rPr>
                <w:spacing w:val="-1"/>
              </w:rPr>
              <w:t>续。</w:t>
            </w:r>
          </w:p>
          <w:p w14:paraId="549BCE00">
            <w:pPr>
              <w:pStyle w:val="6"/>
              <w:spacing w:before="165" w:line="219" w:lineRule="auto"/>
              <w:ind w:left="590"/>
            </w:pPr>
            <w:r>
              <w:t>3)施工结束后须清理场地，及时清除施工废料，及时拆除临时建筑，清</w:t>
            </w:r>
          </w:p>
          <w:p w14:paraId="06BE67E1">
            <w:pPr>
              <w:pStyle w:val="6"/>
              <w:spacing w:before="174" w:line="298" w:lineRule="auto"/>
              <w:ind w:left="110" w:hanging="9"/>
            </w:pPr>
            <w:r>
              <w:rPr>
                <w:spacing w:val="-14"/>
              </w:rPr>
              <w:t>理和平整场地，恢复土层，采用当地植物进行“恢复性”种植，然后采取“封育”</w:t>
            </w:r>
            <w:r>
              <w:rPr>
                <w:spacing w:val="6"/>
              </w:rPr>
              <w:t xml:space="preserve"> </w:t>
            </w:r>
            <w:r>
              <w:rPr>
                <w:spacing w:val="-6"/>
              </w:rPr>
              <w:t>手段，促进自然恢复。</w:t>
            </w:r>
          </w:p>
          <w:p w14:paraId="51DB66D8">
            <w:pPr>
              <w:pStyle w:val="6"/>
              <w:spacing w:before="177" w:line="291" w:lineRule="auto"/>
              <w:ind w:left="111" w:right="252" w:firstLine="449"/>
            </w:pPr>
            <w:r>
              <w:t>4)进一步优化施工布局，尽量缩短路线长度和高</w:t>
            </w:r>
            <w:r>
              <w:rPr>
                <w:spacing w:val="-1"/>
              </w:rPr>
              <w:t>大边坡，减少临时用地</w:t>
            </w:r>
            <w:r>
              <w:t xml:space="preserve"> </w:t>
            </w:r>
            <w:r>
              <w:rPr>
                <w:spacing w:val="-1"/>
              </w:rPr>
              <w:t>面积。</w:t>
            </w:r>
          </w:p>
          <w:p w14:paraId="3E977949">
            <w:pPr>
              <w:pStyle w:val="6"/>
              <w:spacing w:before="172" w:line="328" w:lineRule="auto"/>
              <w:ind w:left="111" w:right="190" w:firstLine="479"/>
            </w:pPr>
            <w:r>
              <w:t>5)施工期制定生态环境管理，通过管理规定和制度化，禁止施工人员砍</w:t>
            </w:r>
            <w:r>
              <w:rPr>
                <w:spacing w:val="8"/>
              </w:rPr>
              <w:t xml:space="preserve"> </w:t>
            </w:r>
            <w:r>
              <w:t>伐施工界限范围外的树木，禁止到非施工区活动，施工区</w:t>
            </w:r>
            <w:r>
              <w:rPr>
                <w:spacing w:val="-1"/>
              </w:rPr>
              <w:t>严格烟火管理，防</w:t>
            </w:r>
            <w:r>
              <w:t xml:space="preserve"> </w:t>
            </w:r>
            <w:r>
              <w:rPr>
                <w:spacing w:val="1"/>
              </w:rPr>
              <w:t>止森林火灾的发生，杜绝施工人员对施工区和其他</w:t>
            </w:r>
            <w:r>
              <w:t>地区植物的破坏，减轻工 程施工对植物的影响。</w:t>
            </w:r>
          </w:p>
          <w:p w14:paraId="60176365">
            <w:pPr>
              <w:pStyle w:val="6"/>
              <w:spacing w:before="175" w:line="286" w:lineRule="auto"/>
              <w:ind w:left="111" w:right="203" w:firstLine="479"/>
            </w:pPr>
            <w:r>
              <w:t>6)征地范围内地被植物清理时，应请林业部门参与，发现珍稀植物，应</w:t>
            </w:r>
            <w:r>
              <w:rPr>
                <w:spacing w:val="9"/>
              </w:rPr>
              <w:t xml:space="preserve"> </w:t>
            </w:r>
            <w:r>
              <w:t>采取相应措施妥善保护。</w:t>
            </w:r>
          </w:p>
          <w:p w14:paraId="7B3918E3">
            <w:pPr>
              <w:pStyle w:val="6"/>
              <w:spacing w:before="186" w:line="286" w:lineRule="auto"/>
              <w:ind w:left="111" w:right="203" w:firstLine="479"/>
            </w:pPr>
            <w:r>
              <w:t>7)根据《云南省自然资源厅云南省能源局关于进一步支持光伏扶贫和规</w:t>
            </w:r>
            <w:r>
              <w:rPr>
                <w:spacing w:val="9"/>
              </w:rPr>
              <w:t xml:space="preserve"> </w:t>
            </w:r>
            <w:r>
              <w:rPr>
                <w:spacing w:val="1"/>
              </w:rPr>
              <w:t>范光伏发电产业用地的通知》(云自然资〔2019〕196号):“光伏复合项目</w:t>
            </w:r>
          </w:p>
          <w:p w14:paraId="2258A200">
            <w:pPr>
              <w:pStyle w:val="6"/>
              <w:spacing w:before="196" w:line="287" w:lineRule="auto"/>
              <w:ind w:left="111" w:right="199"/>
            </w:pPr>
            <w:r>
              <w:t>架设在一般耕地或其他农用地上的光伏方阵用地，满足光伏组件最低沿高于</w:t>
            </w:r>
            <w:r>
              <w:rPr>
                <w:spacing w:val="12"/>
              </w:rPr>
              <w:t xml:space="preserve"> </w:t>
            </w:r>
            <w:r>
              <w:t>地面2.5米、高于最高水位0.6米，桩基间列间距大于4米，行间距大于6.5</w:t>
            </w:r>
          </w:p>
          <w:p w14:paraId="115B092C">
            <w:pPr>
              <w:pStyle w:val="6"/>
              <w:spacing w:before="174" w:line="290" w:lineRule="auto"/>
              <w:ind w:left="121" w:right="191"/>
            </w:pPr>
            <w:r>
              <w:t>米的架设要求；除桩基用地外，严禁硬化地面(场内施工检修道路按土路设</w:t>
            </w:r>
            <w:r>
              <w:rPr>
                <w:spacing w:val="5"/>
              </w:rPr>
              <w:t xml:space="preserve">  </w:t>
            </w:r>
            <w:r>
              <w:t>计)”。建设单位应严格按照云自然资〔2019〕196号的要求架设光伏组件为</w:t>
            </w:r>
          </w:p>
        </w:tc>
      </w:tr>
    </w:tbl>
    <w:p w14:paraId="1FA39056">
      <w:pPr>
        <w:pStyle w:val="2"/>
      </w:pPr>
    </w:p>
    <w:p w14:paraId="4731E501">
      <w:pPr>
        <w:sectPr>
          <w:footerReference r:id="rId117" w:type="default"/>
          <w:pgSz w:w="11910" w:h="16840"/>
          <w:pgMar w:top="1431" w:right="1475" w:bottom="1253" w:left="1445" w:header="0" w:footer="1091" w:gutter="0"/>
          <w:cols w:space="720" w:num="1"/>
        </w:sectPr>
      </w:pPr>
    </w:p>
    <w:p w14:paraId="76EC13B6">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48DD1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734" w:type="dxa"/>
            <w:vAlign w:val="top"/>
          </w:tcPr>
          <w:p w14:paraId="34686D82">
            <w:pPr>
              <w:rPr>
                <w:rFonts w:ascii="Arial"/>
                <w:sz w:val="21"/>
              </w:rPr>
            </w:pPr>
          </w:p>
        </w:tc>
        <w:tc>
          <w:tcPr>
            <w:tcW w:w="8236" w:type="dxa"/>
            <w:vAlign w:val="top"/>
          </w:tcPr>
          <w:p w14:paraId="5C5E2EE7">
            <w:pPr>
              <w:pStyle w:val="6"/>
              <w:spacing w:before="22" w:line="360" w:lineRule="auto"/>
              <w:ind w:left="81" w:firstLine="29"/>
            </w:pPr>
            <w:r>
              <w:rPr>
                <w:spacing w:val="-1"/>
              </w:rPr>
              <w:t>农业种植留有合理的空间，为光伏复合项目实施提</w:t>
            </w:r>
            <w:r>
              <w:rPr>
                <w:spacing w:val="-2"/>
              </w:rPr>
              <w:t>供了基本条件。除此之外，</w:t>
            </w:r>
            <w:r>
              <w:t xml:space="preserve"> 农光互补方案应结合项目场址的土壤情况、气候特性、当地习俗以及市场需   求，具体考虑可种植的植物种类和种植方式。光伏电站在具备进</w:t>
            </w:r>
            <w:r>
              <w:rPr>
                <w:spacing w:val="-1"/>
              </w:rPr>
              <w:t>行农业种植</w:t>
            </w:r>
            <w:r>
              <w:t xml:space="preserve">   的基本条件基础之上，可完善农业灌溉等所必须的给水管网等配</w:t>
            </w:r>
            <w:r>
              <w:rPr>
                <w:spacing w:val="-1"/>
              </w:rPr>
              <w:t>套设施，并</w:t>
            </w:r>
            <w:r>
              <w:t xml:space="preserve">   </w:t>
            </w:r>
            <w:r>
              <w:rPr>
                <w:spacing w:val="-1"/>
              </w:rPr>
              <w:t>委托专业农业公司进行农业种植，或将光伏阵列内可用于农业种植的土地进</w:t>
            </w:r>
            <w:r>
              <w:rPr>
                <w:spacing w:val="3"/>
              </w:rPr>
              <w:t xml:space="preserve">   </w:t>
            </w:r>
            <w:r>
              <w:t xml:space="preserve">行出租，允许农业公司或个人进行种植，已实现光伏电站与企业或个人的双   </w:t>
            </w:r>
            <w:r>
              <w:rPr>
                <w:spacing w:val="-1"/>
              </w:rPr>
              <w:t>赢。</w:t>
            </w:r>
          </w:p>
          <w:p w14:paraId="434C6F43">
            <w:pPr>
              <w:pStyle w:val="6"/>
              <w:spacing w:before="3" w:line="220" w:lineRule="auto"/>
              <w:ind w:left="694"/>
            </w:pPr>
            <w:r>
              <w:rPr>
                <w:b/>
                <w:bCs/>
                <w:spacing w:val="-3"/>
              </w:rPr>
              <w:t>(2)野生动物保护措施</w:t>
            </w:r>
          </w:p>
          <w:p w14:paraId="234495DC">
            <w:pPr>
              <w:pStyle w:val="6"/>
              <w:spacing w:before="183" w:line="360" w:lineRule="auto"/>
              <w:ind w:left="91" w:right="193" w:firstLine="509"/>
              <w:jc w:val="both"/>
            </w:pPr>
            <w:r>
              <w:t>评价区内的陆生脊椎动物主要以园地、林地、慌</w:t>
            </w:r>
            <w:r>
              <w:rPr>
                <w:spacing w:val="-1"/>
              </w:rPr>
              <w:t>草地作为栖息地。为保</w:t>
            </w:r>
            <w:r>
              <w:t xml:space="preserve"> 护好野生动物的栖息环境，减少施工建设对野生动物的影响，主要从以下几</w:t>
            </w:r>
            <w:r>
              <w:rPr>
                <w:spacing w:val="8"/>
              </w:rPr>
              <w:t xml:space="preserve"> </w:t>
            </w:r>
            <w:r>
              <w:rPr>
                <w:spacing w:val="-1"/>
              </w:rPr>
              <w:t>个方面进行保护：</w:t>
            </w:r>
          </w:p>
          <w:p w14:paraId="08AD7969">
            <w:pPr>
              <w:pStyle w:val="6"/>
              <w:spacing w:before="9" w:line="219" w:lineRule="auto"/>
              <w:ind w:left="600"/>
            </w:pPr>
            <w:r>
              <w:rPr>
                <w:spacing w:val="4"/>
              </w:rPr>
              <w:t>1)在施工中尽量减少对动物栖息地生境的破坏，特</w:t>
            </w:r>
            <w:r>
              <w:rPr>
                <w:spacing w:val="3"/>
              </w:rPr>
              <w:t>别是对树木的砍伐；</w:t>
            </w:r>
          </w:p>
          <w:p w14:paraId="1788AD0A">
            <w:pPr>
              <w:pStyle w:val="6"/>
              <w:spacing w:before="165" w:line="219" w:lineRule="auto"/>
              <w:ind w:left="560"/>
            </w:pPr>
            <w:r>
              <w:rPr>
                <w:spacing w:val="4"/>
              </w:rPr>
              <w:t>2)施工中尽可能地减少噪声排放，以减少对动物的惊吓；</w:t>
            </w:r>
          </w:p>
          <w:p w14:paraId="3F4FD9D6">
            <w:pPr>
              <w:pStyle w:val="6"/>
              <w:spacing w:before="184" w:line="287" w:lineRule="auto"/>
              <w:ind w:left="111" w:right="198" w:firstLine="459"/>
            </w:pPr>
            <w:r>
              <w:t>3)加强施工人员对野生动物和生态环境的保护意识教育，在施工中遇到</w:t>
            </w:r>
            <w:r>
              <w:rPr>
                <w:spacing w:val="15"/>
              </w:rPr>
              <w:t xml:space="preserve"> </w:t>
            </w:r>
            <w:r>
              <w:rPr>
                <w:spacing w:val="4"/>
              </w:rPr>
              <w:t>的幼兽或受伤的兽类，应交给林业局的专业人员，不得擅自处理；</w:t>
            </w:r>
          </w:p>
          <w:p w14:paraId="63B2475E">
            <w:pPr>
              <w:pStyle w:val="6"/>
              <w:spacing w:before="185" w:line="312" w:lineRule="auto"/>
              <w:ind w:left="81" w:right="184" w:firstLine="479"/>
            </w:pPr>
            <w:r>
              <w:t>4)在修建场内道路及有关设施时，应尽量减少对</w:t>
            </w:r>
            <w:r>
              <w:rPr>
                <w:spacing w:val="-1"/>
              </w:rPr>
              <w:t>鸟类生境的破坏，在施</w:t>
            </w:r>
            <w:r>
              <w:t xml:space="preserve"> </w:t>
            </w:r>
            <w:r>
              <w:rPr>
                <w:spacing w:val="1"/>
              </w:rPr>
              <w:t>工完成后应对施工造成的地表裸露进行植被恢复，减少施工对鸟类栖息地分</w:t>
            </w:r>
            <w:r>
              <w:rPr>
                <w:spacing w:val="6"/>
              </w:rPr>
              <w:t xml:space="preserve"> </w:t>
            </w:r>
            <w:r>
              <w:rPr>
                <w:spacing w:val="17"/>
              </w:rPr>
              <w:t>割造成的影响；</w:t>
            </w:r>
          </w:p>
          <w:p w14:paraId="4052C031">
            <w:pPr>
              <w:pStyle w:val="6"/>
              <w:spacing w:before="193" w:line="312" w:lineRule="auto"/>
              <w:ind w:left="91" w:firstLine="497"/>
            </w:pPr>
            <w:r>
              <w:rPr>
                <w:spacing w:val="-1"/>
              </w:rPr>
              <w:t>5)在道路路口，设置生态保护宣传牌，禁止在工</w:t>
            </w:r>
            <w:r>
              <w:rPr>
                <w:spacing w:val="-2"/>
              </w:rPr>
              <w:t>程区域乱砍乱伐、狩猎，</w:t>
            </w:r>
            <w:r>
              <w:t xml:space="preserve"> 并将保护生态环境列入施工单位的责任书，</w:t>
            </w:r>
            <w:r>
              <w:rPr>
                <w:spacing w:val="-1"/>
              </w:rPr>
              <w:t>增强施工人员保护环境、保护野</w:t>
            </w:r>
            <w:r>
              <w:t xml:space="preserve">   </w:t>
            </w:r>
            <w:r>
              <w:rPr>
                <w:spacing w:val="-2"/>
              </w:rPr>
              <w:t>生动物的意识。</w:t>
            </w:r>
          </w:p>
          <w:p w14:paraId="2E108EC7">
            <w:pPr>
              <w:pStyle w:val="6"/>
              <w:spacing w:before="194" w:line="287" w:lineRule="auto"/>
              <w:ind w:left="91" w:right="212" w:firstLine="469"/>
            </w:pPr>
            <w:r>
              <w:t>6)合理安排，尽量避开动物的繁殖季节施工，最大限度地降低工程施工</w:t>
            </w:r>
            <w:r>
              <w:rPr>
                <w:spacing w:val="11"/>
              </w:rPr>
              <w:t xml:space="preserve"> </w:t>
            </w:r>
            <w:r>
              <w:t>对区域动物的影响。</w:t>
            </w:r>
          </w:p>
          <w:p w14:paraId="3B98A4CB">
            <w:pPr>
              <w:pStyle w:val="6"/>
              <w:spacing w:before="180" w:line="219" w:lineRule="auto"/>
              <w:ind w:left="704"/>
            </w:pPr>
            <w:r>
              <w:rPr>
                <w:b/>
                <w:bCs/>
                <w:spacing w:val="-3"/>
              </w:rPr>
              <w:t>(3)水土保持措施</w:t>
            </w:r>
          </w:p>
          <w:p w14:paraId="0070EFE8">
            <w:pPr>
              <w:pStyle w:val="6"/>
              <w:spacing w:before="188" w:line="219" w:lineRule="auto"/>
              <w:ind w:left="590"/>
            </w:pPr>
            <w:r>
              <w:rPr>
                <w:spacing w:val="2"/>
              </w:rPr>
              <w:t>1、太阳能电池方阵区</w:t>
            </w:r>
          </w:p>
          <w:p w14:paraId="2269E705">
            <w:pPr>
              <w:pStyle w:val="6"/>
              <w:spacing w:before="173" w:line="360" w:lineRule="auto"/>
              <w:ind w:left="91" w:right="174" w:firstLine="509"/>
            </w:pPr>
            <w:r>
              <w:t>为保障主体工程安全，主体设计沿光伏方阵上游外围设置截排水沟，排</w:t>
            </w:r>
            <w:r>
              <w:rPr>
                <w:spacing w:val="8"/>
              </w:rPr>
              <w:t xml:space="preserve"> </w:t>
            </w:r>
            <w:r>
              <w:rPr>
                <w:spacing w:val="1"/>
              </w:rPr>
              <w:t>水沟的尽头布设沉砂池，避免暴雨洪峰对主体工程冲刷影响。对开挖裸露区</w:t>
            </w:r>
            <w:r>
              <w:rPr>
                <w:spacing w:val="6"/>
              </w:rPr>
              <w:t xml:space="preserve"> </w:t>
            </w:r>
            <w:r>
              <w:rPr>
                <w:spacing w:val="-1"/>
              </w:rPr>
              <w:t>域进行遮盖。</w:t>
            </w:r>
          </w:p>
          <w:p w14:paraId="6D47EC1A">
            <w:pPr>
              <w:pStyle w:val="6"/>
              <w:spacing w:before="1" w:line="220" w:lineRule="auto"/>
              <w:ind w:left="560"/>
            </w:pPr>
            <w:r>
              <w:rPr>
                <w:spacing w:val="2"/>
              </w:rPr>
              <w:t>2、升压站</w:t>
            </w:r>
          </w:p>
        </w:tc>
      </w:tr>
    </w:tbl>
    <w:p w14:paraId="2C536B8C">
      <w:pPr>
        <w:pStyle w:val="2"/>
      </w:pPr>
    </w:p>
    <w:p w14:paraId="51A7A7B7">
      <w:pPr>
        <w:sectPr>
          <w:footerReference r:id="rId118" w:type="default"/>
          <w:pgSz w:w="11910" w:h="16840"/>
          <w:pgMar w:top="1431" w:right="1484" w:bottom="1269" w:left="1445" w:header="0" w:footer="1089" w:gutter="0"/>
          <w:cols w:space="720" w:num="1"/>
        </w:sectPr>
      </w:pPr>
    </w:p>
    <w:p w14:paraId="1D59EE68">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64A15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734" w:type="dxa"/>
            <w:vAlign w:val="top"/>
          </w:tcPr>
          <w:p w14:paraId="5C6A0D60">
            <w:pPr>
              <w:rPr>
                <w:rFonts w:ascii="Arial"/>
                <w:sz w:val="21"/>
              </w:rPr>
            </w:pPr>
          </w:p>
        </w:tc>
        <w:tc>
          <w:tcPr>
            <w:tcW w:w="8236" w:type="dxa"/>
            <w:vAlign w:val="top"/>
          </w:tcPr>
          <w:p w14:paraId="32F8AC05">
            <w:pPr>
              <w:pStyle w:val="6"/>
              <w:spacing w:before="22" w:line="357" w:lineRule="auto"/>
              <w:ind w:left="111" w:right="171" w:firstLine="489"/>
            </w:pPr>
            <w:r>
              <w:t>主体设计在升压站周边布置截水沟、排水沟，在表土堆放周围设置临时</w:t>
            </w:r>
            <w:r>
              <w:rPr>
                <w:spacing w:val="12"/>
              </w:rPr>
              <w:t xml:space="preserve"> </w:t>
            </w:r>
            <w:r>
              <w:t>土袋拦挡，对表土进行遮盖，升压站厂区进行绿化。</w:t>
            </w:r>
          </w:p>
          <w:p w14:paraId="07CB99C6">
            <w:pPr>
              <w:pStyle w:val="6"/>
              <w:spacing w:before="4" w:line="219" w:lineRule="auto"/>
              <w:ind w:left="560"/>
            </w:pPr>
            <w:r>
              <w:rPr>
                <w:spacing w:val="2"/>
              </w:rPr>
              <w:t>3、集电线路区</w:t>
            </w:r>
          </w:p>
          <w:p w14:paraId="3E25334B">
            <w:pPr>
              <w:pStyle w:val="6"/>
              <w:spacing w:before="184" w:line="359" w:lineRule="auto"/>
              <w:ind w:left="91" w:right="183" w:firstLine="499"/>
            </w:pPr>
            <w:r>
              <w:t>集电线路区剥离的表土堆放在塔基一侧，对表土和一般土石方堆放处设</w:t>
            </w:r>
            <w:r>
              <w:rPr>
                <w:spacing w:val="10"/>
              </w:rPr>
              <w:t xml:space="preserve"> </w:t>
            </w:r>
            <w:r>
              <w:t>置密目网临时苫盖，表土堆放周围设置临时土袋拦挡。塔基剥离表土用于升</w:t>
            </w:r>
            <w:r>
              <w:rPr>
                <w:spacing w:val="11"/>
              </w:rPr>
              <w:t xml:space="preserve"> </w:t>
            </w:r>
            <w:r>
              <w:rPr>
                <w:spacing w:val="-1"/>
              </w:rPr>
              <w:t>压站内绿化。</w:t>
            </w:r>
          </w:p>
          <w:p w14:paraId="360E5F5E">
            <w:pPr>
              <w:pStyle w:val="6"/>
              <w:spacing w:line="219" w:lineRule="auto"/>
              <w:ind w:left="550"/>
            </w:pPr>
            <w:r>
              <w:rPr>
                <w:spacing w:val="2"/>
              </w:rPr>
              <w:t>4、道路工程区</w:t>
            </w:r>
          </w:p>
          <w:p w14:paraId="7AD181E0">
            <w:pPr>
              <w:pStyle w:val="6"/>
              <w:spacing w:before="193" w:line="358" w:lineRule="auto"/>
              <w:ind w:left="111" w:right="181" w:firstLine="479"/>
            </w:pPr>
            <w:r>
              <w:t>场区周边有多条乡村道路通往场区，交通便利，不进行新建道路。对部</w:t>
            </w:r>
            <w:r>
              <w:rPr>
                <w:spacing w:val="12"/>
              </w:rPr>
              <w:t xml:space="preserve"> </w:t>
            </w:r>
            <w:r>
              <w:t>分路面进行改造填平和弯道进行加宽，部分改造后的路面为20cm石渣路</w:t>
            </w:r>
            <w:r>
              <w:rPr>
                <w:spacing w:val="-1"/>
              </w:rPr>
              <w:t>面。</w:t>
            </w:r>
          </w:p>
          <w:p w14:paraId="7058BB03">
            <w:pPr>
              <w:pStyle w:val="6"/>
              <w:spacing w:before="4" w:line="358" w:lineRule="auto"/>
              <w:ind w:left="111" w:firstLine="486"/>
            </w:pPr>
            <w:r>
              <w:rPr>
                <w:spacing w:val="-2"/>
              </w:rPr>
              <w:t>该区域主体设计水土保持措施有混凝土排水沟、排水涵管、浆砌石挡墙，</w:t>
            </w:r>
            <w:r>
              <w:rPr>
                <w:spacing w:val="11"/>
              </w:rPr>
              <w:t xml:space="preserve"> </w:t>
            </w:r>
            <w:r>
              <w:rPr>
                <w:spacing w:val="-2"/>
              </w:rPr>
              <w:t>新增雨水集蓄设施、坡度较陡路段急流槽、排水出口消力池、边坡绿化及边</w:t>
            </w:r>
            <w:r>
              <w:t xml:space="preserve">   </w:t>
            </w:r>
            <w:r>
              <w:rPr>
                <w:spacing w:val="-2"/>
              </w:rPr>
              <w:t>坡绿化前的苫盖措施。施工期应及时采取临时苫盖和植物措施(边坡绿化)。</w:t>
            </w:r>
          </w:p>
          <w:p w14:paraId="1DDA2D7E">
            <w:pPr>
              <w:pStyle w:val="6"/>
              <w:spacing w:before="1" w:line="219" w:lineRule="auto"/>
              <w:ind w:left="580"/>
            </w:pPr>
            <w:r>
              <w:rPr>
                <w:spacing w:val="2"/>
              </w:rPr>
              <w:t>6、施工生产区生活区</w:t>
            </w:r>
          </w:p>
          <w:p w14:paraId="59A17A47">
            <w:pPr>
              <w:pStyle w:val="6"/>
              <w:spacing w:before="174" w:line="363" w:lineRule="auto"/>
              <w:ind w:left="111" w:right="193" w:firstLine="489"/>
            </w:pPr>
            <w:r>
              <w:t>施工前进行表土剥离，施工期为排除场地内汇水</w:t>
            </w:r>
            <w:r>
              <w:rPr>
                <w:spacing w:val="-1"/>
              </w:rPr>
              <w:t>，在场地内新增临时排</w:t>
            </w:r>
            <w:r>
              <w:t xml:space="preserve"> 水沟，排水出口布设沉沙池，在施工结束后清理场地并恢复植被。</w:t>
            </w:r>
          </w:p>
          <w:p w14:paraId="66CB1D15">
            <w:pPr>
              <w:pStyle w:val="6"/>
              <w:spacing w:before="18" w:line="220" w:lineRule="auto"/>
              <w:ind w:left="590"/>
            </w:pPr>
            <w:r>
              <w:rPr>
                <w:spacing w:val="2"/>
              </w:rPr>
              <w:t>7、表土堆场</w:t>
            </w:r>
          </w:p>
          <w:p w14:paraId="37AB99FF">
            <w:pPr>
              <w:pStyle w:val="6"/>
              <w:spacing w:before="152" w:line="361" w:lineRule="auto"/>
              <w:ind w:left="111" w:right="176" w:firstLine="479"/>
            </w:pPr>
            <w:r>
              <w:t>升压站表土集中堆存于升压站一角，用于后期升压站区景观绿化，临时</w:t>
            </w:r>
            <w:r>
              <w:rPr>
                <w:spacing w:val="12"/>
              </w:rPr>
              <w:t xml:space="preserve"> </w:t>
            </w:r>
            <w:r>
              <w:rPr>
                <w:spacing w:val="7"/>
              </w:rPr>
              <w:t>表土堆场占地面积0.01</w:t>
            </w:r>
            <w:r>
              <w:t>hm</w:t>
            </w:r>
            <w:r>
              <w:rPr>
                <w:spacing w:val="7"/>
              </w:rPr>
              <w:t>²,容量0.02万m³。表土堆场实施临时排水沟</w:t>
            </w:r>
            <w:r>
              <w:rPr>
                <w:spacing w:val="6"/>
              </w:rPr>
              <w:t>、临</w:t>
            </w:r>
            <w:r>
              <w:t xml:space="preserve"> 时拦挡、临时苫盖措施，使用结束后恢复植</w:t>
            </w:r>
            <w:r>
              <w:rPr>
                <w:spacing w:val="-1"/>
              </w:rPr>
              <w:t>被。</w:t>
            </w:r>
          </w:p>
          <w:p w14:paraId="0B8FEDCA">
            <w:pPr>
              <w:pStyle w:val="6"/>
              <w:spacing w:before="1" w:line="220" w:lineRule="auto"/>
              <w:ind w:left="694"/>
            </w:pPr>
            <w:r>
              <w:rPr>
                <w:b/>
                <w:bCs/>
                <w:spacing w:val="-3"/>
              </w:rPr>
              <w:t>(4)生态红线保护措施</w:t>
            </w:r>
          </w:p>
          <w:p w14:paraId="63FC914D">
            <w:pPr>
              <w:pStyle w:val="6"/>
              <w:spacing w:before="208" w:line="221" w:lineRule="auto"/>
              <w:ind w:left="590"/>
            </w:pPr>
            <w:r>
              <w:rPr>
                <w:spacing w:val="1"/>
              </w:rPr>
              <w:t>1)减少扬尘</w:t>
            </w:r>
          </w:p>
          <w:p w14:paraId="527B70F1">
            <w:pPr>
              <w:pStyle w:val="6"/>
              <w:spacing w:before="160" w:line="360" w:lineRule="auto"/>
              <w:ind w:left="111" w:firstLine="477"/>
            </w:pPr>
            <w:r>
              <w:rPr>
                <w:spacing w:val="-1"/>
              </w:rPr>
              <w:t>施工时要严格按照施工工序进行施工，对临时</w:t>
            </w:r>
            <w:r>
              <w:rPr>
                <w:spacing w:val="-2"/>
              </w:rPr>
              <w:t>堆放的砂石材料进行遮盖，</w:t>
            </w:r>
            <w:r>
              <w:t xml:space="preserve"> </w:t>
            </w:r>
            <w:r>
              <w:rPr>
                <w:spacing w:val="-1"/>
              </w:rPr>
              <w:t>防止扬尘，施工期做好洒水降尘工作，严格控制工程破坏植被的面积，增加</w:t>
            </w:r>
            <w:r>
              <w:rPr>
                <w:spacing w:val="2"/>
              </w:rPr>
              <w:t xml:space="preserve">   </w:t>
            </w:r>
            <w:r>
              <w:rPr>
                <w:spacing w:val="-2"/>
              </w:rPr>
              <w:t>对植被的保护措施，严禁超范围开挖，工程完工后应迅速对开挖区、边坡等</w:t>
            </w:r>
            <w:r>
              <w:rPr>
                <w:spacing w:val="4"/>
              </w:rPr>
              <w:t xml:space="preserve">   </w:t>
            </w:r>
            <w:r>
              <w:rPr>
                <w:spacing w:val="-1"/>
              </w:rPr>
              <w:t>区域进行水土流失防治和植被绿化。</w:t>
            </w:r>
          </w:p>
          <w:p w14:paraId="22DC73A1">
            <w:pPr>
              <w:pStyle w:val="6"/>
              <w:spacing w:line="220" w:lineRule="auto"/>
              <w:ind w:left="560"/>
            </w:pPr>
            <w:r>
              <w:rPr>
                <w:spacing w:val="1"/>
              </w:rPr>
              <w:t>2)减少施工噪声</w:t>
            </w:r>
          </w:p>
          <w:p w14:paraId="55F6B61A">
            <w:pPr>
              <w:pStyle w:val="6"/>
              <w:spacing w:before="181" w:line="219" w:lineRule="auto"/>
              <w:ind w:left="590"/>
            </w:pPr>
            <w:r>
              <w:t>加强对施工机械、运输车辆的维修保养，合理安排施工时间。</w:t>
            </w:r>
          </w:p>
          <w:p w14:paraId="79FDEABD">
            <w:pPr>
              <w:pStyle w:val="6"/>
              <w:spacing w:before="177" w:line="219" w:lineRule="auto"/>
              <w:ind w:left="580"/>
            </w:pPr>
            <w:r>
              <w:t>3)对施工人员加强管理</w:t>
            </w:r>
          </w:p>
          <w:p w14:paraId="791AB333">
            <w:pPr>
              <w:pStyle w:val="6"/>
              <w:spacing w:before="196" w:line="219" w:lineRule="auto"/>
              <w:ind w:left="590"/>
            </w:pPr>
            <w:r>
              <w:t>施工期，在施工区周边设置生态保护警示牌，在</w:t>
            </w:r>
            <w:r>
              <w:rPr>
                <w:spacing w:val="-1"/>
              </w:rPr>
              <w:t>生态保护红线区边界设</w:t>
            </w:r>
          </w:p>
        </w:tc>
      </w:tr>
    </w:tbl>
    <w:p w14:paraId="662BE967">
      <w:pPr>
        <w:pStyle w:val="2"/>
      </w:pPr>
    </w:p>
    <w:p w14:paraId="7298DD3B">
      <w:pPr>
        <w:sectPr>
          <w:footerReference r:id="rId119" w:type="default"/>
          <w:pgSz w:w="11910" w:h="16840"/>
          <w:pgMar w:top="1431" w:right="1484" w:bottom="1253" w:left="1445" w:header="0" w:footer="1091" w:gutter="0"/>
          <w:cols w:space="720" w:num="1"/>
        </w:sectPr>
      </w:pPr>
    </w:p>
    <w:p w14:paraId="2C144014">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09D6F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734" w:type="dxa"/>
            <w:vAlign w:val="top"/>
          </w:tcPr>
          <w:p w14:paraId="79CC616B">
            <w:pPr>
              <w:rPr>
                <w:rFonts w:ascii="Arial"/>
                <w:sz w:val="21"/>
              </w:rPr>
            </w:pPr>
          </w:p>
        </w:tc>
        <w:tc>
          <w:tcPr>
            <w:tcW w:w="8236" w:type="dxa"/>
            <w:vAlign w:val="top"/>
          </w:tcPr>
          <w:p w14:paraId="62E45304">
            <w:pPr>
              <w:pStyle w:val="6"/>
              <w:spacing w:before="25" w:line="357" w:lineRule="auto"/>
              <w:ind w:left="111" w:right="177"/>
              <w:jc w:val="both"/>
            </w:pPr>
            <w:r>
              <w:t>置警戒线，尽量减少施工人员进入生态保护红线区范围</w:t>
            </w:r>
            <w:r>
              <w:rPr>
                <w:spacing w:val="-1"/>
              </w:rPr>
              <w:t>内活动，严禁随意破</w:t>
            </w:r>
            <w:r>
              <w:t xml:space="preserve"> 坏植被、植物。加强宣传教育和管理，认真全面地贯彻执行野生动植物保护</w:t>
            </w:r>
            <w:r>
              <w:rPr>
                <w:spacing w:val="16"/>
              </w:rPr>
              <w:t xml:space="preserve"> </w:t>
            </w:r>
            <w:r>
              <w:t>法律、法规，严禁非法猎捕野生动物。通过发放宣传册、张贴宣传画报等措</w:t>
            </w:r>
            <w:r>
              <w:rPr>
                <w:spacing w:val="12"/>
              </w:rPr>
              <w:t xml:space="preserve"> </w:t>
            </w:r>
            <w:r>
              <w:t>施，增强人们的生态环境保护意识。</w:t>
            </w:r>
          </w:p>
          <w:p w14:paraId="2BDBC03B">
            <w:pPr>
              <w:pStyle w:val="6"/>
              <w:spacing w:line="220" w:lineRule="auto"/>
              <w:ind w:left="94"/>
            </w:pPr>
            <w:r>
              <w:rPr>
                <w:b/>
                <w:bCs/>
                <w:spacing w:val="-4"/>
              </w:rPr>
              <w:t>二、施工期大气环境保护措施</w:t>
            </w:r>
          </w:p>
          <w:p w14:paraId="39BBD47C">
            <w:pPr>
              <w:pStyle w:val="6"/>
              <w:spacing w:before="195" w:line="290" w:lineRule="auto"/>
              <w:ind w:left="101" w:right="192" w:firstLine="599"/>
            </w:pPr>
            <w:r>
              <w:t>(1)施工过程中文明施工，加强管理，施工区域实施洒水降尘作业，减</w:t>
            </w:r>
            <w:r>
              <w:rPr>
                <w:spacing w:val="11"/>
              </w:rPr>
              <w:t xml:space="preserve"> </w:t>
            </w:r>
            <w:r>
              <w:t>少建筑材料露天堆放，减少扬尘对周围环境的污染。</w:t>
            </w:r>
          </w:p>
          <w:p w14:paraId="3293684D">
            <w:pPr>
              <w:pStyle w:val="6"/>
              <w:spacing w:before="186" w:line="290" w:lineRule="auto"/>
              <w:ind w:left="101" w:right="184" w:firstLine="609"/>
            </w:pPr>
            <w:r>
              <w:t>(2)施工期开挖的土石方，应及时回填，禁止随意堆放，临时堆存的应</w:t>
            </w:r>
            <w:r>
              <w:rPr>
                <w:spacing w:val="9"/>
              </w:rPr>
              <w:t xml:space="preserve"> </w:t>
            </w:r>
            <w:r>
              <w:rPr>
                <w:spacing w:val="-1"/>
              </w:rPr>
              <w:t>采取临时遮盖措施，减少风蚀产生的扬尘。</w:t>
            </w:r>
          </w:p>
          <w:p w14:paraId="1C1587BA">
            <w:pPr>
              <w:pStyle w:val="6"/>
              <w:spacing w:before="175" w:line="290" w:lineRule="auto"/>
              <w:ind w:left="101" w:right="184" w:firstLine="609"/>
            </w:pPr>
            <w:r>
              <w:t>(3)对施工现场进行科学管理，易产生扬尘的建筑物料应统一堆放，分</w:t>
            </w:r>
            <w:r>
              <w:rPr>
                <w:spacing w:val="9"/>
              </w:rPr>
              <w:t xml:space="preserve"> </w:t>
            </w:r>
            <w:r>
              <w:t>片区施工，尽量减少搬运环节，搬运时轻举轻放，防止包装袋破</w:t>
            </w:r>
            <w:r>
              <w:rPr>
                <w:spacing w:val="-1"/>
              </w:rPr>
              <w:t>裂。</w:t>
            </w:r>
          </w:p>
          <w:p w14:paraId="1DFCCAB3">
            <w:pPr>
              <w:pStyle w:val="6"/>
              <w:spacing w:before="197" w:line="282" w:lineRule="auto"/>
              <w:ind w:left="91" w:right="185" w:firstLine="619"/>
            </w:pPr>
            <w:r>
              <w:t>(4)风速过大时应停止有扬尘产生的施工作业，并对堆放的砂石等建筑</w:t>
            </w:r>
            <w:r>
              <w:rPr>
                <w:spacing w:val="8"/>
              </w:rPr>
              <w:t xml:space="preserve"> </w:t>
            </w:r>
            <w:r>
              <w:t>材料进行遮盖处理。</w:t>
            </w:r>
          </w:p>
          <w:p w14:paraId="0C6AC554">
            <w:pPr>
              <w:pStyle w:val="6"/>
              <w:spacing w:before="185" w:line="312" w:lineRule="auto"/>
              <w:ind w:left="101" w:right="173" w:firstLine="609"/>
            </w:pPr>
            <w:r>
              <w:t>(5)施工车辆必须定期检修、维护，破损的车厢应及时修补，防止车辆</w:t>
            </w:r>
            <w:r>
              <w:rPr>
                <w:spacing w:val="8"/>
              </w:rPr>
              <w:t xml:space="preserve"> </w:t>
            </w:r>
            <w:r>
              <w:rPr>
                <w:spacing w:val="1"/>
              </w:rPr>
              <w:t>行驶过程中洒落。运输石灰、中砂、水泥等粉状材料的车辆应覆盖蓬</w:t>
            </w:r>
            <w:r>
              <w:t xml:space="preserve">布，以 </w:t>
            </w:r>
            <w:r>
              <w:rPr>
                <w:spacing w:val="-1"/>
              </w:rPr>
              <w:t>减少撒落和飞灰。</w:t>
            </w:r>
          </w:p>
          <w:p w14:paraId="7A54750C">
            <w:pPr>
              <w:pStyle w:val="6"/>
              <w:spacing w:before="194" w:line="283" w:lineRule="auto"/>
              <w:ind w:left="101" w:right="182" w:firstLine="609"/>
            </w:pPr>
            <w:r>
              <w:t>(6)加强对机械、车辆的维修保养，禁止施工机械超负荷工作，同时使</w:t>
            </w:r>
            <w:r>
              <w:rPr>
                <w:spacing w:val="11"/>
              </w:rPr>
              <w:t xml:space="preserve"> </w:t>
            </w:r>
            <w:r>
              <w:rPr>
                <w:spacing w:val="-1"/>
              </w:rPr>
              <w:t>用先进设备和优质燃料油。</w:t>
            </w:r>
          </w:p>
          <w:p w14:paraId="149B2F71">
            <w:pPr>
              <w:pStyle w:val="6"/>
              <w:spacing w:before="195" w:line="219" w:lineRule="auto"/>
              <w:ind w:left="700"/>
            </w:pPr>
            <w:r>
              <w:t>(7)加强对施工人员的环保教育，提高全体施工人员的环保意识。</w:t>
            </w:r>
          </w:p>
          <w:p w14:paraId="5C8DFA39">
            <w:pPr>
              <w:pStyle w:val="6"/>
              <w:spacing w:before="174" w:line="291" w:lineRule="auto"/>
              <w:ind w:left="101" w:right="305" w:firstLine="609"/>
            </w:pPr>
            <w:r>
              <w:t>(8)汽车行驶的路面应采取洒水降尘措施，每日约4~5次，遇大风起尘</w:t>
            </w:r>
            <w:r>
              <w:rPr>
                <w:spacing w:val="8"/>
              </w:rPr>
              <w:t xml:space="preserve"> </w:t>
            </w:r>
            <w:r>
              <w:rPr>
                <w:spacing w:val="-1"/>
              </w:rPr>
              <w:t>天气，还应增加洒水频率。</w:t>
            </w:r>
          </w:p>
          <w:p w14:paraId="6DF48DDF">
            <w:pPr>
              <w:pStyle w:val="6"/>
              <w:spacing w:before="193" w:line="219" w:lineRule="auto"/>
              <w:jc w:val="right"/>
            </w:pPr>
            <w:r>
              <w:rPr>
                <w:spacing w:val="-1"/>
              </w:rPr>
              <w:t>(9)混凝土拌合点现场搅拌作业物料落料点</w:t>
            </w:r>
            <w:r>
              <w:rPr>
                <w:spacing w:val="-2"/>
              </w:rPr>
              <w:t>采取湿法除尘、收尘等措施。</w:t>
            </w:r>
          </w:p>
          <w:p w14:paraId="3B4DD656">
            <w:pPr>
              <w:pStyle w:val="6"/>
              <w:spacing w:before="174" w:line="219" w:lineRule="auto"/>
              <w:ind w:left="94"/>
            </w:pPr>
            <w:r>
              <w:rPr>
                <w:b/>
                <w:bCs/>
                <w:spacing w:val="-4"/>
              </w:rPr>
              <w:t>三、施工期水环境保护措施</w:t>
            </w:r>
          </w:p>
          <w:p w14:paraId="080FABAD">
            <w:pPr>
              <w:pStyle w:val="6"/>
              <w:spacing w:before="189" w:line="219" w:lineRule="auto"/>
              <w:ind w:left="700"/>
            </w:pPr>
            <w:r>
              <w:t>(1)合理安排施工进度，土石方工程尽量避开雨季。</w:t>
            </w:r>
          </w:p>
          <w:p w14:paraId="41B8C79A">
            <w:pPr>
              <w:pStyle w:val="6"/>
              <w:spacing w:before="175" w:line="324" w:lineRule="auto"/>
              <w:ind w:left="101" w:right="179" w:firstLine="609"/>
            </w:pPr>
            <w:r>
              <w:t>(2)生活污水：施工区域内设置临时化粪池，化粪池定期委托周边村民</w:t>
            </w:r>
            <w:r>
              <w:rPr>
                <w:spacing w:val="12"/>
              </w:rPr>
              <w:t xml:space="preserve"> </w:t>
            </w:r>
            <w:r>
              <w:rPr>
                <w:spacing w:val="1"/>
              </w:rPr>
              <w:t>清掏作为农家肥使用，施工结束后化粪池应予以拆除并</w:t>
            </w:r>
            <w:r>
              <w:t>无害化处理。施工期 人员清洗废水进入沉淀池沉淀后，用作场地洒水降尘。各类废水禁止</w:t>
            </w:r>
            <w:r>
              <w:rPr>
                <w:spacing w:val="-1"/>
              </w:rPr>
              <w:t>向周边</w:t>
            </w:r>
            <w:r>
              <w:t xml:space="preserve"> 地表水体直接排放。</w:t>
            </w:r>
          </w:p>
          <w:p w14:paraId="2CBDBFB7">
            <w:pPr>
              <w:pStyle w:val="6"/>
              <w:spacing w:before="192" w:line="216" w:lineRule="auto"/>
              <w:ind w:left="710"/>
            </w:pPr>
            <w:r>
              <w:rPr>
                <w:spacing w:val="4"/>
              </w:rPr>
              <w:t>(3)施工废水：在各施工作业区各设置1个沉淀池(容积5m³),施工</w:t>
            </w:r>
          </w:p>
        </w:tc>
      </w:tr>
    </w:tbl>
    <w:p w14:paraId="232D4E11">
      <w:pPr>
        <w:pStyle w:val="2"/>
      </w:pPr>
    </w:p>
    <w:p w14:paraId="7DC30461">
      <w:pPr>
        <w:sectPr>
          <w:footerReference r:id="rId120" w:type="default"/>
          <w:pgSz w:w="11910" w:h="16840"/>
          <w:pgMar w:top="1431" w:right="1484" w:bottom="1255" w:left="1445" w:header="0" w:footer="1093" w:gutter="0"/>
          <w:cols w:space="720" w:num="1"/>
        </w:sectPr>
      </w:pPr>
    </w:p>
    <w:p w14:paraId="0E00257B">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07E00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9" w:hRule="atLeast"/>
        </w:trPr>
        <w:tc>
          <w:tcPr>
            <w:tcW w:w="734" w:type="dxa"/>
            <w:vAlign w:val="top"/>
          </w:tcPr>
          <w:p w14:paraId="5D7DF709">
            <w:pPr>
              <w:rPr>
                <w:rFonts w:ascii="Arial"/>
                <w:sz w:val="21"/>
              </w:rPr>
            </w:pPr>
          </w:p>
        </w:tc>
        <w:tc>
          <w:tcPr>
            <w:tcW w:w="8236" w:type="dxa"/>
            <w:vAlign w:val="top"/>
          </w:tcPr>
          <w:p w14:paraId="3599452C">
            <w:pPr>
              <w:pStyle w:val="6"/>
              <w:spacing w:before="23" w:line="358" w:lineRule="auto"/>
              <w:ind w:left="91" w:right="182" w:firstLine="20"/>
            </w:pPr>
            <w:r>
              <w:t>废水收集沉淀后，回用于混凝土拌和工序、场地洒水降尘以及车辆、设备清</w:t>
            </w:r>
            <w:r>
              <w:rPr>
                <w:spacing w:val="11"/>
              </w:rPr>
              <w:t xml:space="preserve"> </w:t>
            </w:r>
            <w:r>
              <w:t>洗，不外排。</w:t>
            </w:r>
          </w:p>
          <w:p w14:paraId="688A5359">
            <w:pPr>
              <w:pStyle w:val="6"/>
              <w:spacing w:before="8" w:line="345" w:lineRule="auto"/>
              <w:ind w:left="91" w:right="145" w:firstLine="619"/>
            </w:pPr>
            <w:r>
              <w:t>(4)雨季地表径流：各片区施工前，应先按水土保持方案完成截排水沟</w:t>
            </w:r>
            <w:r>
              <w:rPr>
                <w:spacing w:val="17"/>
              </w:rPr>
              <w:t xml:space="preserve"> </w:t>
            </w:r>
            <w:r>
              <w:rPr>
                <w:spacing w:val="1"/>
              </w:rPr>
              <w:t>及临时沉淀池的挖设，施工过程中产生的地表</w:t>
            </w:r>
            <w:r>
              <w:t>径流经临时排水沟引入沉淀池 沉淀处理后，回用于施工过程及场地洒水降尘，回用不完的部分顺流至附近</w:t>
            </w:r>
            <w:r>
              <w:rPr>
                <w:spacing w:val="9"/>
              </w:rPr>
              <w:t xml:space="preserve"> </w:t>
            </w:r>
            <w:r>
              <w:rPr>
                <w:spacing w:val="2"/>
              </w:rPr>
              <w:t>自然沟渠。项目地块五西北侧900m为周家箐水库，为饮用水源。根据现</w:t>
            </w:r>
            <w:r>
              <w:rPr>
                <w:spacing w:val="1"/>
              </w:rPr>
              <w:t>场调</w:t>
            </w:r>
            <w:r>
              <w:t xml:space="preserve"> </w:t>
            </w:r>
            <w:r>
              <w:rPr>
                <w:spacing w:val="1"/>
              </w:rPr>
              <w:t>查，地块五光伏阵列与周家菁水库水源保护区中间有山脊相隔，各片区施工</w:t>
            </w:r>
            <w:r>
              <w:t xml:space="preserve"> </w:t>
            </w:r>
            <w:r>
              <w:rPr>
                <w:spacing w:val="1"/>
              </w:rPr>
              <w:t>前，按水土保持方案完成截排水沟及临时沉淀池的挖设，施工过程中产生的</w:t>
            </w:r>
            <w:r>
              <w:rPr>
                <w:spacing w:val="4"/>
              </w:rPr>
              <w:t xml:space="preserve"> </w:t>
            </w:r>
            <w:r>
              <w:rPr>
                <w:spacing w:val="1"/>
              </w:rPr>
              <w:t>地表径流经临时排水沟引入沉淀池沉淀处理后，回用于施工过程及场</w:t>
            </w:r>
            <w:r>
              <w:t xml:space="preserve">地洒水 </w:t>
            </w:r>
            <w:r>
              <w:rPr>
                <w:spacing w:val="1"/>
              </w:rPr>
              <w:t>降尘，剩余部分顺流至附近自然沟渠。施工废水和雨季地表径流不会进入周</w:t>
            </w:r>
            <w:r>
              <w:rPr>
                <w:spacing w:val="14"/>
              </w:rPr>
              <w:t xml:space="preserve"> </w:t>
            </w:r>
            <w:r>
              <w:rPr>
                <w:spacing w:val="-1"/>
              </w:rPr>
              <w:t>家菁水库。</w:t>
            </w:r>
          </w:p>
          <w:p w14:paraId="78D7668F">
            <w:pPr>
              <w:pStyle w:val="6"/>
              <w:spacing w:before="164" w:line="290" w:lineRule="auto"/>
              <w:ind w:left="130" w:right="195" w:firstLine="580"/>
            </w:pPr>
            <w:r>
              <w:t>(5)加强管理，做好机械的日常维修保养，杜绝跑、冒、滴、漏现</w:t>
            </w:r>
            <w:r>
              <w:rPr>
                <w:spacing w:val="-1"/>
              </w:rPr>
              <w:t>象。</w:t>
            </w:r>
            <w:r>
              <w:t xml:space="preserve"> 另外，雨天应对各类机械、粉状物料进行遮盖防</w:t>
            </w:r>
            <w:r>
              <w:rPr>
                <w:spacing w:val="-1"/>
              </w:rPr>
              <w:t>雨。</w:t>
            </w:r>
          </w:p>
          <w:p w14:paraId="4694C2C8">
            <w:pPr>
              <w:pStyle w:val="6"/>
              <w:spacing w:before="196" w:line="219" w:lineRule="auto"/>
              <w:ind w:left="710"/>
            </w:pPr>
            <w:r>
              <w:t>(6)施工过程中保持项目区内山溪河流通畅，不得占用、拦挡河</w:t>
            </w:r>
            <w:r>
              <w:rPr>
                <w:spacing w:val="-1"/>
              </w:rPr>
              <w:t>道。</w:t>
            </w:r>
          </w:p>
          <w:p w14:paraId="7EDFD369">
            <w:pPr>
              <w:pStyle w:val="6"/>
              <w:spacing w:before="163" w:line="220" w:lineRule="auto"/>
              <w:ind w:left="114"/>
            </w:pPr>
            <w:r>
              <w:rPr>
                <w:b/>
                <w:bCs/>
                <w:spacing w:val="-3"/>
              </w:rPr>
              <w:t>四、施工期声环境保护措施</w:t>
            </w:r>
          </w:p>
          <w:p w14:paraId="41DAC9DD">
            <w:pPr>
              <w:pStyle w:val="6"/>
              <w:spacing w:before="187" w:line="219" w:lineRule="auto"/>
              <w:ind w:left="700"/>
            </w:pPr>
            <w:r>
              <w:t>(1)尽量选用低噪声设备并定期维护，确保各设备正常运行。</w:t>
            </w:r>
          </w:p>
          <w:p w14:paraId="1AA99661">
            <w:pPr>
              <w:pStyle w:val="6"/>
              <w:spacing w:before="195" w:line="282" w:lineRule="auto"/>
              <w:ind w:left="111" w:right="194" w:firstLine="589"/>
            </w:pPr>
            <w:r>
              <w:t>(2)合理安排工期，优化施工时间，夜间禁止在靠近声环境敏感点区域</w:t>
            </w:r>
            <w:r>
              <w:rPr>
                <w:spacing w:val="9"/>
              </w:rPr>
              <w:t xml:space="preserve"> </w:t>
            </w:r>
            <w:r>
              <w:rPr>
                <w:spacing w:val="4"/>
              </w:rPr>
              <w:t>施工，并应提高施工效率，缩短施工期噪声的影响时间和影响范</w:t>
            </w:r>
            <w:r>
              <w:rPr>
                <w:spacing w:val="3"/>
              </w:rPr>
              <w:t>围；</w:t>
            </w:r>
          </w:p>
          <w:p w14:paraId="793CAD9E">
            <w:pPr>
              <w:pStyle w:val="6"/>
              <w:spacing w:before="195" w:line="287" w:lineRule="auto"/>
              <w:ind w:left="111" w:right="184" w:firstLine="599"/>
            </w:pPr>
            <w:r>
              <w:t>(3)建筑施工单位应当采取有效措施，降低施工噪声污染，所排放的建</w:t>
            </w:r>
            <w:r>
              <w:rPr>
                <w:spacing w:val="9"/>
              </w:rPr>
              <w:t xml:space="preserve"> </w:t>
            </w:r>
            <w:r>
              <w:t>筑施工噪声，应当符合国家规定的建筑施工场界噪声限</w:t>
            </w:r>
            <w:r>
              <w:rPr>
                <w:spacing w:val="-1"/>
              </w:rPr>
              <w:t>值。</w:t>
            </w:r>
          </w:p>
          <w:p w14:paraId="53DD512E">
            <w:pPr>
              <w:pStyle w:val="6"/>
              <w:spacing w:before="186" w:line="290" w:lineRule="auto"/>
              <w:ind w:left="91" w:right="181" w:firstLine="619"/>
            </w:pPr>
            <w:r>
              <w:t>(4)加强施工人员的个人防护，对于高噪声设备的工作人员，应配戴防</w:t>
            </w:r>
            <w:r>
              <w:rPr>
                <w:spacing w:val="12"/>
              </w:rPr>
              <w:t xml:space="preserve"> </w:t>
            </w:r>
            <w:r>
              <w:rPr>
                <w:spacing w:val="-1"/>
              </w:rPr>
              <w:t>护用具、耳罩等。</w:t>
            </w:r>
          </w:p>
          <w:p w14:paraId="2150685B">
            <w:pPr>
              <w:pStyle w:val="6"/>
              <w:spacing w:before="184" w:line="290" w:lineRule="auto"/>
              <w:ind w:left="111" w:right="185" w:firstLine="599"/>
            </w:pPr>
            <w:r>
              <w:t>(5)在运输工程中应注意合理安排施工物料的运输时间，运输车辆经过</w:t>
            </w:r>
            <w:r>
              <w:rPr>
                <w:spacing w:val="8"/>
              </w:rPr>
              <w:t xml:space="preserve"> </w:t>
            </w:r>
            <w:r>
              <w:t>村庄、学校等保护目标时应减速慢行，禁止鸣笛，减小对当地居民的影</w:t>
            </w:r>
            <w:r>
              <w:rPr>
                <w:spacing w:val="-1"/>
              </w:rPr>
              <w:t>响。</w:t>
            </w:r>
          </w:p>
          <w:p w14:paraId="0BEF3851">
            <w:pPr>
              <w:pStyle w:val="6"/>
              <w:spacing w:before="195" w:line="312" w:lineRule="auto"/>
              <w:ind w:left="111" w:firstLine="581"/>
            </w:pPr>
            <w:r>
              <w:rPr>
                <w:spacing w:val="-4"/>
              </w:rPr>
              <w:t>(6)应与周边村民建立良好的社区关系，对受施工干扰的村民应在</w:t>
            </w:r>
            <w:r>
              <w:rPr>
                <w:spacing w:val="-5"/>
              </w:rPr>
              <w:t>作业前</w:t>
            </w:r>
            <w:r>
              <w:t xml:space="preserve">  </w:t>
            </w:r>
            <w:r>
              <w:rPr>
                <w:spacing w:val="-8"/>
              </w:rPr>
              <w:t>予以通知，并随时向他们汇报施工进度及施工中对降低噪声采取</w:t>
            </w:r>
            <w:r>
              <w:rPr>
                <w:spacing w:val="-9"/>
              </w:rPr>
              <w:t>的措施。此外，</w:t>
            </w:r>
            <w:r>
              <w:t xml:space="preserve"> </w:t>
            </w:r>
            <w:r>
              <w:rPr>
                <w:spacing w:val="-15"/>
              </w:rPr>
              <w:t>施工期间应设热线投诉电话，接受噪声扰民的投诉，并对投诉情况进行积极治理。</w:t>
            </w:r>
          </w:p>
          <w:p w14:paraId="73E44F56">
            <w:pPr>
              <w:pStyle w:val="6"/>
              <w:spacing w:before="164" w:line="219" w:lineRule="auto"/>
              <w:jc w:val="right"/>
            </w:pPr>
            <w:r>
              <w:rPr>
                <w:spacing w:val="-1"/>
              </w:rPr>
              <w:t>(7)合理布置施工机械位置，产噪较大设备尽量布置于远离敏感点</w:t>
            </w:r>
            <w:r>
              <w:rPr>
                <w:spacing w:val="-2"/>
              </w:rPr>
              <w:t>一侧。</w:t>
            </w:r>
          </w:p>
          <w:p w14:paraId="3A70D370">
            <w:pPr>
              <w:pStyle w:val="6"/>
              <w:spacing w:before="184" w:line="220" w:lineRule="auto"/>
              <w:ind w:left="94"/>
            </w:pPr>
            <w:r>
              <w:rPr>
                <w:b/>
                <w:bCs/>
                <w:spacing w:val="-4"/>
              </w:rPr>
              <w:t>五、施工期固体废物处置</w:t>
            </w:r>
          </w:p>
        </w:tc>
      </w:tr>
    </w:tbl>
    <w:p w14:paraId="3B684E52">
      <w:pPr>
        <w:pStyle w:val="2"/>
      </w:pPr>
    </w:p>
    <w:p w14:paraId="0BF2F4C7">
      <w:pPr>
        <w:sectPr>
          <w:footerReference r:id="rId121" w:type="default"/>
          <w:pgSz w:w="11910" w:h="16840"/>
          <w:pgMar w:top="1431" w:right="1484" w:bottom="1255" w:left="1445" w:header="0" w:footer="1093" w:gutter="0"/>
          <w:cols w:space="720" w:num="1"/>
        </w:sectPr>
      </w:pPr>
    </w:p>
    <w:p w14:paraId="7F0A26AE">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0720D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1" w:hRule="atLeast"/>
        </w:trPr>
        <w:tc>
          <w:tcPr>
            <w:tcW w:w="734" w:type="dxa"/>
            <w:vAlign w:val="top"/>
          </w:tcPr>
          <w:p w14:paraId="16069498">
            <w:pPr>
              <w:rPr>
                <w:rFonts w:ascii="Arial"/>
                <w:sz w:val="21"/>
              </w:rPr>
            </w:pPr>
          </w:p>
        </w:tc>
        <w:tc>
          <w:tcPr>
            <w:tcW w:w="8236" w:type="dxa"/>
            <w:vAlign w:val="top"/>
          </w:tcPr>
          <w:p w14:paraId="69890F8D">
            <w:pPr>
              <w:pStyle w:val="6"/>
              <w:spacing w:before="44" w:line="219" w:lineRule="auto"/>
              <w:ind w:left="710"/>
            </w:pPr>
            <w:r>
              <w:rPr>
                <w:spacing w:val="-1"/>
              </w:rPr>
              <w:t>(1)废弃土石方：不产生永久性弃渣。</w:t>
            </w:r>
          </w:p>
          <w:p w14:paraId="51056837">
            <w:pPr>
              <w:pStyle w:val="6"/>
              <w:spacing w:before="165" w:line="290" w:lineRule="auto"/>
              <w:ind w:left="111" w:firstLine="507"/>
            </w:pPr>
            <w:r>
              <w:rPr>
                <w:spacing w:val="-1"/>
              </w:rPr>
              <w:t>(2)建筑垃圾：建筑垃圾应分类收集，能利用部分回收利用或外售收购商</w:t>
            </w:r>
            <w:r>
              <w:rPr>
                <w:spacing w:val="5"/>
              </w:rPr>
              <w:t xml:space="preserve"> </w:t>
            </w:r>
            <w:r>
              <w:rPr>
                <w:spacing w:val="-1"/>
              </w:rPr>
              <w:t>进行回收，不可回收部分统一收集后送当地建筑</w:t>
            </w:r>
            <w:r>
              <w:rPr>
                <w:spacing w:val="-2"/>
              </w:rPr>
              <w:t>垃圾消纳场，禁止乱堆乱倒。</w:t>
            </w:r>
          </w:p>
          <w:p w14:paraId="5277E4FD">
            <w:pPr>
              <w:pStyle w:val="6"/>
              <w:spacing w:before="181" w:line="216" w:lineRule="auto"/>
              <w:ind w:left="700"/>
            </w:pPr>
            <w:r>
              <w:rPr>
                <w:spacing w:val="2"/>
              </w:rPr>
              <w:t>(3)生活垃圾：在施工场地设置临时生活垃圾收集容器(垃圾桶若干),</w:t>
            </w:r>
          </w:p>
          <w:p w14:paraId="0F6B1FC2">
            <w:pPr>
              <w:pStyle w:val="6"/>
              <w:spacing w:before="201" w:line="309" w:lineRule="auto"/>
              <w:ind w:left="91" w:firstLine="29"/>
            </w:pPr>
            <w:r>
              <w:rPr>
                <w:spacing w:val="-15"/>
              </w:rPr>
              <w:t>施工人员的生活垃圾集中收集，实行“日产日清”送至周边村镇垃圾收集点处理，</w:t>
            </w:r>
            <w:r>
              <w:rPr>
                <w:spacing w:val="4"/>
              </w:rPr>
              <w:t xml:space="preserve"> </w:t>
            </w:r>
            <w:r>
              <w:rPr>
                <w:spacing w:val="-4"/>
              </w:rPr>
              <w:t>不得随意抛弃或焚烧。生活垃圾不得并入弃渣场填埋。化粪池定期清掏用作农</w:t>
            </w:r>
            <w:r>
              <w:rPr>
                <w:spacing w:val="2"/>
              </w:rPr>
              <w:t xml:space="preserve">  </w:t>
            </w:r>
            <w:r>
              <w:rPr>
                <w:spacing w:val="-2"/>
              </w:rPr>
              <w:t>肥。</w:t>
            </w:r>
          </w:p>
          <w:p w14:paraId="59C8E77F">
            <w:pPr>
              <w:pStyle w:val="6"/>
              <w:spacing w:before="197" w:line="345" w:lineRule="auto"/>
              <w:ind w:left="101" w:right="159" w:firstLine="509"/>
              <w:jc w:val="both"/>
            </w:pPr>
            <w:r>
              <w:t>施工期严禁大型机械设备进入光伏阵列靠近生态保护红线、周家菁水库</w:t>
            </w:r>
            <w:r>
              <w:rPr>
                <w:spacing w:val="14"/>
              </w:rPr>
              <w:t xml:space="preserve"> </w:t>
            </w:r>
            <w:r>
              <w:rPr>
                <w:spacing w:val="1"/>
              </w:rPr>
              <w:t>饮用水水源保护区之处，根据实际情况设置生态保护警示牌及围栏，尽</w:t>
            </w:r>
            <w:r>
              <w:t>可能 减少生态保护红线、周家菁水库饮用水水源保护区内生态平衡扰</w:t>
            </w:r>
            <w:r>
              <w:rPr>
                <w:spacing w:val="-1"/>
              </w:rPr>
              <w:t>动。</w:t>
            </w:r>
          </w:p>
        </w:tc>
      </w:tr>
      <w:tr w14:paraId="774A2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8" w:hRule="atLeast"/>
        </w:trPr>
        <w:tc>
          <w:tcPr>
            <w:tcW w:w="734" w:type="dxa"/>
            <w:vAlign w:val="top"/>
          </w:tcPr>
          <w:p w14:paraId="1FF1F202">
            <w:pPr>
              <w:rPr>
                <w:rFonts w:ascii="Arial"/>
                <w:sz w:val="21"/>
              </w:rPr>
            </w:pPr>
          </w:p>
          <w:p w14:paraId="41DD1CEB">
            <w:pPr>
              <w:rPr>
                <w:rFonts w:ascii="Arial"/>
                <w:sz w:val="21"/>
              </w:rPr>
            </w:pPr>
          </w:p>
          <w:p w14:paraId="418FA003">
            <w:pPr>
              <w:rPr>
                <w:rFonts w:ascii="Arial"/>
                <w:sz w:val="21"/>
              </w:rPr>
            </w:pPr>
          </w:p>
          <w:p w14:paraId="2765F170">
            <w:pPr>
              <w:rPr>
                <w:rFonts w:ascii="Arial"/>
                <w:sz w:val="21"/>
              </w:rPr>
            </w:pPr>
          </w:p>
          <w:p w14:paraId="5E3F91A6">
            <w:pPr>
              <w:rPr>
                <w:rFonts w:ascii="Arial"/>
                <w:sz w:val="21"/>
              </w:rPr>
            </w:pPr>
          </w:p>
          <w:p w14:paraId="7BD062D8">
            <w:pPr>
              <w:rPr>
                <w:rFonts w:ascii="Arial"/>
                <w:sz w:val="21"/>
              </w:rPr>
            </w:pPr>
          </w:p>
          <w:p w14:paraId="0E5E8BD6">
            <w:pPr>
              <w:rPr>
                <w:rFonts w:ascii="Arial"/>
                <w:sz w:val="21"/>
              </w:rPr>
            </w:pPr>
          </w:p>
          <w:p w14:paraId="58255504">
            <w:pPr>
              <w:rPr>
                <w:rFonts w:ascii="Arial"/>
                <w:sz w:val="21"/>
              </w:rPr>
            </w:pPr>
          </w:p>
          <w:p w14:paraId="49AC0AD6">
            <w:pPr>
              <w:rPr>
                <w:rFonts w:ascii="Arial"/>
                <w:sz w:val="21"/>
              </w:rPr>
            </w:pPr>
          </w:p>
          <w:p w14:paraId="37D3457B">
            <w:pPr>
              <w:spacing w:line="241" w:lineRule="auto"/>
              <w:rPr>
                <w:rFonts w:ascii="Arial"/>
                <w:sz w:val="21"/>
              </w:rPr>
            </w:pPr>
          </w:p>
          <w:p w14:paraId="448202B2">
            <w:pPr>
              <w:spacing w:line="241" w:lineRule="auto"/>
              <w:rPr>
                <w:rFonts w:ascii="Arial"/>
                <w:sz w:val="21"/>
              </w:rPr>
            </w:pPr>
          </w:p>
          <w:p w14:paraId="50252DD7">
            <w:pPr>
              <w:spacing w:line="241" w:lineRule="auto"/>
              <w:rPr>
                <w:rFonts w:ascii="Arial"/>
                <w:sz w:val="21"/>
              </w:rPr>
            </w:pPr>
          </w:p>
          <w:p w14:paraId="1976326D">
            <w:pPr>
              <w:spacing w:line="241" w:lineRule="auto"/>
              <w:rPr>
                <w:rFonts w:ascii="Arial"/>
                <w:sz w:val="21"/>
              </w:rPr>
            </w:pPr>
          </w:p>
          <w:p w14:paraId="2773F4DB">
            <w:pPr>
              <w:spacing w:line="241" w:lineRule="auto"/>
              <w:rPr>
                <w:rFonts w:ascii="Arial"/>
                <w:sz w:val="21"/>
              </w:rPr>
            </w:pPr>
          </w:p>
          <w:p w14:paraId="0CF4694F">
            <w:pPr>
              <w:pStyle w:val="6"/>
              <w:spacing w:before="78" w:line="220" w:lineRule="auto"/>
              <w:ind w:left="114"/>
            </w:pPr>
            <w:r>
              <w:rPr>
                <w:spacing w:val="7"/>
              </w:rPr>
              <w:t>运营</w:t>
            </w:r>
          </w:p>
          <w:p w14:paraId="316AD615">
            <w:pPr>
              <w:pStyle w:val="6"/>
              <w:spacing w:before="24" w:line="220" w:lineRule="auto"/>
              <w:ind w:left="114"/>
            </w:pPr>
            <w:r>
              <w:rPr>
                <w:spacing w:val="5"/>
              </w:rPr>
              <w:t>期生</w:t>
            </w:r>
          </w:p>
          <w:p w14:paraId="2E33D5D7">
            <w:pPr>
              <w:pStyle w:val="6"/>
              <w:spacing w:before="26" w:line="221" w:lineRule="auto"/>
              <w:ind w:left="114"/>
            </w:pPr>
            <w:r>
              <w:rPr>
                <w:spacing w:val="6"/>
              </w:rPr>
              <w:t>态环</w:t>
            </w:r>
          </w:p>
          <w:p w14:paraId="6B2B3151">
            <w:pPr>
              <w:pStyle w:val="6"/>
              <w:spacing w:before="20" w:line="220" w:lineRule="auto"/>
              <w:ind w:left="114"/>
            </w:pPr>
            <w:r>
              <w:rPr>
                <w:spacing w:val="-3"/>
              </w:rPr>
              <w:t>境保</w:t>
            </w:r>
          </w:p>
          <w:p w14:paraId="03D9D328">
            <w:pPr>
              <w:pStyle w:val="6"/>
              <w:spacing w:before="23" w:line="220" w:lineRule="auto"/>
              <w:ind w:left="114"/>
            </w:pPr>
            <w:r>
              <w:rPr>
                <w:spacing w:val="6"/>
              </w:rPr>
              <w:t>护措</w:t>
            </w:r>
          </w:p>
          <w:p w14:paraId="0C9CE09B">
            <w:pPr>
              <w:pStyle w:val="6"/>
              <w:spacing w:before="17" w:line="222" w:lineRule="auto"/>
              <w:ind w:left="234"/>
            </w:pPr>
            <w:r>
              <w:t>施</w:t>
            </w:r>
          </w:p>
        </w:tc>
        <w:tc>
          <w:tcPr>
            <w:tcW w:w="8236" w:type="dxa"/>
            <w:vAlign w:val="top"/>
          </w:tcPr>
          <w:p w14:paraId="1412C76F">
            <w:pPr>
              <w:pStyle w:val="6"/>
              <w:spacing w:before="41" w:line="220" w:lineRule="auto"/>
              <w:ind w:left="104"/>
            </w:pPr>
            <w:r>
              <w:rPr>
                <w:b/>
                <w:bCs/>
                <w:spacing w:val="-5"/>
              </w:rPr>
              <w:t>一、运营期生态环境保护措施</w:t>
            </w:r>
          </w:p>
          <w:p w14:paraId="1C4B3A99">
            <w:pPr>
              <w:pStyle w:val="6"/>
              <w:spacing w:before="26" w:line="339" w:lineRule="auto"/>
              <w:ind w:left="20" w:firstLine="599"/>
            </w:pPr>
            <w:r>
              <w:t>(1)严格执行《云南省能源局关于进一步支持光伏扶贫和规范光伏发电产</w:t>
            </w:r>
            <w:r>
              <w:rPr>
                <w:spacing w:val="4"/>
              </w:rPr>
              <w:t xml:space="preserve"> </w:t>
            </w:r>
            <w:r>
              <w:rPr>
                <w:spacing w:val="3"/>
              </w:rPr>
              <w:t>业用地的通知》(云自然资[2019]196号</w:t>
            </w:r>
            <w:r>
              <w:rPr>
                <w:spacing w:val="2"/>
              </w:rPr>
              <w:t>)、《云南省林业和草原局云南省能源</w:t>
            </w:r>
            <w:r>
              <w:t xml:space="preserve"> </w:t>
            </w:r>
            <w:r>
              <w:rPr>
                <w:spacing w:val="1"/>
              </w:rPr>
              <w:t>局关于进一步规范光伏复合项目使用林草地有关事项的通知》(云林规[2021]5</w:t>
            </w:r>
            <w:r>
              <w:rPr>
                <w:spacing w:val="6"/>
              </w:rPr>
              <w:t xml:space="preserve"> </w:t>
            </w:r>
            <w:r>
              <w:rPr>
                <w:spacing w:val="3"/>
              </w:rPr>
              <w:t>号)的要求，确保光伏组件严格执行最低沿高于地面2.5m,光伏板下种植农业</w:t>
            </w:r>
            <w:r>
              <w:rPr>
                <w:spacing w:val="4"/>
              </w:rPr>
              <w:t xml:space="preserve">  </w:t>
            </w:r>
            <w:r>
              <w:rPr>
                <w:spacing w:val="2"/>
              </w:rPr>
              <w:t>的阵列桩基间列间距大于4m、行间距大于6.5m的要求；除桩基用地外，严禁</w:t>
            </w:r>
            <w:r>
              <w:rPr>
                <w:spacing w:val="8"/>
              </w:rPr>
              <w:t xml:space="preserve">  </w:t>
            </w:r>
            <w:r>
              <w:t>硬化地面，占用林草地区域应及时恢复林草植被；占用耕地区域严禁破坏耕作</w:t>
            </w:r>
            <w:r>
              <w:rPr>
                <w:spacing w:val="4"/>
              </w:rPr>
              <w:t xml:space="preserve"> </w:t>
            </w:r>
            <w:r>
              <w:rPr>
                <w:spacing w:val="2"/>
              </w:rPr>
              <w:t>层，严禁抛荒、撂荒，应积极通过返租、合作等方式，确保恢复农业生产。</w:t>
            </w:r>
          </w:p>
          <w:p w14:paraId="7A7FD93A">
            <w:pPr>
              <w:pStyle w:val="6"/>
              <w:spacing w:before="185" w:line="322" w:lineRule="auto"/>
              <w:ind w:left="20" w:firstLine="596"/>
            </w:pPr>
            <w:r>
              <w:rPr>
                <w:spacing w:val="-1"/>
              </w:rPr>
              <w:t>(2)光伏场区等临时用地区域在植被恢复过程中，应加强初期、中期的植</w:t>
            </w:r>
            <w:r>
              <w:t xml:space="preserve"> </w:t>
            </w:r>
            <w:r>
              <w:rPr>
                <w:spacing w:val="1"/>
              </w:rPr>
              <w:t>被抚育工作。尽量采取场地封禁自然恢复，并辅以适当的人工手段：如选取乡</w:t>
            </w:r>
            <w:r>
              <w:rPr>
                <w:spacing w:val="10"/>
              </w:rPr>
              <w:t xml:space="preserve"> </w:t>
            </w:r>
            <w:r>
              <w:rPr>
                <w:spacing w:val="-1"/>
              </w:rPr>
              <w:t>土物种补种补植；项目区较为干旱，必要时可进行适当的洒水浇灌，以保</w:t>
            </w:r>
            <w:r>
              <w:rPr>
                <w:spacing w:val="-2"/>
              </w:rPr>
              <w:t>障植</w:t>
            </w:r>
            <w:r>
              <w:t xml:space="preserve"> </w:t>
            </w:r>
            <w:r>
              <w:rPr>
                <w:spacing w:val="11"/>
              </w:rPr>
              <w:t>被的恢复存活。</w:t>
            </w:r>
          </w:p>
          <w:p w14:paraId="0B815838">
            <w:pPr>
              <w:pStyle w:val="6"/>
              <w:spacing w:before="183" w:line="291" w:lineRule="auto"/>
              <w:ind w:left="91" w:right="36" w:firstLine="529"/>
            </w:pPr>
            <w:r>
              <w:t>(3)加强运维管理人员和场地内工作人员的环保宣传教育和监督管理，保</w:t>
            </w:r>
            <w:r>
              <w:rPr>
                <w:spacing w:val="7"/>
              </w:rPr>
              <w:t xml:space="preserve"> </w:t>
            </w:r>
            <w:r>
              <w:t>护当地的植物及野生动物，禁止人为捕杀；禁止引入外来有害生物。</w:t>
            </w:r>
          </w:p>
          <w:p w14:paraId="3F84CB61">
            <w:pPr>
              <w:pStyle w:val="6"/>
              <w:spacing w:before="182" w:line="332" w:lineRule="auto"/>
              <w:ind w:left="20" w:firstLine="598"/>
            </w:pPr>
            <w:r>
              <w:t>(4)本项目属于农光互补型光伏电站，项目光伏</w:t>
            </w:r>
            <w:r>
              <w:rPr>
                <w:spacing w:val="-1"/>
              </w:rPr>
              <w:t>板区建设完成后，后续根</w:t>
            </w:r>
            <w:r>
              <w:t xml:space="preserve"> </w:t>
            </w:r>
            <w:r>
              <w:rPr>
                <w:spacing w:val="1"/>
              </w:rPr>
              <w:t>据土地利用类型规划实施农光互补，光伏板下方种植光照需求量不高，且容易</w:t>
            </w:r>
            <w:r>
              <w:rPr>
                <w:spacing w:val="10"/>
              </w:rPr>
              <w:t xml:space="preserve"> </w:t>
            </w:r>
            <w:r>
              <w:t>成活、有经济价值的经济作物。本环评要求，运营期</w:t>
            </w:r>
            <w:r>
              <w:rPr>
                <w:spacing w:val="-1"/>
              </w:rPr>
              <w:t>为恢复生态环境，光伏阵</w:t>
            </w:r>
            <w:r>
              <w:t xml:space="preserve"> 列区建设完成后尽快实施农作物种植，以达到形成无地</w:t>
            </w:r>
            <w:r>
              <w:rPr>
                <w:spacing w:val="-1"/>
              </w:rPr>
              <w:t>表裸露的目的，控制水</w:t>
            </w:r>
            <w:r>
              <w:t xml:space="preserve"> </w:t>
            </w:r>
            <w:r>
              <w:rPr>
                <w:spacing w:val="6"/>
              </w:rPr>
              <w:t>土流失及生态系统稳定运行。</w:t>
            </w:r>
          </w:p>
        </w:tc>
      </w:tr>
    </w:tbl>
    <w:p w14:paraId="0FBA1971">
      <w:pPr>
        <w:pStyle w:val="2"/>
      </w:pPr>
    </w:p>
    <w:p w14:paraId="34A07C03">
      <w:pPr>
        <w:sectPr>
          <w:footerReference r:id="rId122" w:type="default"/>
          <w:pgSz w:w="11910" w:h="16840"/>
          <w:pgMar w:top="1431" w:right="1484" w:bottom="1255" w:left="1445" w:header="0" w:footer="1093" w:gutter="0"/>
          <w:cols w:space="720" w:num="1"/>
        </w:sectPr>
      </w:pPr>
    </w:p>
    <w:p w14:paraId="59F17285">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67F56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734" w:type="dxa"/>
            <w:vAlign w:val="top"/>
          </w:tcPr>
          <w:p w14:paraId="00E3E9F1">
            <w:pPr>
              <w:rPr>
                <w:rFonts w:ascii="Arial"/>
                <w:sz w:val="21"/>
              </w:rPr>
            </w:pPr>
          </w:p>
        </w:tc>
        <w:tc>
          <w:tcPr>
            <w:tcW w:w="8236" w:type="dxa"/>
            <w:vAlign w:val="top"/>
          </w:tcPr>
          <w:p w14:paraId="35BC5738">
            <w:pPr>
              <w:pStyle w:val="6"/>
              <w:spacing w:before="14" w:line="356" w:lineRule="auto"/>
              <w:ind w:left="111" w:firstLine="589"/>
            </w:pPr>
            <w:r>
              <w:rPr>
                <w:spacing w:val="-1"/>
              </w:rPr>
              <w:t>(5)做好项目区的森林防火工作，重点加强项目运营、检修期间的</w:t>
            </w:r>
            <w:r>
              <w:rPr>
                <w:spacing w:val="-2"/>
              </w:rPr>
              <w:t>野外火</w:t>
            </w:r>
            <w:r>
              <w:t xml:space="preserve"> </w:t>
            </w:r>
            <w:r>
              <w:rPr>
                <w:spacing w:val="-1"/>
              </w:rPr>
              <w:t>源管理，落实森林草原防火管护人员和措施。</w:t>
            </w:r>
          </w:p>
          <w:p w14:paraId="7AE8777E">
            <w:pPr>
              <w:pStyle w:val="6"/>
              <w:spacing w:before="4" w:line="359" w:lineRule="auto"/>
              <w:ind w:left="101" w:firstLine="591"/>
              <w:jc w:val="both"/>
            </w:pPr>
            <w:r>
              <w:rPr>
                <w:spacing w:val="-8"/>
              </w:rPr>
              <w:t>(6)后期光伏场区植被恢复后，生长过程中在满足电站正常运行的基础上，</w:t>
            </w:r>
            <w:r>
              <w:rPr>
                <w:spacing w:val="4"/>
              </w:rPr>
              <w:t xml:space="preserve"> </w:t>
            </w:r>
            <w:r>
              <w:rPr>
                <w:spacing w:val="-4"/>
              </w:rPr>
              <w:t>应尽量减少对下方及周边植物的扰动。在影响电站发电</w:t>
            </w:r>
            <w:r>
              <w:rPr>
                <w:spacing w:val="-5"/>
              </w:rPr>
              <w:t>时，应尽量采取人工修</w:t>
            </w:r>
            <w:r>
              <w:t xml:space="preserve">  </w:t>
            </w:r>
            <w:r>
              <w:rPr>
                <w:spacing w:val="-3"/>
              </w:rPr>
              <w:t>剪高度的方式，避免直接清理砍伐。</w:t>
            </w:r>
          </w:p>
          <w:p w14:paraId="1BE7D1C9">
            <w:pPr>
              <w:pStyle w:val="6"/>
              <w:spacing w:line="291" w:lineRule="auto"/>
              <w:ind w:left="101" w:firstLine="599"/>
            </w:pPr>
            <w:r>
              <w:rPr>
                <w:spacing w:val="-1"/>
              </w:rPr>
              <w:t>(7)巡检车辆只在检修道路内行驶，避免对植被造成损害；加强对</w:t>
            </w:r>
            <w:r>
              <w:rPr>
                <w:spacing w:val="-2"/>
              </w:rPr>
              <w:t>各项生</w:t>
            </w:r>
            <w:r>
              <w:t xml:space="preserve"> </w:t>
            </w:r>
            <w:r>
              <w:rPr>
                <w:spacing w:val="-1"/>
              </w:rPr>
              <w:t>态保护措施的日常维护。</w:t>
            </w:r>
          </w:p>
          <w:p w14:paraId="3D60D183">
            <w:pPr>
              <w:pStyle w:val="6"/>
              <w:spacing w:before="184" w:line="220" w:lineRule="auto"/>
              <w:ind w:left="690"/>
            </w:pPr>
            <w:r>
              <w:rPr>
                <w:spacing w:val="1"/>
              </w:rPr>
              <w:t>(8)生态红线保护措施</w:t>
            </w:r>
          </w:p>
          <w:p w14:paraId="38E23660">
            <w:pPr>
              <w:pStyle w:val="6"/>
              <w:spacing w:before="193" w:line="360" w:lineRule="auto"/>
              <w:ind w:left="101" w:firstLine="478"/>
              <w:jc w:val="both"/>
            </w:pPr>
            <w:r>
              <w:rPr>
                <w:spacing w:val="-1"/>
              </w:rPr>
              <w:t>本项目运营期光伏电站工作人员在日常的管理活动中可能进入生态</w:t>
            </w:r>
            <w:r>
              <w:rPr>
                <w:spacing w:val="-2"/>
              </w:rPr>
              <w:t>保护红</w:t>
            </w:r>
            <w:r>
              <w:t xml:space="preserve"> </w:t>
            </w:r>
            <w:r>
              <w:rPr>
                <w:spacing w:val="-1"/>
              </w:rPr>
              <w:t>线区范围内活动，对生态保护红线区造成影响。因此，运营期建设单</w:t>
            </w:r>
            <w:r>
              <w:rPr>
                <w:spacing w:val="-2"/>
              </w:rPr>
              <w:t>位须对电</w:t>
            </w:r>
            <w:r>
              <w:t xml:space="preserve"> </w:t>
            </w:r>
            <w:r>
              <w:rPr>
                <w:spacing w:val="-1"/>
              </w:rPr>
              <w:t>站工作人员加强管理，在项目区周边设置生态保护警示牌，告知工作人</w:t>
            </w:r>
            <w:r>
              <w:rPr>
                <w:spacing w:val="-2"/>
              </w:rPr>
              <w:t>员生态</w:t>
            </w:r>
            <w:r>
              <w:t xml:space="preserve"> </w:t>
            </w:r>
            <w:r>
              <w:rPr>
                <w:spacing w:val="-1"/>
              </w:rPr>
              <w:t>保护红线区的位置及范围，尽量减少工作人员进入生态保护红线区内活动。</w:t>
            </w:r>
          </w:p>
          <w:p w14:paraId="2DB0D8FE">
            <w:pPr>
              <w:pStyle w:val="6"/>
              <w:spacing w:before="18" w:line="219" w:lineRule="auto"/>
              <w:ind w:left="710"/>
            </w:pPr>
            <w:r>
              <w:t>(9)周家箐水库水源保护区的保护措施</w:t>
            </w:r>
          </w:p>
          <w:p w14:paraId="233701D6">
            <w:pPr>
              <w:pStyle w:val="6"/>
              <w:spacing w:before="155" w:line="219" w:lineRule="auto"/>
              <w:ind w:left="590"/>
            </w:pPr>
            <w:r>
              <w:t>项目地块五32#阵列西北侧900m为周家箐水库，为饮用水源。周家箐水</w:t>
            </w:r>
          </w:p>
          <w:p w14:paraId="71605F75">
            <w:pPr>
              <w:pStyle w:val="6"/>
              <w:spacing w:before="197" w:line="357" w:lineRule="auto"/>
              <w:ind w:left="101" w:firstLine="9"/>
            </w:pPr>
            <w:r>
              <w:rPr>
                <w:spacing w:val="-3"/>
              </w:rPr>
              <w:t>库已划定水源保护区，地块五32#阵列距离周家水源保护区12m。地块五32#阵</w:t>
            </w:r>
            <w:r>
              <w:rPr>
                <w:spacing w:val="5"/>
              </w:rPr>
              <w:t xml:space="preserve">  </w:t>
            </w:r>
            <w:r>
              <w:rPr>
                <w:spacing w:val="-4"/>
              </w:rPr>
              <w:t>列与周家箐水源保护区中间有山脊相隔。运营期光伏阵列的箱变集油坑雨季增</w:t>
            </w:r>
            <w:r>
              <w:rPr>
                <w:spacing w:val="17"/>
              </w:rPr>
              <w:t xml:space="preserve"> </w:t>
            </w:r>
            <w:r>
              <w:rPr>
                <w:spacing w:val="-8"/>
              </w:rPr>
              <w:t>加检查频率排水，增加排水频率，确保集油坑平时空置。光伏阵列维护过程中，</w:t>
            </w:r>
            <w:r>
              <w:rPr>
                <w:spacing w:val="3"/>
              </w:rPr>
              <w:t xml:space="preserve"> </w:t>
            </w:r>
            <w:r>
              <w:rPr>
                <w:spacing w:val="-4"/>
              </w:rPr>
              <w:t>禁止在水源保护区内堆放材料和进行材料加工。维护过程</w:t>
            </w:r>
            <w:r>
              <w:rPr>
                <w:spacing w:val="-5"/>
              </w:rPr>
              <w:t>中减少人员进入水源</w:t>
            </w:r>
            <w:r>
              <w:t xml:space="preserve">  </w:t>
            </w:r>
            <w:r>
              <w:rPr>
                <w:spacing w:val="-4"/>
              </w:rPr>
              <w:t>地保护区，减少对水源保护区内的地表扰动。建设单</w:t>
            </w:r>
            <w:r>
              <w:rPr>
                <w:spacing w:val="-5"/>
              </w:rPr>
              <w:t>位需告知工作人员水源保</w:t>
            </w:r>
            <w:r>
              <w:t xml:space="preserve">  </w:t>
            </w:r>
            <w:r>
              <w:rPr>
                <w:spacing w:val="-3"/>
              </w:rPr>
              <w:t>护区的位置及范围，尽量减少工作人员进入水源</w:t>
            </w:r>
            <w:r>
              <w:rPr>
                <w:spacing w:val="-4"/>
              </w:rPr>
              <w:t>保护区内活动。</w:t>
            </w:r>
          </w:p>
          <w:p w14:paraId="5117DCDE">
            <w:pPr>
              <w:pStyle w:val="6"/>
              <w:spacing w:line="220" w:lineRule="auto"/>
              <w:ind w:left="94"/>
            </w:pPr>
            <w:r>
              <w:rPr>
                <w:b/>
                <w:bCs/>
                <w:spacing w:val="-4"/>
              </w:rPr>
              <w:t>二、运营期大气环境保护措施</w:t>
            </w:r>
          </w:p>
          <w:p w14:paraId="051E95CC">
            <w:pPr>
              <w:pStyle w:val="6"/>
              <w:spacing w:before="185" w:line="291" w:lineRule="auto"/>
              <w:ind w:left="91" w:right="75" w:firstLine="609"/>
            </w:pPr>
            <w:r>
              <w:t>(1)升压站内使用清洁能源，厨房设置1套抽油烟机，食堂油烟经油烟机</w:t>
            </w:r>
            <w:r>
              <w:rPr>
                <w:spacing w:val="8"/>
              </w:rPr>
              <w:t xml:space="preserve"> </w:t>
            </w:r>
            <w:r>
              <w:rPr>
                <w:spacing w:val="-1"/>
              </w:rPr>
              <w:t>抽吸至楼顶排放。</w:t>
            </w:r>
          </w:p>
          <w:p w14:paraId="554537EB">
            <w:pPr>
              <w:pStyle w:val="6"/>
              <w:spacing w:before="186" w:line="219" w:lineRule="auto"/>
              <w:ind w:left="700"/>
            </w:pPr>
            <w:r>
              <w:t>(2)隔油池、化粪池均为地埋式，减少异味的产生，厂区内加强绿</w:t>
            </w:r>
            <w:r>
              <w:rPr>
                <w:spacing w:val="-1"/>
              </w:rPr>
              <w:t>化。</w:t>
            </w:r>
          </w:p>
          <w:p w14:paraId="1B3D0E3A">
            <w:pPr>
              <w:pStyle w:val="6"/>
              <w:spacing w:before="175" w:line="219" w:lineRule="auto"/>
              <w:jc w:val="right"/>
            </w:pPr>
            <w:r>
              <w:rPr>
                <w:spacing w:val="-8"/>
              </w:rPr>
              <w:t>(3)生活垃圾及时清运，减少因生活垃圾腐烂而产生的异味影响周</w:t>
            </w:r>
            <w:r>
              <w:rPr>
                <w:spacing w:val="-9"/>
              </w:rPr>
              <w:t>围环境。</w:t>
            </w:r>
          </w:p>
          <w:p w14:paraId="009C3789">
            <w:pPr>
              <w:pStyle w:val="6"/>
              <w:spacing w:before="184" w:line="293" w:lineRule="auto"/>
              <w:ind w:left="81" w:firstLine="618"/>
            </w:pPr>
            <w:r>
              <w:rPr>
                <w:spacing w:val="-1"/>
              </w:rPr>
              <w:t>(4)保持项目区内环境卫生，减少运营期地面扬尘和飘散物对环境空</w:t>
            </w:r>
            <w:r>
              <w:rPr>
                <w:spacing w:val="-2"/>
              </w:rPr>
              <w:t>气质</w:t>
            </w:r>
            <w:r>
              <w:t xml:space="preserve"> </w:t>
            </w:r>
            <w:r>
              <w:rPr>
                <w:spacing w:val="-1"/>
              </w:rPr>
              <w:t>量的影响。</w:t>
            </w:r>
          </w:p>
          <w:p w14:paraId="5A5682B8">
            <w:pPr>
              <w:pStyle w:val="6"/>
              <w:spacing w:before="188" w:line="283" w:lineRule="auto"/>
              <w:ind w:left="111" w:firstLine="589"/>
            </w:pPr>
            <w:r>
              <w:rPr>
                <w:spacing w:val="-1"/>
              </w:rPr>
              <w:t>(5)场内道路两旁栽种行道树，阻挡道路扬尘，设置标志提醒车辆</w:t>
            </w:r>
            <w:r>
              <w:rPr>
                <w:spacing w:val="-2"/>
              </w:rPr>
              <w:t>减速慢</w:t>
            </w:r>
            <w:r>
              <w:t xml:space="preserve"> 行，减小道路扬尘、车辆尾气对周围大气环</w:t>
            </w:r>
            <w:r>
              <w:rPr>
                <w:spacing w:val="-1"/>
              </w:rPr>
              <w:t>境的影响。</w:t>
            </w:r>
          </w:p>
        </w:tc>
      </w:tr>
    </w:tbl>
    <w:p w14:paraId="3EDAB0E0">
      <w:pPr>
        <w:pStyle w:val="2"/>
      </w:pPr>
    </w:p>
    <w:p w14:paraId="1C1B60C7">
      <w:pPr>
        <w:sectPr>
          <w:footerReference r:id="rId123" w:type="default"/>
          <w:pgSz w:w="11910" w:h="16840"/>
          <w:pgMar w:top="1431" w:right="1484" w:bottom="1255" w:left="1445" w:header="0" w:footer="1093" w:gutter="0"/>
          <w:cols w:space="720" w:num="1"/>
        </w:sectPr>
      </w:pPr>
    </w:p>
    <w:p w14:paraId="73A21D90">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78558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734" w:type="dxa"/>
            <w:vAlign w:val="top"/>
          </w:tcPr>
          <w:p w14:paraId="670E01CB">
            <w:pPr>
              <w:rPr>
                <w:rFonts w:ascii="Arial"/>
                <w:sz w:val="21"/>
              </w:rPr>
            </w:pPr>
          </w:p>
        </w:tc>
        <w:tc>
          <w:tcPr>
            <w:tcW w:w="8236" w:type="dxa"/>
            <w:vAlign w:val="top"/>
          </w:tcPr>
          <w:p w14:paraId="1D859A5C">
            <w:pPr>
              <w:pStyle w:val="6"/>
              <w:spacing w:before="11" w:line="219" w:lineRule="auto"/>
              <w:ind w:left="84"/>
            </w:pPr>
            <w:bookmarkStart w:id="9" w:name="bookmark12"/>
            <w:bookmarkEnd w:id="9"/>
            <w:r>
              <w:rPr>
                <w:b/>
                <w:bCs/>
                <w:spacing w:val="-4"/>
              </w:rPr>
              <w:t>三、运营期水环境保护措施</w:t>
            </w:r>
          </w:p>
          <w:p w14:paraId="1F794F0A">
            <w:pPr>
              <w:pStyle w:val="6"/>
              <w:spacing w:before="176" w:line="291" w:lineRule="auto"/>
              <w:ind w:left="91" w:firstLine="609"/>
            </w:pPr>
            <w:r>
              <w:rPr>
                <w:spacing w:val="-1"/>
              </w:rPr>
              <w:t>(1)光伏电池板清洗废水直接顺着流在光伏板下面的农作物上，作</w:t>
            </w:r>
            <w:r>
              <w:rPr>
                <w:spacing w:val="-2"/>
              </w:rPr>
              <w:t>为农作</w:t>
            </w:r>
            <w:r>
              <w:t xml:space="preserve"> 物灌溉补充水，不外排，清洗时间选择在农</w:t>
            </w:r>
            <w:r>
              <w:rPr>
                <w:spacing w:val="-1"/>
              </w:rPr>
              <w:t>作物可浇灌期间进行。</w:t>
            </w:r>
          </w:p>
          <w:p w14:paraId="4BA2FAD4">
            <w:pPr>
              <w:pStyle w:val="6"/>
              <w:spacing w:before="184" w:line="284" w:lineRule="auto"/>
              <w:ind w:left="101" w:firstLine="595"/>
            </w:pPr>
            <w:r>
              <w:rPr>
                <w:spacing w:val="-1"/>
              </w:rPr>
              <w:t>(2)升压站食堂废水经0.2m³隔油池预处理后与其它生活污水一并进入1m³</w:t>
            </w:r>
            <w:r>
              <w:rPr>
                <w:spacing w:val="5"/>
              </w:rPr>
              <w:t xml:space="preserve"> </w:t>
            </w:r>
            <w:r>
              <w:rPr>
                <w:spacing w:val="2"/>
              </w:rPr>
              <w:t>化粪池，再排入一座处理规模为2m³/d的一体化生活污水处理站(</w:t>
            </w:r>
            <w:r>
              <w:t>AO</w:t>
            </w:r>
            <w:r>
              <w:rPr>
                <w:spacing w:val="2"/>
              </w:rPr>
              <w:t>),经处</w:t>
            </w:r>
          </w:p>
          <w:p w14:paraId="78957F56">
            <w:pPr>
              <w:pStyle w:val="6"/>
              <w:spacing w:before="190" w:line="316" w:lineRule="auto"/>
              <w:ind w:left="81" w:firstLine="29"/>
            </w:pPr>
            <w:r>
              <w:t>理达到《城市污水再生利用城市杂用水水质》(GB/T 18920-2020)中“城</w:t>
            </w:r>
            <w:r>
              <w:rPr>
                <w:spacing w:val="-1"/>
              </w:rPr>
              <w:t>市绿</w:t>
            </w:r>
            <w:r>
              <w:t xml:space="preserve"> </w:t>
            </w:r>
            <w:r>
              <w:rPr>
                <w:spacing w:val="-4"/>
              </w:rPr>
              <w:t>化”标准要求后，晴天全部回用于站区绿化，雨天暂存于4m³中水储存池，不外</w:t>
            </w:r>
            <w:r>
              <w:rPr>
                <w:spacing w:val="8"/>
              </w:rPr>
              <w:t xml:space="preserve"> </w:t>
            </w:r>
            <w:r>
              <w:rPr>
                <w:spacing w:val="-1"/>
              </w:rPr>
              <w:t>排。</w:t>
            </w:r>
          </w:p>
          <w:p w14:paraId="15D53E5D">
            <w:pPr>
              <w:pStyle w:val="6"/>
              <w:spacing w:before="186" w:line="220" w:lineRule="auto"/>
              <w:ind w:left="104"/>
            </w:pPr>
            <w:r>
              <w:rPr>
                <w:b/>
                <w:bCs/>
                <w:spacing w:val="-3"/>
              </w:rPr>
              <w:t>四、运营期声环境保护措施</w:t>
            </w:r>
          </w:p>
          <w:p w14:paraId="6D771E39">
            <w:pPr>
              <w:pStyle w:val="6"/>
              <w:spacing w:before="176" w:line="362" w:lineRule="auto"/>
              <w:ind w:left="111" w:right="172" w:firstLine="489"/>
            </w:pPr>
            <w:r>
              <w:t>建设单位应加强噪声防治措施，应从声源上降低噪声和从噪声传播途径</w:t>
            </w:r>
            <w:r>
              <w:rPr>
                <w:spacing w:val="11"/>
              </w:rPr>
              <w:t xml:space="preserve"> </w:t>
            </w:r>
            <w:r>
              <w:t>上降低噪声两个环节着手，具体防治措施如</w:t>
            </w:r>
            <w:r>
              <w:rPr>
                <w:spacing w:val="-1"/>
              </w:rPr>
              <w:t>下：</w:t>
            </w:r>
          </w:p>
          <w:p w14:paraId="22806946">
            <w:pPr>
              <w:pStyle w:val="6"/>
              <w:spacing w:line="219" w:lineRule="auto"/>
              <w:ind w:left="710"/>
            </w:pPr>
            <w:r>
              <w:t>(1)优先选用低噪声设备，从声源处降低噪声强度。</w:t>
            </w:r>
          </w:p>
          <w:p w14:paraId="06F3EB43">
            <w:pPr>
              <w:pStyle w:val="6"/>
              <w:spacing w:before="176" w:line="290" w:lineRule="auto"/>
              <w:ind w:left="130" w:right="184" w:firstLine="580"/>
            </w:pPr>
            <w:r>
              <w:t>(2)升压站各电气设备应严格按标准安装，加强设备维护保养，确保设</w:t>
            </w:r>
            <w:r>
              <w:rPr>
                <w:spacing w:val="10"/>
              </w:rPr>
              <w:t xml:space="preserve"> </w:t>
            </w:r>
            <w:r>
              <w:t>备平稳运行，避免因转动部分与外缘碰撞、摩擦而加大噪声。</w:t>
            </w:r>
          </w:p>
          <w:p w14:paraId="6A330680">
            <w:pPr>
              <w:pStyle w:val="6"/>
              <w:spacing w:before="193" w:line="309" w:lineRule="auto"/>
              <w:ind w:left="111" w:right="185" w:firstLine="599"/>
            </w:pPr>
            <w:r>
              <w:t>(3)光伏发电区箱式变压器通过外箱进行隔声降噪；逆变器应分散合理</w:t>
            </w:r>
            <w:r>
              <w:rPr>
                <w:spacing w:val="7"/>
              </w:rPr>
              <w:t xml:space="preserve"> </w:t>
            </w:r>
            <w:r>
              <w:t>设置，尽量远离周边居民区等保护目标，并严格按照说明书安装要求安装，</w:t>
            </w:r>
            <w:r>
              <w:rPr>
                <w:spacing w:val="8"/>
              </w:rPr>
              <w:t xml:space="preserve"> </w:t>
            </w:r>
            <w:r>
              <w:t>通过采取加装阻尼弹簧减振器等措施减小振</w:t>
            </w:r>
            <w:r>
              <w:rPr>
                <w:spacing w:val="-1"/>
              </w:rPr>
              <w:t>动。</w:t>
            </w:r>
          </w:p>
          <w:p w14:paraId="21ADF81B">
            <w:pPr>
              <w:pStyle w:val="6"/>
              <w:spacing w:before="176" w:line="320" w:lineRule="auto"/>
              <w:ind w:left="111" w:right="185" w:firstLine="599"/>
            </w:pPr>
            <w:r>
              <w:t>(4)升压站场区周围种植绿化隔离带，林带应乔、灌木合理搭配，并选</w:t>
            </w:r>
            <w:r>
              <w:rPr>
                <w:spacing w:val="8"/>
              </w:rPr>
              <w:t xml:space="preserve"> </w:t>
            </w:r>
            <w:r>
              <w:t>择分枝多，树冠大、枝叶茂盛的树种，选择吸声能力及吸收废气能力强的树</w:t>
            </w:r>
            <w:r>
              <w:rPr>
                <w:spacing w:val="8"/>
              </w:rPr>
              <w:t xml:space="preserve"> </w:t>
            </w:r>
            <w:r>
              <w:t>种，以减少噪声和其他污染物对周围环境的影响。</w:t>
            </w:r>
          </w:p>
          <w:p w14:paraId="60B5C687">
            <w:pPr>
              <w:pStyle w:val="6"/>
              <w:spacing w:before="161" w:line="220" w:lineRule="auto"/>
              <w:ind w:left="94"/>
            </w:pPr>
            <w:r>
              <w:rPr>
                <w:b/>
                <w:bCs/>
                <w:spacing w:val="-4"/>
              </w:rPr>
              <w:t>五、运营期固废处置</w:t>
            </w:r>
          </w:p>
          <w:p w14:paraId="7B003174">
            <w:pPr>
              <w:pStyle w:val="6"/>
              <w:spacing w:before="184" w:line="362" w:lineRule="auto"/>
              <w:ind w:left="120" w:right="194" w:firstLine="580"/>
            </w:pPr>
            <w:r>
              <w:t>(1)生活垃圾收集后运至项目附近村庄垃圾收集点，由当地环卫部门统</w:t>
            </w:r>
            <w:r>
              <w:rPr>
                <w:spacing w:val="10"/>
              </w:rPr>
              <w:t xml:space="preserve"> </w:t>
            </w:r>
            <w:r>
              <w:t>一处理处置。</w:t>
            </w:r>
          </w:p>
          <w:p w14:paraId="00C14DE9">
            <w:pPr>
              <w:pStyle w:val="6"/>
              <w:spacing w:before="1" w:line="218" w:lineRule="auto"/>
              <w:ind w:left="700"/>
            </w:pPr>
            <w:r>
              <w:t>(2)化粪池及一体化污水处理设施运行污泥清掏后作为农肥使用。</w:t>
            </w:r>
          </w:p>
          <w:p w14:paraId="71A639B0">
            <w:pPr>
              <w:pStyle w:val="6"/>
              <w:spacing w:before="195" w:line="219" w:lineRule="auto"/>
              <w:ind w:left="700"/>
            </w:pPr>
            <w:r>
              <w:t>(3)废旧太阳能电池板集中收集至升压站库房，由厂家回收处理。</w:t>
            </w:r>
          </w:p>
          <w:p w14:paraId="1FDDBE13">
            <w:pPr>
              <w:pStyle w:val="6"/>
              <w:spacing w:before="168" w:line="290" w:lineRule="auto"/>
              <w:ind w:left="111" w:right="182" w:firstLine="599"/>
            </w:pPr>
            <w:r>
              <w:t>(4)废润滑油、废变压器油、废铅蓄电池暂存于危废暂存间，委托有危</w:t>
            </w:r>
            <w:r>
              <w:rPr>
                <w:spacing w:val="11"/>
              </w:rPr>
              <w:t xml:space="preserve"> </w:t>
            </w:r>
            <w:r>
              <w:t>险废物回收资质的单位妥善处理，严格执行危废转移联单制</w:t>
            </w:r>
            <w:r>
              <w:rPr>
                <w:spacing w:val="-1"/>
              </w:rPr>
              <w:t>度。</w:t>
            </w:r>
          </w:p>
          <w:p w14:paraId="101F41FA">
            <w:pPr>
              <w:pStyle w:val="6"/>
              <w:spacing w:before="176" w:line="336" w:lineRule="auto"/>
              <w:ind w:left="111" w:right="372" w:firstLine="489"/>
            </w:pPr>
            <w:r>
              <w:rPr>
                <w:spacing w:val="1"/>
              </w:rPr>
              <w:t>危险废物贮存须遵守《危险废物贮存污染控制标准》(</w:t>
            </w:r>
            <w:r>
              <w:t>GB</w:t>
            </w:r>
            <w:r>
              <w:rPr>
                <w:spacing w:val="1"/>
              </w:rPr>
              <w:t>18597-2023)</w:t>
            </w:r>
            <w:r>
              <w:rPr>
                <w:spacing w:val="16"/>
              </w:rPr>
              <w:t xml:space="preserve"> </w:t>
            </w:r>
            <w:r>
              <w:rPr>
                <w:spacing w:val="-1"/>
              </w:rPr>
              <w:t>的要求，危废贮存库应满足以下要求：</w:t>
            </w:r>
          </w:p>
        </w:tc>
      </w:tr>
    </w:tbl>
    <w:p w14:paraId="05E9590D">
      <w:pPr>
        <w:pStyle w:val="2"/>
      </w:pPr>
    </w:p>
    <w:p w14:paraId="4EBF4CFA">
      <w:pPr>
        <w:sectPr>
          <w:footerReference r:id="rId124" w:type="default"/>
          <w:pgSz w:w="11910" w:h="16840"/>
          <w:pgMar w:top="1431" w:right="1484" w:bottom="1255" w:left="1445" w:header="0" w:footer="1093" w:gutter="0"/>
          <w:cols w:space="720" w:num="1"/>
        </w:sectPr>
      </w:pPr>
    </w:p>
    <w:p w14:paraId="56F2CC83">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491CD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734" w:type="dxa"/>
            <w:vAlign w:val="top"/>
          </w:tcPr>
          <w:p w14:paraId="1BC85B6C">
            <w:pPr>
              <w:rPr>
                <w:rFonts w:ascii="Arial"/>
                <w:sz w:val="21"/>
              </w:rPr>
            </w:pPr>
          </w:p>
        </w:tc>
        <w:tc>
          <w:tcPr>
            <w:tcW w:w="8236" w:type="dxa"/>
            <w:vAlign w:val="top"/>
          </w:tcPr>
          <w:p w14:paraId="06AF2303">
            <w:pPr>
              <w:pStyle w:val="6"/>
              <w:spacing w:before="10" w:line="313" w:lineRule="auto"/>
              <w:ind w:left="101" w:right="193" w:firstLine="479"/>
            </w:pPr>
            <w:r>
              <w:t>①贮存设施应根据危险废物的形态、物理化学性质、包装形式和污染物</w:t>
            </w:r>
            <w:r>
              <w:rPr>
                <w:spacing w:val="10"/>
              </w:rPr>
              <w:t xml:space="preserve"> </w:t>
            </w:r>
            <w:r>
              <w:t>迁移途径，采取必要的防风、防晒、防雨、防漏、防</w:t>
            </w:r>
            <w:r>
              <w:rPr>
                <w:spacing w:val="-1"/>
              </w:rPr>
              <w:t>渗、防腐以及其他环境</w:t>
            </w:r>
            <w:r>
              <w:t xml:space="preserve"> 污染防治措施，不应露天堆放危险废物。</w:t>
            </w:r>
          </w:p>
          <w:p w14:paraId="075C9D3A">
            <w:pPr>
              <w:pStyle w:val="6"/>
              <w:spacing w:before="179" w:line="295" w:lineRule="auto"/>
              <w:ind w:left="111" w:right="202" w:firstLine="479"/>
            </w:pPr>
            <w:r>
              <w:t>②贮存设施或贮存分区内地面、墙面裙脚、堵截泄</w:t>
            </w:r>
            <w:r>
              <w:rPr>
                <w:spacing w:val="-1"/>
              </w:rPr>
              <w:t>漏的围堰、接触危险</w:t>
            </w:r>
            <w:r>
              <w:t xml:space="preserve"> 废物的隔板和墙体等应采用坚固的材料建造，表面无裂</w:t>
            </w:r>
            <w:r>
              <w:rPr>
                <w:spacing w:val="-1"/>
              </w:rPr>
              <w:t>缝。</w:t>
            </w:r>
          </w:p>
          <w:p w14:paraId="749C73C0">
            <w:pPr>
              <w:pStyle w:val="6"/>
              <w:spacing w:before="163" w:line="338" w:lineRule="auto"/>
              <w:ind w:left="91" w:right="181" w:firstLine="499"/>
            </w:pPr>
            <w:r>
              <w:t>③贮存设施地面与裙脚应采取表面防渗措施；表面防渗材料应与所接触</w:t>
            </w:r>
            <w:r>
              <w:rPr>
                <w:spacing w:val="11"/>
              </w:rPr>
              <w:t xml:space="preserve"> </w:t>
            </w:r>
            <w:r>
              <w:rPr>
                <w:spacing w:val="1"/>
              </w:rPr>
              <w:t>的物料或污染物相容，可采用抗渗混凝土、高密度聚乙烯膜、钠基膨润土防</w:t>
            </w:r>
            <w:r>
              <w:t xml:space="preserve"> </w:t>
            </w:r>
            <w:r>
              <w:rPr>
                <w:spacing w:val="1"/>
              </w:rPr>
              <w:t>水毯或其他防渗性能等效的材料。贮存的危险废物直接接触地面</w:t>
            </w:r>
            <w:r>
              <w:t xml:space="preserve">的，还应进 </w:t>
            </w:r>
            <w:r>
              <w:rPr>
                <w:spacing w:val="1"/>
              </w:rPr>
              <w:t>行基础防渗，防渗层为至少1m厚黏土层(渗透系数不大于10-7</w:t>
            </w:r>
            <w:r>
              <w:t>cm</w:t>
            </w:r>
            <w:r>
              <w:rPr>
                <w:spacing w:val="1"/>
              </w:rPr>
              <w:t xml:space="preserve">/s),或至少  </w:t>
            </w:r>
            <w:r>
              <w:rPr>
                <w:spacing w:val="4"/>
              </w:rPr>
              <w:t>2</w:t>
            </w:r>
            <w:r>
              <w:t>mm</w:t>
            </w:r>
            <w:r>
              <w:rPr>
                <w:spacing w:val="4"/>
              </w:rPr>
              <w:t>厚高密度聚乙烯膜等人工防渗材料(渗透系数不大于10-1</w:t>
            </w:r>
            <w:r>
              <w:rPr>
                <w:rFonts w:ascii="Calibri" w:hAnsi="Calibri" w:eastAsia="Calibri" w:cs="Calibri"/>
                <w:spacing w:val="4"/>
              </w:rPr>
              <w:t>⁰</w:t>
            </w:r>
            <w:r>
              <w:t>cm</w:t>
            </w:r>
            <w:r>
              <w:rPr>
                <w:spacing w:val="4"/>
              </w:rPr>
              <w:t>/s),或其他</w:t>
            </w:r>
            <w:r>
              <w:rPr>
                <w:spacing w:val="11"/>
              </w:rPr>
              <w:t xml:space="preserve"> </w:t>
            </w:r>
            <w:r>
              <w:rPr>
                <w:spacing w:val="-1"/>
              </w:rPr>
              <w:t>防渗性能等效的材料。</w:t>
            </w:r>
          </w:p>
          <w:p w14:paraId="38671BAA">
            <w:pPr>
              <w:pStyle w:val="6"/>
              <w:spacing w:before="183" w:line="285" w:lineRule="auto"/>
              <w:ind w:left="111" w:firstLine="599"/>
            </w:pPr>
            <w:r>
              <w:rPr>
                <w:spacing w:val="-2"/>
              </w:rPr>
              <w:t>④同一贮存设施宜采用相同的防渗、防腐工艺(包括防渗、防腐结构或材</w:t>
            </w:r>
            <w:r>
              <w:rPr>
                <w:spacing w:val="18"/>
              </w:rPr>
              <w:t xml:space="preserve"> </w:t>
            </w:r>
            <w:r>
              <w:t>料),防渗、防腐材料应覆盖所有可能与废物及其渗滤液、渗漏液等接触的</w:t>
            </w:r>
          </w:p>
          <w:p w14:paraId="23A22CD8">
            <w:pPr>
              <w:pStyle w:val="6"/>
              <w:spacing w:before="191" w:line="219" w:lineRule="auto"/>
              <w:ind w:left="101"/>
            </w:pPr>
            <w:r>
              <w:t>构筑物表面；采用不同防渗、防腐工艺应分别建设贮存分</w:t>
            </w:r>
            <w:r>
              <w:rPr>
                <w:spacing w:val="-1"/>
              </w:rPr>
              <w:t>区。</w:t>
            </w:r>
          </w:p>
          <w:p w14:paraId="32ED5AEF">
            <w:pPr>
              <w:pStyle w:val="6"/>
              <w:spacing w:before="194" w:line="217" w:lineRule="auto"/>
              <w:ind w:left="710"/>
            </w:pPr>
            <w:r>
              <w:t>⑤贮存设施应采取技术和管理措施防止无关人员进入。</w:t>
            </w:r>
          </w:p>
          <w:p w14:paraId="5708A722">
            <w:pPr>
              <w:pStyle w:val="6"/>
              <w:spacing w:before="168" w:line="217" w:lineRule="auto"/>
              <w:ind w:left="700"/>
            </w:pPr>
            <w:r>
              <w:t>⑥容器和包装物材质、内衬应与盛装的危险废物相容。</w:t>
            </w:r>
          </w:p>
          <w:p w14:paraId="58E4E348">
            <w:pPr>
              <w:pStyle w:val="6"/>
              <w:spacing w:before="188" w:line="312" w:lineRule="auto"/>
              <w:ind w:left="91" w:right="194" w:firstLine="609"/>
            </w:pPr>
            <w:r>
              <w:t>⑦危险废物存入贮存设施前应对危险废物类别和</w:t>
            </w:r>
            <w:r>
              <w:rPr>
                <w:spacing w:val="-1"/>
              </w:rPr>
              <w:t>特性与危险废物标签</w:t>
            </w:r>
            <w:r>
              <w:t xml:space="preserve">  </w:t>
            </w:r>
            <w:r>
              <w:rPr>
                <w:spacing w:val="1"/>
              </w:rPr>
              <w:t>等危险废物识别标志的一致性进行核验，不</w:t>
            </w:r>
            <w:r>
              <w:t xml:space="preserve">一致的或类别、特性不明的不应 </w:t>
            </w:r>
            <w:r>
              <w:rPr>
                <w:spacing w:val="-1"/>
              </w:rPr>
              <w:t>存入。</w:t>
            </w:r>
          </w:p>
          <w:p w14:paraId="6B286318">
            <w:pPr>
              <w:pStyle w:val="6"/>
              <w:spacing w:before="173" w:line="295" w:lineRule="auto"/>
              <w:ind w:left="101" w:right="82" w:firstLine="609"/>
            </w:pPr>
            <w:r>
              <w:t>⑧针对不同类别、形态、物理化学性质的危险废物</w:t>
            </w:r>
            <w:r>
              <w:rPr>
                <w:spacing w:val="-1"/>
              </w:rPr>
              <w:t>，其容器和包装物应</w:t>
            </w:r>
            <w:r>
              <w:t xml:space="preserve"> </w:t>
            </w:r>
            <w:r>
              <w:rPr>
                <w:spacing w:val="-1"/>
              </w:rPr>
              <w:t>满足相应的防渗、防漏、防腐和强度等要求。</w:t>
            </w:r>
          </w:p>
          <w:p w14:paraId="42E7E70C">
            <w:pPr>
              <w:pStyle w:val="6"/>
              <w:spacing w:before="183" w:line="299" w:lineRule="auto"/>
              <w:ind w:left="101" w:right="82" w:firstLine="609"/>
            </w:pPr>
            <w:r>
              <w:t>⑨贮存设施运行期间，应按国家有关标准和规定建</w:t>
            </w:r>
            <w:r>
              <w:rPr>
                <w:spacing w:val="-1"/>
              </w:rPr>
              <w:t>立危险废物管理台账</w:t>
            </w:r>
            <w:r>
              <w:t xml:space="preserve"> </w:t>
            </w:r>
            <w:r>
              <w:rPr>
                <w:spacing w:val="-1"/>
              </w:rPr>
              <w:t>并保存。</w:t>
            </w:r>
          </w:p>
          <w:p w14:paraId="3E9371BD">
            <w:pPr>
              <w:pStyle w:val="6"/>
              <w:spacing w:before="163" w:line="295" w:lineRule="auto"/>
              <w:ind w:left="101" w:right="47" w:firstLine="609"/>
            </w:pPr>
            <w:r>
              <w:rPr>
                <w:spacing w:val="1"/>
              </w:rPr>
              <w:t>⑩贮存设施所有者或运营者应建立贮存设施环境管理制度、</w:t>
            </w:r>
            <w:r>
              <w:t>管理人员岗 位职责制度、设施运行操作制度、人员岗位培训制度</w:t>
            </w:r>
            <w:r>
              <w:rPr>
                <w:spacing w:val="-1"/>
              </w:rPr>
              <w:t>等。</w:t>
            </w:r>
          </w:p>
          <w:p w14:paraId="4631C35F">
            <w:pPr>
              <w:pStyle w:val="6"/>
              <w:spacing w:before="162" w:line="220" w:lineRule="auto"/>
              <w:ind w:left="94"/>
            </w:pPr>
            <w:r>
              <w:rPr>
                <w:b/>
                <w:bCs/>
                <w:spacing w:val="-4"/>
              </w:rPr>
              <w:t>六、运营期环境风险防范措施</w:t>
            </w:r>
          </w:p>
          <w:p w14:paraId="5134A07E">
            <w:pPr>
              <w:pStyle w:val="6"/>
              <w:spacing w:before="187" w:line="286" w:lineRule="auto"/>
              <w:ind w:left="111" w:right="173" w:firstLine="489"/>
            </w:pPr>
            <w:r>
              <w:t>1)运行过程中，建设单位应对升压站、箱变基础、危险废物暂存间等危</w:t>
            </w:r>
            <w:r>
              <w:rPr>
                <w:spacing w:val="10"/>
              </w:rPr>
              <w:t xml:space="preserve"> </w:t>
            </w:r>
            <w:r>
              <w:rPr>
                <w:spacing w:val="4"/>
              </w:rPr>
              <w:t>险区域定期进行巡逻检修，若发现泄露迹象，及时采取措</w:t>
            </w:r>
            <w:r>
              <w:rPr>
                <w:spacing w:val="3"/>
              </w:rPr>
              <w:t>施防止泄露；</w:t>
            </w:r>
          </w:p>
          <w:p w14:paraId="60C270E5">
            <w:pPr>
              <w:pStyle w:val="6"/>
              <w:spacing w:before="187" w:line="219" w:lineRule="auto"/>
              <w:ind w:left="560"/>
            </w:pPr>
            <w:r>
              <w:t>2)建设方应强化禁火区域，加强管理，禁火区域严禁烟火，加强火源管</w:t>
            </w:r>
          </w:p>
        </w:tc>
      </w:tr>
    </w:tbl>
    <w:p w14:paraId="7B69B49E">
      <w:pPr>
        <w:pStyle w:val="2"/>
      </w:pPr>
    </w:p>
    <w:p w14:paraId="18AFAFAD">
      <w:pPr>
        <w:sectPr>
          <w:footerReference r:id="rId125" w:type="default"/>
          <w:pgSz w:w="11910" w:h="16840"/>
          <w:pgMar w:top="1431" w:right="1484" w:bottom="1262" w:left="1445" w:header="0" w:footer="1091" w:gutter="0"/>
          <w:cols w:space="720" w:num="1"/>
        </w:sectPr>
      </w:pPr>
    </w:p>
    <w:p w14:paraId="5759AA73">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36"/>
      </w:tblGrid>
      <w:tr w14:paraId="24EFA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9" w:hRule="atLeast"/>
        </w:trPr>
        <w:tc>
          <w:tcPr>
            <w:tcW w:w="734" w:type="dxa"/>
            <w:vAlign w:val="top"/>
          </w:tcPr>
          <w:p w14:paraId="555AD6DA">
            <w:pPr>
              <w:rPr>
                <w:rFonts w:ascii="Arial"/>
                <w:sz w:val="21"/>
              </w:rPr>
            </w:pPr>
          </w:p>
        </w:tc>
        <w:tc>
          <w:tcPr>
            <w:tcW w:w="8236" w:type="dxa"/>
            <w:vAlign w:val="top"/>
          </w:tcPr>
          <w:p w14:paraId="5E551BBC">
            <w:pPr>
              <w:pStyle w:val="6"/>
              <w:spacing w:before="13" w:line="358" w:lineRule="auto"/>
              <w:ind w:left="101" w:right="200" w:hanging="10"/>
            </w:pPr>
            <w:r>
              <w:t>理，严禁吸烟，在变压器、危险废物暂存间附近，配置灭火器材，设置室外</w:t>
            </w:r>
            <w:r>
              <w:rPr>
                <w:spacing w:val="13"/>
              </w:rPr>
              <w:t xml:space="preserve"> </w:t>
            </w:r>
            <w:r>
              <w:rPr>
                <w:spacing w:val="28"/>
              </w:rPr>
              <w:t>消火栓</w:t>
            </w:r>
            <w:r>
              <w:rPr>
                <w:spacing w:val="-57"/>
              </w:rPr>
              <w:t xml:space="preserve"> </w:t>
            </w:r>
            <w:r>
              <w:rPr>
                <w:spacing w:val="28"/>
              </w:rPr>
              <w:t>；</w:t>
            </w:r>
          </w:p>
          <w:p w14:paraId="148B364F">
            <w:pPr>
              <w:pStyle w:val="6"/>
              <w:spacing w:before="1" w:line="290" w:lineRule="auto"/>
              <w:ind w:left="130" w:right="213" w:firstLine="430"/>
            </w:pPr>
            <w:r>
              <w:t>3)为防止变压油事故泄露污染地表水体，设计已考虑在升压站内主变压</w:t>
            </w:r>
            <w:r>
              <w:rPr>
                <w:spacing w:val="10"/>
              </w:rPr>
              <w:t xml:space="preserve"> </w:t>
            </w:r>
            <w:r>
              <w:rPr>
                <w:spacing w:val="3"/>
              </w:rPr>
              <w:t>器处设置1个集油坑和1个事故油池，事故油池设置为地埋式，容积45m³。</w:t>
            </w:r>
          </w:p>
          <w:p w14:paraId="3DDC275E">
            <w:pPr>
              <w:pStyle w:val="6"/>
              <w:spacing w:before="175" w:line="333" w:lineRule="auto"/>
              <w:ind w:left="91" w:right="166" w:firstLine="20"/>
            </w:pPr>
            <w:r>
              <w:rPr>
                <w:spacing w:val="4"/>
              </w:rPr>
              <w:t>光伏阵列区51台箱变配置51个集油坑，单个集</w:t>
            </w:r>
            <w:r>
              <w:rPr>
                <w:spacing w:val="3"/>
              </w:rPr>
              <w:t>油坑容积不低于1m³。若变压</w:t>
            </w:r>
            <w:r>
              <w:t xml:space="preserve"> </w:t>
            </w:r>
            <w:r>
              <w:rPr>
                <w:spacing w:val="1"/>
              </w:rPr>
              <w:t>器发生泄漏后，事故变压油将全部进入事故</w:t>
            </w:r>
            <w:r>
              <w:t xml:space="preserve">油池，要求建设单位严格按照分 </w:t>
            </w:r>
            <w:r>
              <w:rPr>
                <w:spacing w:val="1"/>
              </w:rPr>
              <w:t>区防渗要求对事故油池、危险废物暂存间等进行重点防渗。施工期加强工程</w:t>
            </w:r>
            <w:r>
              <w:rPr>
                <w:spacing w:val="14"/>
              </w:rPr>
              <w:t xml:space="preserve"> </w:t>
            </w:r>
            <w:r>
              <w:rPr>
                <w:spacing w:val="1"/>
              </w:rPr>
              <w:t>监理和环境监理，提高防渗工程质量，做好照片、录像以及相关文字</w:t>
            </w:r>
            <w:r>
              <w:t>说明等 存档资料。</w:t>
            </w:r>
          </w:p>
          <w:p w14:paraId="5D4D738D">
            <w:pPr>
              <w:pStyle w:val="6"/>
              <w:spacing w:before="185" w:line="220" w:lineRule="auto"/>
              <w:ind w:left="560"/>
            </w:pPr>
            <w:r>
              <w:rPr>
                <w:spacing w:val="-1"/>
              </w:rPr>
              <w:t>4)防渗要求如下：</w:t>
            </w:r>
          </w:p>
          <w:p w14:paraId="262169C7">
            <w:pPr>
              <w:pStyle w:val="6"/>
              <w:spacing w:before="183" w:line="219" w:lineRule="auto"/>
              <w:ind w:left="590"/>
            </w:pPr>
            <w:r>
              <w:rPr>
                <w:spacing w:val="1"/>
              </w:rPr>
              <w:t>危险废物暂存间按照《危险废物贮存污染控制标准》(</w:t>
            </w:r>
            <w:r>
              <w:t>GB</w:t>
            </w:r>
            <w:r>
              <w:rPr>
                <w:spacing w:val="1"/>
              </w:rPr>
              <w:t>18597-2023)</w:t>
            </w:r>
          </w:p>
          <w:p w14:paraId="24D8F9EC">
            <w:pPr>
              <w:pStyle w:val="6"/>
              <w:spacing w:before="171" w:line="364" w:lineRule="auto"/>
              <w:ind w:left="91" w:firstLine="19"/>
            </w:pPr>
            <w:r>
              <w:rPr>
                <w:spacing w:val="3"/>
              </w:rPr>
              <w:t>的相关要求进行防渗，防渗层为至少1m厚黏土层(渗透系数不大于10-</w:t>
            </w:r>
            <w:r>
              <w:rPr>
                <w:rFonts w:ascii="Calibri" w:hAnsi="Calibri" w:eastAsia="Calibri" w:cs="Calibri"/>
                <w:spacing w:val="3"/>
              </w:rPr>
              <w:t>⁷</w:t>
            </w:r>
            <w:r>
              <w:t>cm</w:t>
            </w:r>
            <w:r>
              <w:rPr>
                <w:spacing w:val="3"/>
              </w:rPr>
              <w:t xml:space="preserve">/s), </w:t>
            </w:r>
            <w:r>
              <w:rPr>
                <w:spacing w:val="5"/>
              </w:rPr>
              <w:t>或至少2</w:t>
            </w:r>
            <w:r>
              <w:t>mm</w:t>
            </w:r>
            <w:r>
              <w:rPr>
                <w:spacing w:val="5"/>
              </w:rPr>
              <w:t>厚高密度聚乙烯膜等人工防渗材料(渗透系数不大</w:t>
            </w:r>
            <w:r>
              <w:rPr>
                <w:spacing w:val="4"/>
              </w:rPr>
              <w:t>于10-1</w:t>
            </w:r>
            <w:r>
              <w:rPr>
                <w:rFonts w:ascii="Calibri" w:hAnsi="Calibri" w:eastAsia="Calibri" w:cs="Calibri"/>
                <w:spacing w:val="4"/>
              </w:rPr>
              <w:t>⁰</w:t>
            </w:r>
            <w:r>
              <w:t>cm</w:t>
            </w:r>
            <w:r>
              <w:rPr>
                <w:spacing w:val="4"/>
              </w:rPr>
              <w:t>/s),</w:t>
            </w:r>
            <w:r>
              <w:t xml:space="preserve">  </w:t>
            </w:r>
            <w:r>
              <w:rPr>
                <w:spacing w:val="-2"/>
              </w:rPr>
              <w:t>或其他防渗性能等效的材料。</w:t>
            </w:r>
          </w:p>
          <w:p w14:paraId="55866E14">
            <w:pPr>
              <w:pStyle w:val="6"/>
              <w:spacing w:before="3" w:line="218" w:lineRule="auto"/>
              <w:ind w:left="600"/>
            </w:pPr>
            <w:r>
              <w:rPr>
                <w:spacing w:val="-1"/>
              </w:rPr>
              <w:t>事故油池、集油坑按照《环境影响评价技术导则地下水环境》</w:t>
            </w:r>
          </w:p>
          <w:p w14:paraId="66EADAFA">
            <w:pPr>
              <w:pStyle w:val="6"/>
              <w:spacing w:before="165" w:line="359" w:lineRule="auto"/>
              <w:ind w:left="91" w:right="481" w:firstLine="139"/>
            </w:pPr>
            <w:r>
              <w:rPr>
                <w:spacing w:val="2"/>
              </w:rPr>
              <w:t>(</w:t>
            </w:r>
            <w:r>
              <w:t>HJ</w:t>
            </w:r>
            <w:r>
              <w:rPr>
                <w:spacing w:val="2"/>
              </w:rPr>
              <w:t>610-2016)表7重点防渗区要求进行防渗：等效黏土防渗层</w:t>
            </w:r>
            <w:r>
              <w:t>Mb</w:t>
            </w:r>
            <w:r>
              <w:rPr>
                <w:spacing w:val="2"/>
              </w:rPr>
              <w:t>≥6.0m,</w:t>
            </w:r>
            <w:r>
              <w:t xml:space="preserve"> </w:t>
            </w:r>
            <w:r>
              <w:rPr>
                <w:spacing w:val="-3"/>
              </w:rPr>
              <w:t>K≤1×10-7cm/s。</w:t>
            </w:r>
          </w:p>
          <w:p w14:paraId="73C8B318">
            <w:pPr>
              <w:pStyle w:val="6"/>
              <w:spacing w:before="1" w:line="290" w:lineRule="auto"/>
              <w:ind w:left="210" w:right="1395" w:firstLine="380"/>
            </w:pPr>
            <w:r>
              <w:t>5)危险废物的贮存严格按照《危险废物贮存污染控制标</w:t>
            </w:r>
            <w:r>
              <w:rPr>
                <w:spacing w:val="-1"/>
              </w:rPr>
              <w:t>准》</w:t>
            </w:r>
            <w:r>
              <w:t xml:space="preserve"> </w:t>
            </w:r>
            <w:r>
              <w:rPr>
                <w:spacing w:val="6"/>
              </w:rPr>
              <w:t>(</w:t>
            </w:r>
            <w:r>
              <w:t>GB</w:t>
            </w:r>
            <w:r>
              <w:rPr>
                <w:spacing w:val="6"/>
              </w:rPr>
              <w:t>18597-2023)相关要求执行；</w:t>
            </w:r>
          </w:p>
          <w:p w14:paraId="46E10A6B">
            <w:pPr>
              <w:pStyle w:val="6"/>
              <w:spacing w:before="176" w:line="322" w:lineRule="auto"/>
              <w:ind w:left="81" w:right="185" w:firstLine="479"/>
            </w:pPr>
            <w:r>
              <w:t>6)加强对操作人员的岗位培训，建立健全的环保管理机制和各项环保规</w:t>
            </w:r>
            <w:r>
              <w:rPr>
                <w:spacing w:val="9"/>
              </w:rPr>
              <w:t xml:space="preserve"> </w:t>
            </w:r>
            <w:r>
              <w:rPr>
                <w:spacing w:val="1"/>
              </w:rPr>
              <w:t>章制度，落实岗位环保责任制，加强环境风险防范工作，防止事故排放导致</w:t>
            </w:r>
            <w:r>
              <w:rPr>
                <w:spacing w:val="5"/>
              </w:rPr>
              <w:t xml:space="preserve"> </w:t>
            </w:r>
            <w:r>
              <w:rPr>
                <w:spacing w:val="23"/>
              </w:rPr>
              <w:t>环境问题；</w:t>
            </w:r>
          </w:p>
          <w:p w14:paraId="7D5212BB">
            <w:pPr>
              <w:pStyle w:val="6"/>
              <w:spacing w:before="160" w:line="325" w:lineRule="auto"/>
              <w:ind w:left="111" w:right="180" w:firstLine="479"/>
            </w:pPr>
            <w:r>
              <w:t>7)项目一旦发生火灾事故时，火灾会伴随释放大量的一氧化碳、二氧化</w:t>
            </w:r>
            <w:r>
              <w:rPr>
                <w:spacing w:val="9"/>
              </w:rPr>
              <w:t xml:space="preserve"> </w:t>
            </w:r>
            <w:r>
              <w:t>碳等大气污染物，对周边大气环境造成污染；在灭火过程中，消防喷水会产</w:t>
            </w:r>
            <w:r>
              <w:rPr>
                <w:spacing w:val="13"/>
              </w:rPr>
              <w:t xml:space="preserve"> </w:t>
            </w:r>
            <w:r>
              <w:t>生消防废水，消防废水含有大量的废渣，若直接进入地表水体，会对地表水</w:t>
            </w:r>
            <w:r>
              <w:rPr>
                <w:spacing w:val="10"/>
              </w:rPr>
              <w:t xml:space="preserve"> </w:t>
            </w:r>
            <w:r>
              <w:t>体造成污染。风险事故发生时应急处理措施如</w:t>
            </w:r>
            <w:r>
              <w:rPr>
                <w:spacing w:val="-1"/>
              </w:rPr>
              <w:t>下：</w:t>
            </w:r>
          </w:p>
          <w:p w14:paraId="520AD424">
            <w:pPr>
              <w:pStyle w:val="6"/>
              <w:spacing w:before="181" w:line="312" w:lineRule="auto"/>
              <w:ind w:left="111" w:right="168" w:firstLine="479"/>
            </w:pPr>
            <w:r>
              <w:t>①项目光伏场区均应严格按照消防要求进行规划</w:t>
            </w:r>
            <w:r>
              <w:rPr>
                <w:spacing w:val="-1"/>
              </w:rPr>
              <w:t>设计，配置相应的灭火</w:t>
            </w:r>
            <w:r>
              <w:t xml:space="preserve"> </w:t>
            </w:r>
            <w:r>
              <w:rPr>
                <w:spacing w:val="1"/>
              </w:rPr>
              <w:t>器、消防栓等设施。发生火灾时，应及时采取相应的灭火</w:t>
            </w:r>
            <w:r>
              <w:t xml:space="preserve">措施，必要时启动 </w:t>
            </w:r>
            <w:r>
              <w:rPr>
                <w:spacing w:val="4"/>
              </w:rPr>
              <w:t>突发事故应急预案，及时疏散最近环境敏感点周围的居民；</w:t>
            </w:r>
          </w:p>
        </w:tc>
      </w:tr>
    </w:tbl>
    <w:p w14:paraId="49F7BDCC">
      <w:pPr>
        <w:pStyle w:val="2"/>
      </w:pPr>
    </w:p>
    <w:p w14:paraId="02738B77">
      <w:pPr>
        <w:sectPr>
          <w:footerReference r:id="rId126" w:type="default"/>
          <w:pgSz w:w="11910" w:h="16840"/>
          <w:pgMar w:top="1431" w:right="1484" w:bottom="1267" w:left="1445" w:header="0" w:footer="1086" w:gutter="0"/>
          <w:cols w:space="720" w:num="1"/>
        </w:sectPr>
      </w:pPr>
    </w:p>
    <w:p w14:paraId="309B46C4">
      <w:pPr>
        <w:spacing w:line="93" w:lineRule="exact"/>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245"/>
      </w:tblGrid>
      <w:tr w14:paraId="05566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9" w:hRule="atLeast"/>
        </w:trPr>
        <w:tc>
          <w:tcPr>
            <w:tcW w:w="734" w:type="dxa"/>
            <w:vAlign w:val="top"/>
          </w:tcPr>
          <w:p w14:paraId="7F3DF10F">
            <w:pPr>
              <w:rPr>
                <w:rFonts w:ascii="Arial"/>
                <w:sz w:val="21"/>
              </w:rPr>
            </w:pPr>
          </w:p>
        </w:tc>
        <w:tc>
          <w:tcPr>
            <w:tcW w:w="8245" w:type="dxa"/>
            <w:vAlign w:val="top"/>
          </w:tcPr>
          <w:p w14:paraId="44D199C2">
            <w:pPr>
              <w:pStyle w:val="6"/>
              <w:spacing w:before="12" w:line="312" w:lineRule="auto"/>
              <w:ind w:left="111" w:right="201" w:firstLine="489"/>
            </w:pPr>
            <w:bookmarkStart w:id="10" w:name="bookmark13"/>
            <w:bookmarkEnd w:id="10"/>
            <w:r>
              <w:t>②发生火灾事故时，在事故发生位置四周用装满沙</w:t>
            </w:r>
            <w:r>
              <w:rPr>
                <w:spacing w:val="-1"/>
              </w:rPr>
              <w:t>土的袋子围成围堰拦</w:t>
            </w:r>
            <w:r>
              <w:t xml:space="preserve"> 截消防废液，并在光伏场区内采取导流方式将消防废</w:t>
            </w:r>
            <w:r>
              <w:rPr>
                <w:spacing w:val="-1"/>
              </w:rPr>
              <w:t>液等统一收集，集中处</w:t>
            </w:r>
            <w:r>
              <w:t xml:space="preserve"> </w:t>
            </w:r>
            <w:r>
              <w:rPr>
                <w:spacing w:val="6"/>
              </w:rPr>
              <w:t>理，消除安全隐患后委托有资质单位处理；</w:t>
            </w:r>
          </w:p>
          <w:p w14:paraId="7469583E">
            <w:pPr>
              <w:pStyle w:val="6"/>
              <w:spacing w:before="193" w:line="309" w:lineRule="auto"/>
              <w:ind w:left="91" w:right="201" w:firstLine="509"/>
            </w:pPr>
            <w:r>
              <w:t>③建议建设单位在雨水管网的光伏场区出口处设置</w:t>
            </w:r>
            <w:r>
              <w:rPr>
                <w:spacing w:val="-1"/>
              </w:rPr>
              <w:t>一个闸门，发生事故</w:t>
            </w:r>
            <w:r>
              <w:t xml:space="preserve"> 时及时关闭闸门，防止消防废水流出光伏场区，将其可能产生的环境影响控</w:t>
            </w:r>
            <w:r>
              <w:rPr>
                <w:spacing w:val="9"/>
              </w:rPr>
              <w:t xml:space="preserve"> </w:t>
            </w:r>
            <w:r>
              <w:rPr>
                <w:spacing w:val="13"/>
              </w:rPr>
              <w:t>制在光伏场区之内；</w:t>
            </w:r>
          </w:p>
          <w:p w14:paraId="068AFF25">
            <w:pPr>
              <w:pStyle w:val="6"/>
              <w:spacing w:before="192" w:line="288" w:lineRule="auto"/>
              <w:ind w:left="111" w:right="193" w:firstLine="489"/>
            </w:pPr>
            <w:r>
              <w:t>④事故发生后，相关部门要制定污染监测计划，对可能污染进行监测， 根据现场监测结果，直至无异常方可停止监测工</w:t>
            </w:r>
            <w:r>
              <w:rPr>
                <w:spacing w:val="-1"/>
              </w:rPr>
              <w:t>作。</w:t>
            </w:r>
          </w:p>
          <w:p w14:paraId="4A29565C">
            <w:pPr>
              <w:pStyle w:val="6"/>
              <w:spacing w:before="191" w:line="219" w:lineRule="auto"/>
              <w:ind w:left="94"/>
            </w:pPr>
            <w:r>
              <w:rPr>
                <w:b/>
                <w:bCs/>
                <w:spacing w:val="-4"/>
              </w:rPr>
              <w:t>七、光污染防范措施</w:t>
            </w:r>
          </w:p>
          <w:p w14:paraId="63339D09">
            <w:pPr>
              <w:pStyle w:val="6"/>
              <w:spacing w:before="177" w:line="219" w:lineRule="auto"/>
              <w:ind w:left="810"/>
            </w:pPr>
            <w:r>
              <w:rPr>
                <w:spacing w:val="1"/>
              </w:rPr>
              <w:t>(1)光伏板的选型</w:t>
            </w:r>
          </w:p>
          <w:p w14:paraId="55F16C3B">
            <w:pPr>
              <w:pStyle w:val="6"/>
              <w:spacing w:before="186" w:line="360" w:lineRule="auto"/>
              <w:ind w:left="101" w:right="63" w:firstLine="619"/>
              <w:jc w:val="both"/>
            </w:pPr>
            <w:r>
              <w:t>本项目采用单晶硅太阳能电池，该电池组件最外层为特种钢化玻璃，这</w:t>
            </w:r>
            <w:r>
              <w:rPr>
                <w:spacing w:val="9"/>
              </w:rPr>
              <w:t xml:space="preserve"> </w:t>
            </w:r>
            <w:r>
              <w:rPr>
                <w:spacing w:val="1"/>
              </w:rPr>
              <w:t>种钢化玻璃的透光率极高，达95%以上，</w:t>
            </w:r>
            <w:r>
              <w:t xml:space="preserve">该光伏方阵区的反射率仅为5%左右， </w:t>
            </w:r>
            <w:r>
              <w:rPr>
                <w:spacing w:val="-1"/>
              </w:rPr>
              <w:t>反射量极小。</w:t>
            </w:r>
          </w:p>
          <w:p w14:paraId="4BB89227">
            <w:pPr>
              <w:pStyle w:val="6"/>
              <w:spacing w:before="16" w:line="219" w:lineRule="auto"/>
              <w:ind w:left="720"/>
            </w:pPr>
            <w:r>
              <w:rPr>
                <w:spacing w:val="3"/>
              </w:rPr>
              <w:t>(2)合理布局</w:t>
            </w:r>
          </w:p>
          <w:p w14:paraId="2A38681B">
            <w:pPr>
              <w:pStyle w:val="6"/>
              <w:spacing w:before="172" w:line="357" w:lineRule="auto"/>
              <w:ind w:left="111" w:right="172" w:firstLine="489"/>
            </w:pPr>
            <w:r>
              <w:t xml:space="preserve">组件安装时每片电池板选择最佳阳光入射角度以最大限度利用太阳能， </w:t>
            </w:r>
            <w:r>
              <w:rPr>
                <w:spacing w:val="1"/>
              </w:rPr>
              <w:t>故太阳能不会在同一个平面上，增加了漫反射的几率，进一步</w:t>
            </w:r>
            <w:r>
              <w:t xml:space="preserve">减弱了光线的 </w:t>
            </w:r>
            <w:r>
              <w:rPr>
                <w:spacing w:val="1"/>
              </w:rPr>
              <w:t>反射，合理调整布局太阳能板及安装倾斜角度，在最大程度利用太阳</w:t>
            </w:r>
            <w:r>
              <w:t xml:space="preserve">能的同 </w:t>
            </w:r>
            <w:r>
              <w:rPr>
                <w:spacing w:val="1"/>
              </w:rPr>
              <w:t>时，将太阳能板产生的光污染</w:t>
            </w:r>
            <w:r>
              <w:rPr>
                <w:rFonts w:hint="eastAsia"/>
                <w:spacing w:val="1"/>
                <w:lang w:eastAsia="zh-CN"/>
              </w:rPr>
              <w:t>降至最低</w:t>
            </w:r>
            <w:bookmarkStart w:id="13" w:name="_GoBack"/>
            <w:bookmarkEnd w:id="13"/>
            <w:r>
              <w:rPr>
                <w:spacing w:val="1"/>
              </w:rPr>
              <w:t>限度。</w:t>
            </w:r>
            <w:r>
              <w:t>通过合理布局，可有效减少光 污染对清华洞油库、周围居民及地面交通的影</w:t>
            </w:r>
            <w:r>
              <w:rPr>
                <w:spacing w:val="-1"/>
              </w:rPr>
              <w:t>响。</w:t>
            </w:r>
          </w:p>
          <w:p w14:paraId="65F9387C">
            <w:pPr>
              <w:pStyle w:val="6"/>
              <w:spacing w:before="1" w:line="219" w:lineRule="auto"/>
              <w:ind w:left="114"/>
            </w:pPr>
            <w:r>
              <w:rPr>
                <w:b/>
                <w:bCs/>
                <w:spacing w:val="-4"/>
              </w:rPr>
              <w:t>八、电磁辐射环境保护措施</w:t>
            </w:r>
          </w:p>
          <w:p w14:paraId="2DC13E58">
            <w:pPr>
              <w:pStyle w:val="6"/>
              <w:spacing w:before="154" w:line="333" w:lineRule="auto"/>
              <w:ind w:left="91" w:right="183" w:firstLine="629"/>
            </w:pPr>
            <w:r>
              <w:t>(1)升压站内电气设备应采取集中布置方式，在设计中应按有关规程采</w:t>
            </w:r>
            <w:r>
              <w:rPr>
                <w:spacing w:val="9"/>
              </w:rPr>
              <w:t xml:space="preserve"> </w:t>
            </w:r>
            <w:r>
              <w:rPr>
                <w:spacing w:val="1"/>
              </w:rPr>
              <w:t>取系列的控制过电压、电磁感应场强水平的措施，如保证导体和电气设备之</w:t>
            </w:r>
            <w:r>
              <w:rPr>
                <w:spacing w:val="5"/>
              </w:rPr>
              <w:t xml:space="preserve"> </w:t>
            </w:r>
            <w:r>
              <w:rPr>
                <w:spacing w:val="1"/>
              </w:rPr>
              <w:t>间的电气安全距离，选用具有低辐射、抗干扰能力的设备，设置防雷接地保</w:t>
            </w:r>
            <w:r>
              <w:rPr>
                <w:spacing w:val="4"/>
              </w:rPr>
              <w:t xml:space="preserve"> </w:t>
            </w:r>
            <w:r>
              <w:rPr>
                <w:spacing w:val="1"/>
              </w:rPr>
              <w:t>护装置，选用带屏蔽层的电缆、屏蔽层接地等，将可以有效地降低</w:t>
            </w:r>
            <w:r>
              <w:t xml:space="preserve">电磁环境 </w:t>
            </w:r>
            <w:r>
              <w:rPr>
                <w:spacing w:val="-1"/>
              </w:rPr>
              <w:t>影响。</w:t>
            </w:r>
          </w:p>
          <w:p w14:paraId="0481BFF4">
            <w:pPr>
              <w:pStyle w:val="6"/>
              <w:spacing w:before="167" w:line="216" w:lineRule="auto"/>
              <w:ind w:left="720"/>
            </w:pPr>
            <w:r>
              <w:rPr>
                <w:spacing w:val="2"/>
              </w:rPr>
              <w:t>(2)合理选用各种电气设备及金属配件(如保护环、垫片、接头等),</w:t>
            </w:r>
          </w:p>
          <w:p w14:paraId="5FDEBE85">
            <w:pPr>
              <w:pStyle w:val="6"/>
              <w:spacing w:before="191" w:line="294" w:lineRule="auto"/>
              <w:ind w:left="111" w:right="165" w:firstLine="19"/>
            </w:pPr>
            <w:r>
              <w:t>以减少高电位梯度点引起的放电；使用合理、优良的绝缘子来减少绝缘子的</w:t>
            </w:r>
            <w:r>
              <w:rPr>
                <w:spacing w:val="17"/>
              </w:rPr>
              <w:t xml:space="preserve"> </w:t>
            </w:r>
            <w:r>
              <w:t>表面放电，尽量使用能改善绝缘子表面或沿绝缘子串电压分布的保护装</w:t>
            </w:r>
            <w:r>
              <w:rPr>
                <w:spacing w:val="-1"/>
              </w:rPr>
              <w:t>置。</w:t>
            </w:r>
          </w:p>
          <w:p w14:paraId="3C1480C5">
            <w:pPr>
              <w:pStyle w:val="6"/>
              <w:spacing w:before="175" w:line="219" w:lineRule="auto"/>
              <w:ind w:left="720"/>
            </w:pPr>
            <w:r>
              <w:rPr>
                <w:spacing w:val="1"/>
              </w:rPr>
              <w:t>(3)对大功率的电磁振荡设备采取必要的屏蔽，密封机箱</w:t>
            </w:r>
            <w:r>
              <w:t>的孔、口、门</w:t>
            </w:r>
          </w:p>
        </w:tc>
      </w:tr>
    </w:tbl>
    <w:p w14:paraId="57BCB37E">
      <w:pPr>
        <w:pStyle w:val="2"/>
      </w:pPr>
    </w:p>
    <w:p w14:paraId="56B06C0E">
      <w:pPr>
        <w:sectPr>
          <w:footerReference r:id="rId127" w:type="default"/>
          <w:pgSz w:w="11910" w:h="16840"/>
          <w:pgMar w:top="1431" w:right="1475" w:bottom="1267" w:left="1445" w:header="0" w:footer="1086" w:gutter="0"/>
          <w:cols w:space="720" w:num="1"/>
        </w:sectPr>
      </w:pPr>
    </w:p>
    <w:p w14:paraId="49A4D061">
      <w:pPr>
        <w:spacing w:line="93" w:lineRule="exact"/>
      </w:pPr>
    </w:p>
    <w:tbl>
      <w:tblPr>
        <w:tblStyle w:val="5"/>
        <w:tblW w:w="8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10"/>
        <w:gridCol w:w="459"/>
        <w:gridCol w:w="1109"/>
        <w:gridCol w:w="4345"/>
        <w:gridCol w:w="999"/>
        <w:gridCol w:w="1079"/>
        <w:gridCol w:w="125"/>
      </w:tblGrid>
      <w:tr w14:paraId="13BAC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1" w:hRule="atLeast"/>
        </w:trPr>
        <w:tc>
          <w:tcPr>
            <w:tcW w:w="734" w:type="dxa"/>
            <w:vAlign w:val="top"/>
          </w:tcPr>
          <w:p w14:paraId="362ACA21">
            <w:pPr>
              <w:rPr>
                <w:rFonts w:ascii="Arial"/>
                <w:sz w:val="21"/>
              </w:rPr>
            </w:pPr>
          </w:p>
        </w:tc>
        <w:tc>
          <w:tcPr>
            <w:tcW w:w="8226" w:type="dxa"/>
            <w:gridSpan w:val="7"/>
            <w:vAlign w:val="top"/>
          </w:tcPr>
          <w:p w14:paraId="71249AD4">
            <w:pPr>
              <w:pStyle w:val="6"/>
              <w:spacing w:before="12" w:line="372" w:lineRule="auto"/>
              <w:ind w:left="91" w:right="534" w:firstLine="10"/>
              <w:rPr>
                <w:sz w:val="23"/>
                <w:szCs w:val="23"/>
              </w:rPr>
            </w:pPr>
            <w:r>
              <w:rPr>
                <w:sz w:val="23"/>
                <w:szCs w:val="23"/>
              </w:rPr>
              <w:t>缝的连接处；控制箱、断路器端子箱、设备的放油</w:t>
            </w:r>
            <w:r>
              <w:rPr>
                <w:spacing w:val="-1"/>
                <w:sz w:val="23"/>
                <w:szCs w:val="23"/>
              </w:rPr>
              <w:t>阀门及分接开关尽量布置</w:t>
            </w:r>
            <w:r>
              <w:rPr>
                <w:sz w:val="23"/>
                <w:szCs w:val="23"/>
              </w:rPr>
              <w:t xml:space="preserve"> </w:t>
            </w:r>
            <w:r>
              <w:rPr>
                <w:spacing w:val="-1"/>
                <w:sz w:val="23"/>
                <w:szCs w:val="23"/>
              </w:rPr>
              <w:t>在较低场强区，以便于运行和检修人员接近。</w:t>
            </w:r>
          </w:p>
          <w:p w14:paraId="3FEEAB79">
            <w:pPr>
              <w:pStyle w:val="6"/>
              <w:spacing w:before="4" w:line="372" w:lineRule="auto"/>
              <w:ind w:left="120" w:right="486" w:firstLine="590"/>
              <w:rPr>
                <w:sz w:val="23"/>
                <w:szCs w:val="23"/>
              </w:rPr>
            </w:pPr>
            <w:r>
              <w:rPr>
                <w:sz w:val="23"/>
                <w:szCs w:val="23"/>
              </w:rPr>
              <w:t>(4)在危险区域设立相应的警示标志，并做好警示宣传工作，醒目位置</w:t>
            </w:r>
            <w:r>
              <w:rPr>
                <w:spacing w:val="2"/>
                <w:sz w:val="23"/>
                <w:szCs w:val="23"/>
              </w:rPr>
              <w:t xml:space="preserve"> </w:t>
            </w:r>
            <w:r>
              <w:rPr>
                <w:spacing w:val="-1"/>
                <w:sz w:val="23"/>
                <w:szCs w:val="23"/>
              </w:rPr>
              <w:t>设置安全警示图文标志。</w:t>
            </w:r>
          </w:p>
          <w:p w14:paraId="1F97418C">
            <w:pPr>
              <w:pStyle w:val="6"/>
              <w:spacing w:line="219" w:lineRule="auto"/>
              <w:ind w:left="104"/>
              <w:rPr>
                <w:sz w:val="23"/>
                <w:szCs w:val="23"/>
              </w:rPr>
            </w:pPr>
            <w:r>
              <w:rPr>
                <w:b/>
                <w:bCs/>
                <w:spacing w:val="-4"/>
                <w:sz w:val="23"/>
                <w:szCs w:val="23"/>
              </w:rPr>
              <w:t>九、服务期满后的环境保护措施</w:t>
            </w:r>
          </w:p>
          <w:p w14:paraId="38B3FE26">
            <w:pPr>
              <w:pStyle w:val="6"/>
              <w:spacing w:before="168" w:line="325" w:lineRule="auto"/>
              <w:ind w:left="111" w:right="484" w:firstLine="599"/>
              <w:rPr>
                <w:sz w:val="23"/>
                <w:szCs w:val="23"/>
              </w:rPr>
            </w:pPr>
            <w:r>
              <w:rPr>
                <w:sz w:val="23"/>
                <w:szCs w:val="23"/>
              </w:rPr>
              <w:t>(1)拆除的光伏组件由厂商负责回收。电气设备主要为逆变器、箱式变</w:t>
            </w:r>
            <w:r>
              <w:rPr>
                <w:spacing w:val="4"/>
                <w:sz w:val="23"/>
                <w:szCs w:val="23"/>
              </w:rPr>
              <w:t xml:space="preserve"> </w:t>
            </w:r>
            <w:r>
              <w:rPr>
                <w:sz w:val="23"/>
                <w:szCs w:val="23"/>
              </w:rPr>
              <w:t>压器就地进行拆解后运回设备生产商进行维修后再</w:t>
            </w:r>
            <w:r>
              <w:rPr>
                <w:spacing w:val="-1"/>
                <w:sz w:val="23"/>
                <w:szCs w:val="23"/>
              </w:rPr>
              <w:t>次使用。拆除光伏组件基</w:t>
            </w:r>
            <w:r>
              <w:rPr>
                <w:sz w:val="23"/>
                <w:szCs w:val="23"/>
              </w:rPr>
              <w:t xml:space="preserve"> 础和升压站建构筑物基础，拆除的建(构)筑物主要为</w:t>
            </w:r>
            <w:r>
              <w:rPr>
                <w:spacing w:val="-1"/>
                <w:sz w:val="23"/>
                <w:szCs w:val="23"/>
              </w:rPr>
              <w:t>混凝土结构，集中收</w:t>
            </w:r>
          </w:p>
          <w:p w14:paraId="14A1EF5A">
            <w:pPr>
              <w:pStyle w:val="6"/>
              <w:spacing w:before="197" w:line="219" w:lineRule="auto"/>
              <w:ind w:left="101"/>
              <w:rPr>
                <w:sz w:val="23"/>
                <w:szCs w:val="23"/>
              </w:rPr>
            </w:pPr>
            <w:r>
              <w:rPr>
                <w:spacing w:val="-1"/>
                <w:sz w:val="23"/>
                <w:szCs w:val="23"/>
              </w:rPr>
              <w:t>集后送当地建筑垃圾消纳场处置。</w:t>
            </w:r>
          </w:p>
          <w:p w14:paraId="252EC001">
            <w:pPr>
              <w:pStyle w:val="6"/>
              <w:spacing w:before="195" w:line="295" w:lineRule="auto"/>
              <w:ind w:left="91" w:right="475" w:firstLine="619"/>
              <w:rPr>
                <w:sz w:val="23"/>
                <w:szCs w:val="23"/>
              </w:rPr>
            </w:pPr>
            <w:r>
              <w:rPr>
                <w:sz w:val="23"/>
                <w:szCs w:val="23"/>
              </w:rPr>
              <w:t>(2)生态植被恢复：项目服务期满、光伏组件设备拆除完毕后，应编制</w:t>
            </w:r>
            <w:r>
              <w:rPr>
                <w:spacing w:val="14"/>
                <w:sz w:val="23"/>
                <w:szCs w:val="23"/>
              </w:rPr>
              <w:t xml:space="preserve"> </w:t>
            </w:r>
            <w:r>
              <w:rPr>
                <w:spacing w:val="-1"/>
                <w:sz w:val="23"/>
                <w:szCs w:val="23"/>
              </w:rPr>
              <w:t>植被恢复方案，做好植被恢复措施。</w:t>
            </w:r>
          </w:p>
        </w:tc>
      </w:tr>
      <w:tr w14:paraId="65108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8" w:hRule="atLeast"/>
        </w:trPr>
        <w:tc>
          <w:tcPr>
            <w:tcW w:w="734" w:type="dxa"/>
            <w:vMerge w:val="restart"/>
            <w:tcBorders>
              <w:bottom w:val="nil"/>
            </w:tcBorders>
            <w:vAlign w:val="top"/>
          </w:tcPr>
          <w:p w14:paraId="3A62C9BF">
            <w:pPr>
              <w:spacing w:line="250" w:lineRule="auto"/>
              <w:rPr>
                <w:rFonts w:ascii="Arial"/>
                <w:sz w:val="21"/>
              </w:rPr>
            </w:pPr>
          </w:p>
          <w:p w14:paraId="23E9D005">
            <w:pPr>
              <w:spacing w:line="250" w:lineRule="auto"/>
              <w:rPr>
                <w:rFonts w:ascii="Arial"/>
                <w:sz w:val="21"/>
              </w:rPr>
            </w:pPr>
          </w:p>
          <w:p w14:paraId="4C4E38A8">
            <w:pPr>
              <w:spacing w:line="250" w:lineRule="auto"/>
              <w:rPr>
                <w:rFonts w:ascii="Arial"/>
                <w:sz w:val="21"/>
              </w:rPr>
            </w:pPr>
          </w:p>
          <w:p w14:paraId="71D046D7">
            <w:pPr>
              <w:spacing w:line="250" w:lineRule="auto"/>
              <w:rPr>
                <w:rFonts w:ascii="Arial"/>
                <w:sz w:val="21"/>
              </w:rPr>
            </w:pPr>
          </w:p>
          <w:p w14:paraId="53ADFF3C">
            <w:pPr>
              <w:spacing w:line="250" w:lineRule="auto"/>
              <w:rPr>
                <w:rFonts w:ascii="Arial"/>
                <w:sz w:val="21"/>
              </w:rPr>
            </w:pPr>
          </w:p>
          <w:p w14:paraId="7683C843">
            <w:pPr>
              <w:spacing w:line="250" w:lineRule="auto"/>
              <w:rPr>
                <w:rFonts w:ascii="Arial"/>
                <w:sz w:val="21"/>
              </w:rPr>
            </w:pPr>
          </w:p>
          <w:p w14:paraId="6AEB2910">
            <w:pPr>
              <w:spacing w:line="250" w:lineRule="auto"/>
              <w:rPr>
                <w:rFonts w:ascii="Arial"/>
                <w:sz w:val="21"/>
              </w:rPr>
            </w:pPr>
          </w:p>
          <w:p w14:paraId="53AFD417">
            <w:pPr>
              <w:spacing w:line="250" w:lineRule="auto"/>
              <w:rPr>
                <w:rFonts w:ascii="Arial"/>
                <w:sz w:val="21"/>
              </w:rPr>
            </w:pPr>
          </w:p>
          <w:p w14:paraId="1F431620">
            <w:pPr>
              <w:spacing w:line="250" w:lineRule="auto"/>
              <w:rPr>
                <w:rFonts w:ascii="Arial"/>
                <w:sz w:val="21"/>
              </w:rPr>
            </w:pPr>
          </w:p>
          <w:p w14:paraId="38937D44">
            <w:pPr>
              <w:spacing w:line="250" w:lineRule="auto"/>
              <w:rPr>
                <w:rFonts w:ascii="Arial"/>
                <w:sz w:val="21"/>
              </w:rPr>
            </w:pPr>
          </w:p>
          <w:p w14:paraId="494CE927">
            <w:pPr>
              <w:spacing w:line="250" w:lineRule="auto"/>
              <w:rPr>
                <w:rFonts w:ascii="Arial"/>
                <w:sz w:val="21"/>
              </w:rPr>
            </w:pPr>
          </w:p>
          <w:p w14:paraId="5928E373">
            <w:pPr>
              <w:spacing w:line="250" w:lineRule="auto"/>
              <w:rPr>
                <w:rFonts w:ascii="Arial"/>
                <w:sz w:val="21"/>
              </w:rPr>
            </w:pPr>
          </w:p>
          <w:p w14:paraId="0D73CFE1">
            <w:pPr>
              <w:spacing w:line="251" w:lineRule="auto"/>
              <w:rPr>
                <w:rFonts w:ascii="Arial"/>
                <w:sz w:val="21"/>
              </w:rPr>
            </w:pPr>
          </w:p>
          <w:p w14:paraId="35276482">
            <w:pPr>
              <w:spacing w:line="251" w:lineRule="auto"/>
              <w:rPr>
                <w:rFonts w:ascii="Arial"/>
                <w:sz w:val="21"/>
              </w:rPr>
            </w:pPr>
          </w:p>
          <w:p w14:paraId="6AC6013E">
            <w:pPr>
              <w:spacing w:line="251" w:lineRule="auto"/>
              <w:rPr>
                <w:rFonts w:ascii="Arial"/>
                <w:sz w:val="21"/>
              </w:rPr>
            </w:pPr>
          </w:p>
          <w:p w14:paraId="2992610D">
            <w:pPr>
              <w:spacing w:line="251" w:lineRule="auto"/>
              <w:rPr>
                <w:rFonts w:ascii="Arial"/>
                <w:sz w:val="21"/>
              </w:rPr>
            </w:pPr>
          </w:p>
          <w:p w14:paraId="7BBF0C5B">
            <w:pPr>
              <w:pStyle w:val="6"/>
              <w:spacing w:before="75" w:line="220" w:lineRule="auto"/>
              <w:ind w:left="114"/>
              <w:rPr>
                <w:sz w:val="23"/>
                <w:szCs w:val="23"/>
              </w:rPr>
            </w:pPr>
            <w:r>
              <w:rPr>
                <w:spacing w:val="-3"/>
                <w:sz w:val="23"/>
                <w:szCs w:val="23"/>
              </w:rPr>
              <w:t>其他</w:t>
            </w:r>
          </w:p>
        </w:tc>
        <w:tc>
          <w:tcPr>
            <w:tcW w:w="8226" w:type="dxa"/>
            <w:gridSpan w:val="7"/>
            <w:vAlign w:val="top"/>
          </w:tcPr>
          <w:p w14:paraId="6D813A02">
            <w:pPr>
              <w:pStyle w:val="6"/>
              <w:spacing w:before="30" w:line="219" w:lineRule="auto"/>
              <w:ind w:left="94"/>
              <w:rPr>
                <w:sz w:val="23"/>
                <w:szCs w:val="23"/>
              </w:rPr>
            </w:pPr>
            <w:r>
              <w:rPr>
                <w:b/>
                <w:bCs/>
                <w:spacing w:val="-4"/>
                <w:sz w:val="23"/>
                <w:szCs w:val="23"/>
              </w:rPr>
              <w:t>一、环境管理与监测计划</w:t>
            </w:r>
          </w:p>
          <w:p w14:paraId="7143A6D2">
            <w:pPr>
              <w:pStyle w:val="6"/>
              <w:spacing w:before="37" w:line="219" w:lineRule="auto"/>
              <w:ind w:left="574"/>
              <w:rPr>
                <w:sz w:val="23"/>
                <w:szCs w:val="23"/>
              </w:rPr>
            </w:pPr>
            <w:r>
              <w:rPr>
                <w:b/>
                <w:bCs/>
                <w:spacing w:val="-3"/>
                <w:sz w:val="23"/>
                <w:szCs w:val="23"/>
              </w:rPr>
              <w:t>1、环境管理</w:t>
            </w:r>
          </w:p>
          <w:p w14:paraId="7DEF07E6">
            <w:pPr>
              <w:pStyle w:val="6"/>
              <w:spacing w:before="197" w:line="371" w:lineRule="auto"/>
              <w:ind w:left="91" w:right="484" w:firstLine="499"/>
              <w:jc w:val="both"/>
              <w:rPr>
                <w:sz w:val="23"/>
                <w:szCs w:val="23"/>
              </w:rPr>
            </w:pPr>
            <w:r>
              <w:rPr>
                <w:sz w:val="23"/>
                <w:szCs w:val="23"/>
              </w:rPr>
              <w:t>建设单位应建立健全与本项目施工期有关的环保管理体系，设置专职或</w:t>
            </w:r>
            <w:r>
              <w:rPr>
                <w:spacing w:val="9"/>
                <w:sz w:val="23"/>
                <w:szCs w:val="23"/>
              </w:rPr>
              <w:t xml:space="preserve"> </w:t>
            </w:r>
            <w:r>
              <w:rPr>
                <w:spacing w:val="1"/>
                <w:sz w:val="23"/>
                <w:szCs w:val="23"/>
              </w:rPr>
              <w:t>兼职人员负责落实项目施工期各环保管理制度。为切实减轻本</w:t>
            </w:r>
            <w:r>
              <w:rPr>
                <w:sz w:val="23"/>
                <w:szCs w:val="23"/>
              </w:rPr>
              <w:t xml:space="preserve">项目施工期的 </w:t>
            </w:r>
            <w:r>
              <w:rPr>
                <w:spacing w:val="1"/>
                <w:sz w:val="23"/>
                <w:szCs w:val="23"/>
              </w:rPr>
              <w:t>环境影响，本环评提出的项目施工期环境管理监</w:t>
            </w:r>
            <w:r>
              <w:rPr>
                <w:sz w:val="23"/>
                <w:szCs w:val="23"/>
              </w:rPr>
              <w:t xml:space="preserve">督计划，项目施工期环境管 </w:t>
            </w:r>
            <w:r>
              <w:rPr>
                <w:spacing w:val="1"/>
                <w:sz w:val="23"/>
                <w:szCs w:val="23"/>
              </w:rPr>
              <w:t>理监督计划见表5-1。</w:t>
            </w:r>
          </w:p>
          <w:p w14:paraId="53ADCE64">
            <w:pPr>
              <w:pStyle w:val="6"/>
              <w:spacing w:line="219" w:lineRule="auto"/>
              <w:ind w:left="1844"/>
              <w:rPr>
                <w:sz w:val="23"/>
                <w:szCs w:val="23"/>
              </w:rPr>
            </w:pPr>
            <w:r>
              <w:rPr>
                <w:b/>
                <w:bCs/>
                <w:spacing w:val="-3"/>
                <w:sz w:val="23"/>
                <w:szCs w:val="23"/>
              </w:rPr>
              <w:t>表5-1项目施工期环境管理监督计划一览表</w:t>
            </w:r>
          </w:p>
        </w:tc>
      </w:tr>
      <w:tr w14:paraId="5F59E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34" w:type="dxa"/>
            <w:vMerge w:val="continue"/>
            <w:tcBorders>
              <w:top w:val="nil"/>
              <w:bottom w:val="nil"/>
            </w:tcBorders>
            <w:vAlign w:val="top"/>
          </w:tcPr>
          <w:p w14:paraId="501C778D">
            <w:pPr>
              <w:rPr>
                <w:rFonts w:ascii="Arial"/>
                <w:sz w:val="21"/>
              </w:rPr>
            </w:pPr>
          </w:p>
        </w:tc>
        <w:tc>
          <w:tcPr>
            <w:tcW w:w="110" w:type="dxa"/>
            <w:tcBorders>
              <w:bottom w:val="nil"/>
            </w:tcBorders>
            <w:vAlign w:val="top"/>
          </w:tcPr>
          <w:p w14:paraId="3B4948A6">
            <w:pPr>
              <w:rPr>
                <w:rFonts w:ascii="Arial"/>
                <w:sz w:val="21"/>
              </w:rPr>
            </w:pPr>
          </w:p>
        </w:tc>
        <w:tc>
          <w:tcPr>
            <w:tcW w:w="459" w:type="dxa"/>
            <w:textDirection w:val="tbRlV"/>
            <w:vAlign w:val="top"/>
          </w:tcPr>
          <w:p w14:paraId="3E3BA717">
            <w:pPr>
              <w:pStyle w:val="6"/>
              <w:spacing w:before="132" w:line="199" w:lineRule="auto"/>
              <w:ind w:left="30"/>
              <w:rPr>
                <w:sz w:val="23"/>
                <w:szCs w:val="23"/>
              </w:rPr>
            </w:pPr>
            <w:r>
              <w:rPr>
                <w:b/>
                <w:bCs/>
                <w:spacing w:val="-3"/>
                <w:sz w:val="23"/>
                <w:szCs w:val="23"/>
              </w:rPr>
              <w:t>序号</w:t>
            </w:r>
          </w:p>
        </w:tc>
        <w:tc>
          <w:tcPr>
            <w:tcW w:w="1109" w:type="dxa"/>
            <w:vAlign w:val="top"/>
          </w:tcPr>
          <w:p w14:paraId="64F0BE07">
            <w:pPr>
              <w:pStyle w:val="6"/>
              <w:spacing w:before="175" w:line="221" w:lineRule="auto"/>
              <w:ind w:left="315"/>
              <w:rPr>
                <w:sz w:val="23"/>
                <w:szCs w:val="23"/>
              </w:rPr>
            </w:pPr>
            <w:r>
              <w:rPr>
                <w:b/>
                <w:bCs/>
                <w:spacing w:val="-6"/>
                <w:sz w:val="23"/>
                <w:szCs w:val="23"/>
              </w:rPr>
              <w:t>名称</w:t>
            </w:r>
          </w:p>
        </w:tc>
        <w:tc>
          <w:tcPr>
            <w:tcW w:w="4345" w:type="dxa"/>
            <w:vAlign w:val="top"/>
          </w:tcPr>
          <w:p w14:paraId="21C1601F">
            <w:pPr>
              <w:pStyle w:val="6"/>
              <w:spacing w:before="172" w:line="220" w:lineRule="auto"/>
              <w:ind w:left="1476"/>
              <w:rPr>
                <w:sz w:val="23"/>
                <w:szCs w:val="23"/>
              </w:rPr>
            </w:pPr>
            <w:r>
              <w:rPr>
                <w:b/>
                <w:bCs/>
                <w:spacing w:val="-4"/>
                <w:sz w:val="23"/>
                <w:szCs w:val="23"/>
              </w:rPr>
              <w:t>环保措施要求</w:t>
            </w:r>
          </w:p>
        </w:tc>
        <w:tc>
          <w:tcPr>
            <w:tcW w:w="999" w:type="dxa"/>
            <w:vAlign w:val="top"/>
          </w:tcPr>
          <w:p w14:paraId="61AB0437">
            <w:pPr>
              <w:pStyle w:val="6"/>
              <w:spacing w:before="32" w:line="217" w:lineRule="auto"/>
              <w:ind w:left="271"/>
              <w:rPr>
                <w:sz w:val="23"/>
                <w:szCs w:val="23"/>
              </w:rPr>
            </w:pPr>
            <w:r>
              <w:rPr>
                <w:b/>
                <w:bCs/>
                <w:spacing w:val="-5"/>
                <w:sz w:val="23"/>
                <w:szCs w:val="23"/>
              </w:rPr>
              <w:t>执行</w:t>
            </w:r>
          </w:p>
          <w:p w14:paraId="7ADB35E1">
            <w:pPr>
              <w:pStyle w:val="6"/>
              <w:spacing w:line="197" w:lineRule="auto"/>
              <w:ind w:left="271"/>
              <w:rPr>
                <w:sz w:val="23"/>
                <w:szCs w:val="23"/>
              </w:rPr>
            </w:pPr>
            <w:r>
              <w:rPr>
                <w:b/>
                <w:bCs/>
                <w:spacing w:val="-6"/>
                <w:sz w:val="23"/>
                <w:szCs w:val="23"/>
              </w:rPr>
              <w:t>单位</w:t>
            </w:r>
          </w:p>
        </w:tc>
        <w:tc>
          <w:tcPr>
            <w:tcW w:w="1079" w:type="dxa"/>
            <w:vAlign w:val="top"/>
          </w:tcPr>
          <w:p w14:paraId="00E1906D">
            <w:pPr>
              <w:pStyle w:val="6"/>
              <w:spacing w:before="33" w:line="216" w:lineRule="auto"/>
              <w:ind w:left="312"/>
              <w:rPr>
                <w:sz w:val="23"/>
                <w:szCs w:val="23"/>
              </w:rPr>
            </w:pPr>
            <w:r>
              <w:rPr>
                <w:b/>
                <w:bCs/>
                <w:spacing w:val="-5"/>
                <w:sz w:val="23"/>
                <w:szCs w:val="23"/>
              </w:rPr>
              <w:t>监督</w:t>
            </w:r>
          </w:p>
          <w:p w14:paraId="59795327">
            <w:pPr>
              <w:pStyle w:val="6"/>
              <w:spacing w:line="197" w:lineRule="auto"/>
              <w:ind w:left="312"/>
              <w:rPr>
                <w:sz w:val="23"/>
                <w:szCs w:val="23"/>
              </w:rPr>
            </w:pPr>
            <w:r>
              <w:rPr>
                <w:b/>
                <w:bCs/>
                <w:spacing w:val="-6"/>
                <w:sz w:val="23"/>
                <w:szCs w:val="23"/>
              </w:rPr>
              <w:t>单位</w:t>
            </w:r>
          </w:p>
        </w:tc>
        <w:tc>
          <w:tcPr>
            <w:tcW w:w="125" w:type="dxa"/>
            <w:vMerge w:val="restart"/>
            <w:tcBorders>
              <w:bottom w:val="nil"/>
            </w:tcBorders>
            <w:vAlign w:val="top"/>
          </w:tcPr>
          <w:p w14:paraId="7B506A38">
            <w:pPr>
              <w:rPr>
                <w:rFonts w:ascii="Arial"/>
                <w:sz w:val="21"/>
              </w:rPr>
            </w:pPr>
          </w:p>
        </w:tc>
      </w:tr>
      <w:tr w14:paraId="6571C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8" w:hRule="atLeast"/>
        </w:trPr>
        <w:tc>
          <w:tcPr>
            <w:tcW w:w="734" w:type="dxa"/>
            <w:vMerge w:val="continue"/>
            <w:tcBorders>
              <w:top w:val="nil"/>
              <w:bottom w:val="nil"/>
            </w:tcBorders>
            <w:vAlign w:val="top"/>
          </w:tcPr>
          <w:p w14:paraId="2F1118AA">
            <w:pPr>
              <w:rPr>
                <w:rFonts w:ascii="Arial"/>
                <w:sz w:val="21"/>
              </w:rPr>
            </w:pPr>
          </w:p>
        </w:tc>
        <w:tc>
          <w:tcPr>
            <w:tcW w:w="110" w:type="dxa"/>
            <w:tcBorders>
              <w:top w:val="nil"/>
              <w:bottom w:val="nil"/>
            </w:tcBorders>
            <w:vAlign w:val="top"/>
          </w:tcPr>
          <w:p w14:paraId="2FE4A6F5">
            <w:pPr>
              <w:rPr>
                <w:rFonts w:ascii="Arial"/>
                <w:sz w:val="21"/>
              </w:rPr>
            </w:pPr>
          </w:p>
        </w:tc>
        <w:tc>
          <w:tcPr>
            <w:tcW w:w="459" w:type="dxa"/>
            <w:vAlign w:val="top"/>
          </w:tcPr>
          <w:p w14:paraId="6A27CD9E">
            <w:pPr>
              <w:spacing w:line="296" w:lineRule="auto"/>
              <w:rPr>
                <w:rFonts w:ascii="Arial"/>
                <w:sz w:val="21"/>
              </w:rPr>
            </w:pPr>
          </w:p>
          <w:p w14:paraId="2293EFAC">
            <w:pPr>
              <w:spacing w:line="297" w:lineRule="auto"/>
              <w:rPr>
                <w:rFonts w:ascii="Arial"/>
                <w:sz w:val="21"/>
              </w:rPr>
            </w:pPr>
          </w:p>
          <w:p w14:paraId="0E3ADF31">
            <w:pPr>
              <w:spacing w:line="297" w:lineRule="auto"/>
              <w:rPr>
                <w:rFonts w:ascii="Arial"/>
                <w:sz w:val="21"/>
              </w:rPr>
            </w:pPr>
          </w:p>
          <w:p w14:paraId="2D3EB89B">
            <w:pPr>
              <w:spacing w:line="297" w:lineRule="auto"/>
              <w:rPr>
                <w:rFonts w:ascii="Arial"/>
                <w:sz w:val="21"/>
              </w:rPr>
            </w:pPr>
          </w:p>
          <w:p w14:paraId="740F3E1F">
            <w:pPr>
              <w:pStyle w:val="6"/>
              <w:spacing w:before="75" w:line="241" w:lineRule="auto"/>
              <w:ind w:left="160"/>
              <w:rPr>
                <w:sz w:val="23"/>
                <w:szCs w:val="23"/>
              </w:rPr>
            </w:pPr>
            <w:r>
              <w:rPr>
                <w:sz w:val="23"/>
                <w:szCs w:val="23"/>
              </w:rPr>
              <w:t>1</w:t>
            </w:r>
          </w:p>
        </w:tc>
        <w:tc>
          <w:tcPr>
            <w:tcW w:w="1109" w:type="dxa"/>
            <w:vAlign w:val="top"/>
          </w:tcPr>
          <w:p w14:paraId="2FB83E01">
            <w:pPr>
              <w:spacing w:line="261" w:lineRule="auto"/>
              <w:rPr>
                <w:rFonts w:ascii="Arial"/>
                <w:sz w:val="21"/>
              </w:rPr>
            </w:pPr>
          </w:p>
          <w:p w14:paraId="3AEAAFC4">
            <w:pPr>
              <w:spacing w:line="261" w:lineRule="auto"/>
              <w:rPr>
                <w:rFonts w:ascii="Arial"/>
                <w:sz w:val="21"/>
              </w:rPr>
            </w:pPr>
          </w:p>
          <w:p w14:paraId="0EDA12B2">
            <w:pPr>
              <w:spacing w:line="261" w:lineRule="auto"/>
              <w:rPr>
                <w:rFonts w:ascii="Arial"/>
                <w:sz w:val="21"/>
              </w:rPr>
            </w:pPr>
          </w:p>
          <w:p w14:paraId="39D03614">
            <w:pPr>
              <w:spacing w:line="262" w:lineRule="auto"/>
              <w:rPr>
                <w:rFonts w:ascii="Arial"/>
                <w:sz w:val="21"/>
              </w:rPr>
            </w:pPr>
          </w:p>
          <w:p w14:paraId="40FA384F">
            <w:pPr>
              <w:pStyle w:val="6"/>
              <w:spacing w:before="75" w:line="217" w:lineRule="auto"/>
              <w:ind w:left="82"/>
              <w:rPr>
                <w:sz w:val="23"/>
                <w:szCs w:val="23"/>
              </w:rPr>
            </w:pPr>
            <w:r>
              <w:rPr>
                <w:spacing w:val="-2"/>
                <w:sz w:val="23"/>
                <w:szCs w:val="23"/>
              </w:rPr>
              <w:t>废气污染</w:t>
            </w:r>
          </w:p>
          <w:p w14:paraId="741C44F9">
            <w:pPr>
              <w:pStyle w:val="6"/>
              <w:spacing w:line="220" w:lineRule="auto"/>
              <w:ind w:left="82"/>
              <w:rPr>
                <w:sz w:val="23"/>
                <w:szCs w:val="23"/>
              </w:rPr>
            </w:pPr>
            <w:r>
              <w:rPr>
                <w:spacing w:val="2"/>
                <w:sz w:val="23"/>
                <w:szCs w:val="23"/>
              </w:rPr>
              <w:t>防治措施</w:t>
            </w:r>
          </w:p>
        </w:tc>
        <w:tc>
          <w:tcPr>
            <w:tcW w:w="4345" w:type="dxa"/>
            <w:vAlign w:val="top"/>
          </w:tcPr>
          <w:p w14:paraId="3226F993">
            <w:pPr>
              <w:pStyle w:val="6"/>
              <w:spacing w:before="42" w:line="212" w:lineRule="auto"/>
              <w:ind w:left="92" w:firstLine="9"/>
              <w:rPr>
                <w:sz w:val="23"/>
                <w:szCs w:val="23"/>
              </w:rPr>
            </w:pPr>
            <w:r>
              <w:rPr>
                <w:spacing w:val="-20"/>
                <w:sz w:val="23"/>
                <w:szCs w:val="23"/>
              </w:rPr>
              <w:t>①施工区域实施洒水降</w:t>
            </w:r>
            <w:r>
              <w:rPr>
                <w:spacing w:val="-19"/>
                <w:sz w:val="23"/>
                <w:szCs w:val="23"/>
              </w:rPr>
              <w:t>尘作业，减少建筑材</w:t>
            </w:r>
            <w:r>
              <w:rPr>
                <w:spacing w:val="-9"/>
                <w:sz w:val="23"/>
                <w:szCs w:val="23"/>
              </w:rPr>
              <w:t>料</w:t>
            </w:r>
            <w:r>
              <w:rPr>
                <w:spacing w:val="11"/>
                <w:sz w:val="23"/>
                <w:szCs w:val="23"/>
              </w:rPr>
              <w:t xml:space="preserve"> </w:t>
            </w:r>
            <w:r>
              <w:rPr>
                <w:spacing w:val="-1"/>
                <w:sz w:val="23"/>
                <w:szCs w:val="23"/>
              </w:rPr>
              <w:t>露天堆放。</w:t>
            </w:r>
          </w:p>
          <w:p w14:paraId="34F66E3C">
            <w:pPr>
              <w:pStyle w:val="6"/>
              <w:spacing w:before="1" w:line="219" w:lineRule="auto"/>
              <w:ind w:left="102"/>
              <w:rPr>
                <w:sz w:val="23"/>
                <w:szCs w:val="23"/>
              </w:rPr>
            </w:pPr>
            <w:r>
              <w:rPr>
                <w:spacing w:val="-20"/>
                <w:sz w:val="23"/>
                <w:szCs w:val="23"/>
              </w:rPr>
              <w:t>②</w:t>
            </w:r>
            <w:r>
              <w:rPr>
                <w:spacing w:val="-19"/>
                <w:sz w:val="23"/>
                <w:szCs w:val="23"/>
              </w:rPr>
              <w:t>施工期开挖的土石方及时回填，剩余的弃</w:t>
            </w:r>
            <w:r>
              <w:rPr>
                <w:spacing w:val="-18"/>
                <w:sz w:val="23"/>
                <w:szCs w:val="23"/>
              </w:rPr>
              <w:t>渣</w:t>
            </w:r>
            <w:r>
              <w:rPr>
                <w:spacing w:val="4"/>
                <w:sz w:val="23"/>
                <w:szCs w:val="23"/>
              </w:rPr>
              <w:t xml:space="preserve"> </w:t>
            </w:r>
            <w:r>
              <w:rPr>
                <w:spacing w:val="-20"/>
                <w:sz w:val="23"/>
                <w:szCs w:val="23"/>
              </w:rPr>
              <w:t>及</w:t>
            </w:r>
            <w:r>
              <w:rPr>
                <w:spacing w:val="-19"/>
                <w:sz w:val="23"/>
                <w:szCs w:val="23"/>
              </w:rPr>
              <w:t>时运至指定渣场堆放，土石方堆场应采取</w:t>
            </w:r>
            <w:r>
              <w:rPr>
                <w:spacing w:val="-18"/>
                <w:sz w:val="23"/>
                <w:szCs w:val="23"/>
              </w:rPr>
              <w:t>临</w:t>
            </w:r>
            <w:r>
              <w:rPr>
                <w:spacing w:val="11"/>
                <w:sz w:val="23"/>
                <w:szCs w:val="23"/>
              </w:rPr>
              <w:t xml:space="preserve"> </w:t>
            </w:r>
            <w:r>
              <w:rPr>
                <w:spacing w:val="-2"/>
                <w:sz w:val="23"/>
                <w:szCs w:val="23"/>
              </w:rPr>
              <w:t>时遮盖措施。</w:t>
            </w:r>
          </w:p>
          <w:p w14:paraId="39B7DC4C">
            <w:pPr>
              <w:pStyle w:val="6"/>
              <w:spacing w:before="3" w:line="218" w:lineRule="auto"/>
              <w:ind w:left="92" w:firstLine="9"/>
              <w:rPr>
                <w:sz w:val="23"/>
                <w:szCs w:val="23"/>
              </w:rPr>
            </w:pPr>
            <w:r>
              <w:rPr>
                <w:spacing w:val="-20"/>
                <w:sz w:val="23"/>
                <w:szCs w:val="23"/>
              </w:rPr>
              <w:t>③加强对机械、车辆的</w:t>
            </w:r>
            <w:r>
              <w:rPr>
                <w:spacing w:val="-19"/>
                <w:sz w:val="23"/>
                <w:szCs w:val="23"/>
              </w:rPr>
              <w:t>维修保养，运输粉状</w:t>
            </w:r>
            <w:r>
              <w:rPr>
                <w:spacing w:val="-9"/>
                <w:sz w:val="23"/>
                <w:szCs w:val="23"/>
              </w:rPr>
              <w:t>材</w:t>
            </w:r>
            <w:r>
              <w:rPr>
                <w:spacing w:val="11"/>
                <w:sz w:val="23"/>
                <w:szCs w:val="23"/>
              </w:rPr>
              <w:t xml:space="preserve"> </w:t>
            </w:r>
            <w:r>
              <w:rPr>
                <w:spacing w:val="-1"/>
                <w:sz w:val="23"/>
                <w:szCs w:val="23"/>
              </w:rPr>
              <w:t>料的车辆应覆盖蓬布。</w:t>
            </w:r>
          </w:p>
          <w:p w14:paraId="231BCAFE">
            <w:pPr>
              <w:pStyle w:val="6"/>
              <w:spacing w:before="4" w:line="209" w:lineRule="auto"/>
              <w:ind w:left="111" w:hanging="9"/>
              <w:rPr>
                <w:sz w:val="23"/>
                <w:szCs w:val="23"/>
              </w:rPr>
            </w:pPr>
            <w:r>
              <w:rPr>
                <w:spacing w:val="-20"/>
                <w:sz w:val="23"/>
                <w:szCs w:val="23"/>
              </w:rPr>
              <w:t>④加强对施工</w:t>
            </w:r>
            <w:r>
              <w:rPr>
                <w:spacing w:val="-19"/>
                <w:sz w:val="23"/>
                <w:szCs w:val="23"/>
              </w:rPr>
              <w:t>人员的环保教育，提高全体施</w:t>
            </w:r>
            <w:r>
              <w:rPr>
                <w:spacing w:val="-13"/>
                <w:sz w:val="23"/>
                <w:szCs w:val="23"/>
              </w:rPr>
              <w:t>工</w:t>
            </w:r>
            <w:r>
              <w:rPr>
                <w:spacing w:val="11"/>
                <w:sz w:val="23"/>
                <w:szCs w:val="23"/>
              </w:rPr>
              <w:t xml:space="preserve"> </w:t>
            </w:r>
            <w:r>
              <w:rPr>
                <w:spacing w:val="-1"/>
                <w:sz w:val="23"/>
                <w:szCs w:val="23"/>
              </w:rPr>
              <w:t>人员的环保意识。</w:t>
            </w:r>
          </w:p>
          <w:p w14:paraId="3B01F22F">
            <w:pPr>
              <w:pStyle w:val="6"/>
              <w:spacing w:before="1" w:line="180" w:lineRule="auto"/>
              <w:ind w:left="102"/>
              <w:rPr>
                <w:sz w:val="23"/>
                <w:szCs w:val="23"/>
              </w:rPr>
            </w:pPr>
            <w:r>
              <w:rPr>
                <w:spacing w:val="-1"/>
                <w:sz w:val="23"/>
                <w:szCs w:val="23"/>
              </w:rPr>
              <w:t>⑥加强施工道路洒水降尘、控制车速。</w:t>
            </w:r>
          </w:p>
        </w:tc>
        <w:tc>
          <w:tcPr>
            <w:tcW w:w="999" w:type="dxa"/>
            <w:vAlign w:val="top"/>
          </w:tcPr>
          <w:p w14:paraId="5A748D68">
            <w:pPr>
              <w:spacing w:line="298" w:lineRule="auto"/>
              <w:rPr>
                <w:rFonts w:ascii="Arial"/>
                <w:sz w:val="21"/>
              </w:rPr>
            </w:pPr>
          </w:p>
          <w:p w14:paraId="7CB2B3B0">
            <w:pPr>
              <w:spacing w:line="299" w:lineRule="auto"/>
              <w:rPr>
                <w:rFonts w:ascii="Arial"/>
                <w:sz w:val="21"/>
              </w:rPr>
            </w:pPr>
          </w:p>
          <w:p w14:paraId="2C269DDF">
            <w:pPr>
              <w:spacing w:line="299" w:lineRule="auto"/>
              <w:rPr>
                <w:rFonts w:ascii="Arial"/>
                <w:sz w:val="21"/>
              </w:rPr>
            </w:pPr>
          </w:p>
          <w:p w14:paraId="059C1CA7">
            <w:pPr>
              <w:pStyle w:val="6"/>
              <w:spacing w:before="74" w:line="217" w:lineRule="auto"/>
              <w:ind w:left="38" w:right="39" w:firstLine="109"/>
              <w:rPr>
                <w:sz w:val="23"/>
                <w:szCs w:val="23"/>
              </w:rPr>
            </w:pPr>
            <w:r>
              <w:rPr>
                <w:spacing w:val="-3"/>
                <w:sz w:val="23"/>
                <w:szCs w:val="23"/>
              </w:rPr>
              <w:t>施工单</w:t>
            </w:r>
            <w:r>
              <w:rPr>
                <w:sz w:val="23"/>
                <w:szCs w:val="23"/>
              </w:rPr>
              <w:t xml:space="preserve">  </w:t>
            </w:r>
            <w:r>
              <w:rPr>
                <w:spacing w:val="-3"/>
                <w:sz w:val="23"/>
                <w:szCs w:val="23"/>
              </w:rPr>
              <w:t>位、建设</w:t>
            </w:r>
          </w:p>
          <w:p w14:paraId="34A32B5D">
            <w:pPr>
              <w:pStyle w:val="6"/>
              <w:spacing w:line="220" w:lineRule="auto"/>
              <w:ind w:left="267"/>
              <w:rPr>
                <w:sz w:val="23"/>
                <w:szCs w:val="23"/>
              </w:rPr>
            </w:pPr>
            <w:r>
              <w:rPr>
                <w:spacing w:val="-3"/>
                <w:sz w:val="23"/>
                <w:szCs w:val="23"/>
              </w:rPr>
              <w:t>单位</w:t>
            </w:r>
          </w:p>
        </w:tc>
        <w:tc>
          <w:tcPr>
            <w:tcW w:w="1079" w:type="dxa"/>
            <w:vMerge w:val="restart"/>
            <w:tcBorders>
              <w:bottom w:val="nil"/>
            </w:tcBorders>
            <w:vAlign w:val="top"/>
          </w:tcPr>
          <w:p w14:paraId="60BB045A">
            <w:pPr>
              <w:spacing w:line="248" w:lineRule="auto"/>
              <w:rPr>
                <w:rFonts w:ascii="Arial"/>
                <w:sz w:val="21"/>
              </w:rPr>
            </w:pPr>
          </w:p>
          <w:p w14:paraId="3DB5DCF9">
            <w:pPr>
              <w:spacing w:line="248" w:lineRule="auto"/>
              <w:rPr>
                <w:rFonts w:ascii="Arial"/>
                <w:sz w:val="21"/>
              </w:rPr>
            </w:pPr>
          </w:p>
          <w:p w14:paraId="1FF0DF55">
            <w:pPr>
              <w:spacing w:line="248" w:lineRule="auto"/>
              <w:rPr>
                <w:rFonts w:ascii="Arial"/>
                <w:sz w:val="21"/>
              </w:rPr>
            </w:pPr>
          </w:p>
          <w:p w14:paraId="7E413778">
            <w:pPr>
              <w:spacing w:line="248" w:lineRule="auto"/>
              <w:rPr>
                <w:rFonts w:ascii="Arial"/>
                <w:sz w:val="21"/>
              </w:rPr>
            </w:pPr>
          </w:p>
          <w:p w14:paraId="096BEE14">
            <w:pPr>
              <w:spacing w:line="248" w:lineRule="auto"/>
              <w:rPr>
                <w:rFonts w:ascii="Arial"/>
                <w:sz w:val="21"/>
              </w:rPr>
            </w:pPr>
          </w:p>
          <w:p w14:paraId="6E8C1A49">
            <w:pPr>
              <w:spacing w:line="249" w:lineRule="auto"/>
              <w:rPr>
                <w:rFonts w:ascii="Arial"/>
                <w:sz w:val="21"/>
              </w:rPr>
            </w:pPr>
          </w:p>
          <w:p w14:paraId="0FC43CB8">
            <w:pPr>
              <w:spacing w:line="249" w:lineRule="auto"/>
              <w:rPr>
                <w:rFonts w:ascii="Arial"/>
                <w:sz w:val="21"/>
              </w:rPr>
            </w:pPr>
          </w:p>
          <w:p w14:paraId="1A1F4D63">
            <w:pPr>
              <w:spacing w:line="249" w:lineRule="auto"/>
              <w:rPr>
                <w:rFonts w:ascii="Arial"/>
                <w:sz w:val="21"/>
              </w:rPr>
            </w:pPr>
          </w:p>
          <w:p w14:paraId="680751A3">
            <w:pPr>
              <w:pStyle w:val="6"/>
              <w:spacing w:before="75" w:line="219" w:lineRule="auto"/>
              <w:ind w:left="78"/>
              <w:rPr>
                <w:sz w:val="23"/>
                <w:szCs w:val="23"/>
              </w:rPr>
            </w:pPr>
            <w:r>
              <w:rPr>
                <w:spacing w:val="2"/>
                <w:sz w:val="23"/>
                <w:szCs w:val="23"/>
              </w:rPr>
              <w:t>曲靖市生</w:t>
            </w:r>
          </w:p>
          <w:p w14:paraId="42FCBB6A">
            <w:pPr>
              <w:pStyle w:val="6"/>
              <w:spacing w:before="9" w:line="220" w:lineRule="auto"/>
              <w:ind w:left="78"/>
              <w:rPr>
                <w:sz w:val="23"/>
                <w:szCs w:val="23"/>
              </w:rPr>
            </w:pPr>
            <w:r>
              <w:rPr>
                <w:spacing w:val="5"/>
                <w:sz w:val="23"/>
                <w:szCs w:val="23"/>
              </w:rPr>
              <w:t>态环境局</w:t>
            </w:r>
          </w:p>
          <w:p w14:paraId="7C3158D8">
            <w:pPr>
              <w:pStyle w:val="6"/>
              <w:spacing w:before="5" w:line="219" w:lineRule="auto"/>
              <w:ind w:left="78"/>
              <w:rPr>
                <w:sz w:val="23"/>
                <w:szCs w:val="23"/>
              </w:rPr>
            </w:pPr>
            <w:r>
              <w:rPr>
                <w:spacing w:val="5"/>
                <w:sz w:val="23"/>
                <w:szCs w:val="23"/>
              </w:rPr>
              <w:t>马龙分局</w:t>
            </w:r>
          </w:p>
        </w:tc>
        <w:tc>
          <w:tcPr>
            <w:tcW w:w="125" w:type="dxa"/>
            <w:vMerge w:val="continue"/>
            <w:tcBorders>
              <w:top w:val="nil"/>
              <w:bottom w:val="nil"/>
            </w:tcBorders>
            <w:vAlign w:val="top"/>
          </w:tcPr>
          <w:p w14:paraId="5BBF6FBC">
            <w:pPr>
              <w:rPr>
                <w:rFonts w:ascii="Arial"/>
                <w:sz w:val="21"/>
              </w:rPr>
            </w:pPr>
          </w:p>
        </w:tc>
      </w:tr>
      <w:tr w14:paraId="08C5A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trPr>
        <w:tc>
          <w:tcPr>
            <w:tcW w:w="734" w:type="dxa"/>
            <w:vMerge w:val="continue"/>
            <w:tcBorders>
              <w:top w:val="nil"/>
            </w:tcBorders>
            <w:vAlign w:val="top"/>
          </w:tcPr>
          <w:p w14:paraId="02DDF36D">
            <w:pPr>
              <w:rPr>
                <w:rFonts w:ascii="Arial"/>
                <w:sz w:val="21"/>
              </w:rPr>
            </w:pPr>
          </w:p>
        </w:tc>
        <w:tc>
          <w:tcPr>
            <w:tcW w:w="110" w:type="dxa"/>
            <w:tcBorders>
              <w:top w:val="nil"/>
            </w:tcBorders>
            <w:vAlign w:val="top"/>
          </w:tcPr>
          <w:p w14:paraId="4820EF42">
            <w:pPr>
              <w:rPr>
                <w:rFonts w:ascii="Arial"/>
                <w:sz w:val="21"/>
              </w:rPr>
            </w:pPr>
          </w:p>
        </w:tc>
        <w:tc>
          <w:tcPr>
            <w:tcW w:w="459" w:type="dxa"/>
            <w:vAlign w:val="top"/>
          </w:tcPr>
          <w:p w14:paraId="374817B9">
            <w:pPr>
              <w:spacing w:line="310" w:lineRule="auto"/>
              <w:rPr>
                <w:rFonts w:ascii="Arial"/>
                <w:sz w:val="21"/>
              </w:rPr>
            </w:pPr>
          </w:p>
          <w:p w14:paraId="52C3A099">
            <w:pPr>
              <w:spacing w:line="310" w:lineRule="auto"/>
              <w:rPr>
                <w:rFonts w:ascii="Arial"/>
                <w:sz w:val="21"/>
              </w:rPr>
            </w:pPr>
          </w:p>
          <w:p w14:paraId="0341215F">
            <w:pPr>
              <w:spacing w:line="310" w:lineRule="auto"/>
              <w:rPr>
                <w:rFonts w:ascii="Arial"/>
                <w:sz w:val="21"/>
              </w:rPr>
            </w:pPr>
          </w:p>
          <w:p w14:paraId="6AC5E15A">
            <w:pPr>
              <w:pStyle w:val="6"/>
              <w:spacing w:before="75" w:line="241" w:lineRule="auto"/>
              <w:ind w:left="160"/>
              <w:rPr>
                <w:sz w:val="23"/>
                <w:szCs w:val="23"/>
              </w:rPr>
            </w:pPr>
            <w:r>
              <w:rPr>
                <w:sz w:val="23"/>
                <w:szCs w:val="23"/>
              </w:rPr>
              <w:t>2</w:t>
            </w:r>
          </w:p>
        </w:tc>
        <w:tc>
          <w:tcPr>
            <w:tcW w:w="1109" w:type="dxa"/>
            <w:vAlign w:val="top"/>
          </w:tcPr>
          <w:p w14:paraId="7AA29DED">
            <w:pPr>
              <w:spacing w:line="265" w:lineRule="auto"/>
              <w:rPr>
                <w:rFonts w:ascii="Arial"/>
                <w:sz w:val="21"/>
              </w:rPr>
            </w:pPr>
          </w:p>
          <w:p w14:paraId="1F266ADF">
            <w:pPr>
              <w:spacing w:line="266" w:lineRule="auto"/>
              <w:rPr>
                <w:rFonts w:ascii="Arial"/>
                <w:sz w:val="21"/>
              </w:rPr>
            </w:pPr>
          </w:p>
          <w:p w14:paraId="71188104">
            <w:pPr>
              <w:spacing w:line="266" w:lineRule="auto"/>
              <w:rPr>
                <w:rFonts w:ascii="Arial"/>
                <w:sz w:val="21"/>
              </w:rPr>
            </w:pPr>
          </w:p>
          <w:p w14:paraId="326F539B">
            <w:pPr>
              <w:pStyle w:val="6"/>
              <w:spacing w:before="75" w:line="218" w:lineRule="auto"/>
              <w:ind w:left="82"/>
              <w:rPr>
                <w:sz w:val="23"/>
                <w:szCs w:val="23"/>
              </w:rPr>
            </w:pPr>
            <w:r>
              <w:rPr>
                <w:spacing w:val="-2"/>
                <w:sz w:val="23"/>
                <w:szCs w:val="23"/>
              </w:rPr>
              <w:t>废水污染</w:t>
            </w:r>
          </w:p>
          <w:p w14:paraId="2AF15E62">
            <w:pPr>
              <w:pStyle w:val="6"/>
              <w:spacing w:line="220" w:lineRule="auto"/>
              <w:ind w:left="82"/>
              <w:rPr>
                <w:sz w:val="23"/>
                <w:szCs w:val="23"/>
              </w:rPr>
            </w:pPr>
            <w:r>
              <w:rPr>
                <w:spacing w:val="2"/>
                <w:sz w:val="23"/>
                <w:szCs w:val="23"/>
              </w:rPr>
              <w:t>防治措施</w:t>
            </w:r>
          </w:p>
        </w:tc>
        <w:tc>
          <w:tcPr>
            <w:tcW w:w="4345" w:type="dxa"/>
            <w:vAlign w:val="top"/>
          </w:tcPr>
          <w:p w14:paraId="24335CA4">
            <w:pPr>
              <w:pStyle w:val="6"/>
              <w:spacing w:before="65" w:line="207" w:lineRule="auto"/>
              <w:ind w:left="72" w:firstLine="29"/>
              <w:rPr>
                <w:sz w:val="23"/>
                <w:szCs w:val="23"/>
              </w:rPr>
            </w:pPr>
            <w:r>
              <w:rPr>
                <w:spacing w:val="-20"/>
                <w:sz w:val="23"/>
                <w:szCs w:val="23"/>
              </w:rPr>
              <w:t>①</w:t>
            </w:r>
            <w:r>
              <w:rPr>
                <w:spacing w:val="-19"/>
                <w:sz w:val="23"/>
                <w:szCs w:val="23"/>
              </w:rPr>
              <w:t>合理安排施工进度，土石方工程尽量避开</w:t>
            </w:r>
            <w:r>
              <w:rPr>
                <w:spacing w:val="-18"/>
                <w:sz w:val="23"/>
                <w:szCs w:val="23"/>
              </w:rPr>
              <w:t>雨</w:t>
            </w:r>
            <w:r>
              <w:rPr>
                <w:spacing w:val="11"/>
                <w:sz w:val="23"/>
                <w:szCs w:val="23"/>
              </w:rPr>
              <w:t xml:space="preserve"> </w:t>
            </w:r>
            <w:r>
              <w:rPr>
                <w:spacing w:val="-2"/>
                <w:sz w:val="23"/>
                <w:szCs w:val="23"/>
              </w:rPr>
              <w:t>季。</w:t>
            </w:r>
          </w:p>
          <w:p w14:paraId="27F182C4">
            <w:pPr>
              <w:pStyle w:val="6"/>
              <w:spacing w:before="12" w:line="219" w:lineRule="auto"/>
              <w:ind w:left="82" w:firstLine="19"/>
              <w:rPr>
                <w:sz w:val="23"/>
                <w:szCs w:val="23"/>
              </w:rPr>
            </w:pPr>
            <w:r>
              <w:rPr>
                <w:spacing w:val="-20"/>
                <w:sz w:val="23"/>
                <w:szCs w:val="23"/>
              </w:rPr>
              <w:t>②生活污水：</w:t>
            </w:r>
            <w:r>
              <w:rPr>
                <w:spacing w:val="-19"/>
                <w:sz w:val="23"/>
                <w:szCs w:val="23"/>
              </w:rPr>
              <w:t>施工区域设置临时化粪池和沉</w:t>
            </w:r>
            <w:r>
              <w:rPr>
                <w:spacing w:val="-13"/>
                <w:sz w:val="23"/>
                <w:szCs w:val="23"/>
              </w:rPr>
              <w:t>淀</w:t>
            </w:r>
            <w:r>
              <w:rPr>
                <w:spacing w:val="11"/>
                <w:sz w:val="23"/>
                <w:szCs w:val="23"/>
              </w:rPr>
              <w:t xml:space="preserve"> </w:t>
            </w:r>
            <w:r>
              <w:rPr>
                <w:spacing w:val="-19"/>
                <w:sz w:val="23"/>
                <w:szCs w:val="23"/>
              </w:rPr>
              <w:t>池，化粪池</w:t>
            </w:r>
            <w:r>
              <w:rPr>
                <w:spacing w:val="-18"/>
                <w:sz w:val="23"/>
                <w:szCs w:val="23"/>
              </w:rPr>
              <w:t>委托当地村民定期清掏。施工期</w:t>
            </w:r>
            <w:r>
              <w:rPr>
                <w:spacing w:val="-13"/>
                <w:sz w:val="23"/>
                <w:szCs w:val="23"/>
              </w:rPr>
              <w:t>人</w:t>
            </w:r>
            <w:r>
              <w:rPr>
                <w:spacing w:val="8"/>
                <w:sz w:val="23"/>
                <w:szCs w:val="23"/>
              </w:rPr>
              <w:t xml:space="preserve"> </w:t>
            </w:r>
            <w:r>
              <w:rPr>
                <w:spacing w:val="-19"/>
                <w:sz w:val="23"/>
                <w:szCs w:val="23"/>
              </w:rPr>
              <w:t>员清洗废水</w:t>
            </w:r>
            <w:r>
              <w:rPr>
                <w:spacing w:val="-18"/>
                <w:sz w:val="23"/>
                <w:szCs w:val="23"/>
              </w:rPr>
              <w:t>进入沉淀池沉淀后，用作场地洒</w:t>
            </w:r>
            <w:r>
              <w:rPr>
                <w:spacing w:val="-13"/>
                <w:sz w:val="23"/>
                <w:szCs w:val="23"/>
              </w:rPr>
              <w:t>水</w:t>
            </w:r>
            <w:r>
              <w:rPr>
                <w:spacing w:val="9"/>
                <w:sz w:val="23"/>
                <w:szCs w:val="23"/>
              </w:rPr>
              <w:t xml:space="preserve"> </w:t>
            </w:r>
            <w:r>
              <w:rPr>
                <w:spacing w:val="-2"/>
                <w:sz w:val="23"/>
                <w:szCs w:val="23"/>
              </w:rPr>
              <w:t>降尘。</w:t>
            </w:r>
          </w:p>
          <w:p w14:paraId="3A3BF1C1">
            <w:pPr>
              <w:pStyle w:val="6"/>
              <w:spacing w:before="1" w:line="199" w:lineRule="auto"/>
              <w:ind w:left="33" w:firstLine="69"/>
              <w:rPr>
                <w:sz w:val="23"/>
                <w:szCs w:val="23"/>
              </w:rPr>
            </w:pPr>
            <w:r>
              <w:rPr>
                <w:spacing w:val="-13"/>
                <w:sz w:val="23"/>
                <w:szCs w:val="23"/>
              </w:rPr>
              <w:t>③施工废水：在各施工作业区各设置1个沉淀</w:t>
            </w:r>
            <w:r>
              <w:rPr>
                <w:spacing w:val="6"/>
                <w:sz w:val="23"/>
                <w:szCs w:val="23"/>
              </w:rPr>
              <w:t xml:space="preserve"> 池(容积5m³),施工废水收集沉淀后，回用</w:t>
            </w:r>
          </w:p>
        </w:tc>
        <w:tc>
          <w:tcPr>
            <w:tcW w:w="999" w:type="dxa"/>
            <w:vAlign w:val="top"/>
          </w:tcPr>
          <w:p w14:paraId="1B8E16C4">
            <w:pPr>
              <w:spacing w:line="324" w:lineRule="auto"/>
              <w:rPr>
                <w:rFonts w:ascii="Arial"/>
                <w:sz w:val="21"/>
              </w:rPr>
            </w:pPr>
          </w:p>
          <w:p w14:paraId="40E53652">
            <w:pPr>
              <w:spacing w:line="325" w:lineRule="auto"/>
              <w:rPr>
                <w:rFonts w:ascii="Arial"/>
                <w:sz w:val="21"/>
              </w:rPr>
            </w:pPr>
          </w:p>
          <w:p w14:paraId="608D9DB9">
            <w:pPr>
              <w:pStyle w:val="6"/>
              <w:spacing w:before="75" w:line="221" w:lineRule="auto"/>
              <w:ind w:left="38" w:right="39" w:firstLine="109"/>
              <w:rPr>
                <w:sz w:val="23"/>
                <w:szCs w:val="23"/>
              </w:rPr>
            </w:pPr>
            <w:r>
              <w:rPr>
                <w:spacing w:val="-3"/>
                <w:sz w:val="23"/>
                <w:szCs w:val="23"/>
              </w:rPr>
              <w:t>施工单</w:t>
            </w:r>
            <w:r>
              <w:rPr>
                <w:sz w:val="23"/>
                <w:szCs w:val="23"/>
              </w:rPr>
              <w:t xml:space="preserve">  </w:t>
            </w:r>
            <w:r>
              <w:rPr>
                <w:spacing w:val="-3"/>
                <w:sz w:val="23"/>
                <w:szCs w:val="23"/>
              </w:rPr>
              <w:t>位、建设</w:t>
            </w:r>
          </w:p>
          <w:p w14:paraId="34FD7705">
            <w:pPr>
              <w:pStyle w:val="6"/>
              <w:spacing w:line="220" w:lineRule="auto"/>
              <w:ind w:left="267"/>
              <w:rPr>
                <w:sz w:val="23"/>
                <w:szCs w:val="23"/>
              </w:rPr>
            </w:pPr>
            <w:r>
              <w:rPr>
                <w:spacing w:val="-3"/>
                <w:sz w:val="23"/>
                <w:szCs w:val="23"/>
              </w:rPr>
              <w:t>单位</w:t>
            </w:r>
          </w:p>
        </w:tc>
        <w:tc>
          <w:tcPr>
            <w:tcW w:w="1079" w:type="dxa"/>
            <w:vMerge w:val="continue"/>
            <w:tcBorders>
              <w:top w:val="nil"/>
            </w:tcBorders>
            <w:vAlign w:val="top"/>
          </w:tcPr>
          <w:p w14:paraId="480A3B60">
            <w:pPr>
              <w:rPr>
                <w:rFonts w:ascii="Arial"/>
                <w:sz w:val="21"/>
              </w:rPr>
            </w:pPr>
          </w:p>
        </w:tc>
        <w:tc>
          <w:tcPr>
            <w:tcW w:w="125" w:type="dxa"/>
            <w:vMerge w:val="continue"/>
            <w:tcBorders>
              <w:top w:val="nil"/>
            </w:tcBorders>
            <w:vAlign w:val="top"/>
          </w:tcPr>
          <w:p w14:paraId="2650708F">
            <w:pPr>
              <w:rPr>
                <w:rFonts w:ascii="Arial"/>
                <w:sz w:val="21"/>
              </w:rPr>
            </w:pPr>
          </w:p>
        </w:tc>
      </w:tr>
    </w:tbl>
    <w:p w14:paraId="672B7352">
      <w:pPr>
        <w:pStyle w:val="2"/>
      </w:pPr>
    </w:p>
    <w:p w14:paraId="1D87EDE8">
      <w:pPr>
        <w:sectPr>
          <w:footerReference r:id="rId128" w:type="default"/>
          <w:pgSz w:w="11910" w:h="16840"/>
          <w:pgMar w:top="1431" w:right="1494" w:bottom="1269" w:left="1445" w:header="0" w:footer="1089" w:gutter="0"/>
          <w:cols w:space="720" w:num="1"/>
        </w:sectPr>
      </w:pPr>
    </w:p>
    <w:p w14:paraId="52DDFCE7">
      <w:pPr>
        <w:spacing w:line="93" w:lineRule="exact"/>
      </w:pPr>
    </w:p>
    <w:tbl>
      <w:tblPr>
        <w:tblStyle w:val="5"/>
        <w:tblW w:w="8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20"/>
        <w:gridCol w:w="429"/>
        <w:gridCol w:w="389"/>
        <w:gridCol w:w="739"/>
        <w:gridCol w:w="849"/>
        <w:gridCol w:w="1149"/>
        <w:gridCol w:w="1618"/>
        <w:gridCol w:w="729"/>
        <w:gridCol w:w="989"/>
        <w:gridCol w:w="1164"/>
      </w:tblGrid>
      <w:tr w14:paraId="61347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734" w:type="dxa"/>
            <w:vMerge w:val="restart"/>
            <w:tcBorders>
              <w:bottom w:val="nil"/>
            </w:tcBorders>
            <w:vAlign w:val="top"/>
          </w:tcPr>
          <w:p w14:paraId="27612C78">
            <w:pPr>
              <w:rPr>
                <w:rFonts w:ascii="Arial"/>
                <w:sz w:val="21"/>
              </w:rPr>
            </w:pPr>
          </w:p>
        </w:tc>
        <w:tc>
          <w:tcPr>
            <w:tcW w:w="120" w:type="dxa"/>
            <w:vMerge w:val="restart"/>
            <w:tcBorders>
              <w:bottom w:val="nil"/>
            </w:tcBorders>
            <w:vAlign w:val="top"/>
          </w:tcPr>
          <w:p w14:paraId="694816ED">
            <w:pPr>
              <w:rPr>
                <w:rFonts w:ascii="Arial"/>
                <w:sz w:val="21"/>
              </w:rPr>
            </w:pPr>
          </w:p>
        </w:tc>
        <w:tc>
          <w:tcPr>
            <w:tcW w:w="429" w:type="dxa"/>
            <w:vAlign w:val="top"/>
          </w:tcPr>
          <w:p w14:paraId="19B377FB">
            <w:pPr>
              <w:rPr>
                <w:rFonts w:ascii="Arial"/>
                <w:sz w:val="21"/>
              </w:rPr>
            </w:pPr>
          </w:p>
        </w:tc>
        <w:tc>
          <w:tcPr>
            <w:tcW w:w="1128" w:type="dxa"/>
            <w:gridSpan w:val="2"/>
            <w:vAlign w:val="top"/>
          </w:tcPr>
          <w:p w14:paraId="17B0C4B6">
            <w:pPr>
              <w:rPr>
                <w:rFonts w:ascii="Arial"/>
                <w:sz w:val="21"/>
              </w:rPr>
            </w:pPr>
          </w:p>
        </w:tc>
        <w:tc>
          <w:tcPr>
            <w:tcW w:w="4345" w:type="dxa"/>
            <w:gridSpan w:val="4"/>
            <w:vAlign w:val="top"/>
          </w:tcPr>
          <w:p w14:paraId="4FCFF3BE">
            <w:pPr>
              <w:pStyle w:val="6"/>
              <w:spacing w:before="34" w:line="232" w:lineRule="auto"/>
              <w:ind w:left="61" w:hanging="48"/>
              <w:jc w:val="both"/>
              <w:rPr>
                <w:sz w:val="21"/>
                <w:szCs w:val="21"/>
              </w:rPr>
            </w:pPr>
            <w:r>
              <w:rPr>
                <w:spacing w:val="-5"/>
                <w:sz w:val="21"/>
                <w:szCs w:val="21"/>
              </w:rPr>
              <w:t>于场地洒水降尘以及车辆、设备清洗，不外排。</w:t>
            </w:r>
            <w:r>
              <w:rPr>
                <w:spacing w:val="15"/>
                <w:sz w:val="21"/>
                <w:szCs w:val="21"/>
              </w:rPr>
              <w:t xml:space="preserve"> </w:t>
            </w:r>
            <w:r>
              <w:rPr>
                <w:spacing w:val="-5"/>
                <w:sz w:val="21"/>
                <w:szCs w:val="21"/>
              </w:rPr>
              <w:t>④雨季地表径流：施工过程中产生的地表径流</w:t>
            </w:r>
            <w:r>
              <w:rPr>
                <w:spacing w:val="6"/>
                <w:sz w:val="21"/>
                <w:szCs w:val="21"/>
              </w:rPr>
              <w:t xml:space="preserve">  </w:t>
            </w:r>
            <w:r>
              <w:rPr>
                <w:spacing w:val="-4"/>
                <w:sz w:val="21"/>
                <w:szCs w:val="21"/>
              </w:rPr>
              <w:t>经临时排水沟引入沉淀池沉淀处理后，回用于</w:t>
            </w:r>
            <w:r>
              <w:rPr>
                <w:spacing w:val="5"/>
                <w:sz w:val="21"/>
                <w:szCs w:val="21"/>
              </w:rPr>
              <w:t xml:space="preserve">  </w:t>
            </w:r>
            <w:r>
              <w:rPr>
                <w:spacing w:val="-5"/>
                <w:sz w:val="21"/>
                <w:szCs w:val="21"/>
              </w:rPr>
              <w:t>施工过程及场地洒水降尘，回用不完的部分顺</w:t>
            </w:r>
            <w:r>
              <w:rPr>
                <w:spacing w:val="5"/>
                <w:sz w:val="21"/>
                <w:szCs w:val="21"/>
              </w:rPr>
              <w:t xml:space="preserve">  </w:t>
            </w:r>
            <w:r>
              <w:rPr>
                <w:sz w:val="21"/>
                <w:szCs w:val="21"/>
              </w:rPr>
              <w:t>流至附近自然沟渠。</w:t>
            </w:r>
          </w:p>
        </w:tc>
        <w:tc>
          <w:tcPr>
            <w:tcW w:w="989" w:type="dxa"/>
            <w:vAlign w:val="top"/>
          </w:tcPr>
          <w:p w14:paraId="668254E9">
            <w:pPr>
              <w:rPr>
                <w:rFonts w:ascii="Arial"/>
                <w:sz w:val="21"/>
              </w:rPr>
            </w:pPr>
          </w:p>
        </w:tc>
        <w:tc>
          <w:tcPr>
            <w:tcW w:w="1164" w:type="dxa"/>
            <w:vMerge w:val="restart"/>
            <w:tcBorders>
              <w:bottom w:val="nil"/>
            </w:tcBorders>
            <w:vAlign w:val="top"/>
          </w:tcPr>
          <w:p w14:paraId="4FA71502">
            <w:pPr>
              <w:rPr>
                <w:rFonts w:ascii="Arial"/>
                <w:sz w:val="21"/>
              </w:rPr>
            </w:pPr>
          </w:p>
        </w:tc>
      </w:tr>
      <w:tr w14:paraId="390EB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8" w:hRule="atLeast"/>
        </w:trPr>
        <w:tc>
          <w:tcPr>
            <w:tcW w:w="734" w:type="dxa"/>
            <w:vMerge w:val="continue"/>
            <w:tcBorders>
              <w:top w:val="nil"/>
              <w:bottom w:val="nil"/>
            </w:tcBorders>
            <w:vAlign w:val="top"/>
          </w:tcPr>
          <w:p w14:paraId="52A45925">
            <w:pPr>
              <w:rPr>
                <w:rFonts w:ascii="Arial"/>
                <w:sz w:val="21"/>
              </w:rPr>
            </w:pPr>
          </w:p>
        </w:tc>
        <w:tc>
          <w:tcPr>
            <w:tcW w:w="120" w:type="dxa"/>
            <w:vMerge w:val="continue"/>
            <w:tcBorders>
              <w:top w:val="nil"/>
              <w:bottom w:val="nil"/>
            </w:tcBorders>
            <w:vAlign w:val="top"/>
          </w:tcPr>
          <w:p w14:paraId="7930BB90">
            <w:pPr>
              <w:rPr>
                <w:rFonts w:ascii="Arial"/>
                <w:sz w:val="21"/>
              </w:rPr>
            </w:pPr>
          </w:p>
        </w:tc>
        <w:tc>
          <w:tcPr>
            <w:tcW w:w="429" w:type="dxa"/>
            <w:vAlign w:val="top"/>
          </w:tcPr>
          <w:p w14:paraId="2B01AB76">
            <w:pPr>
              <w:spacing w:line="286" w:lineRule="auto"/>
              <w:rPr>
                <w:rFonts w:ascii="Arial"/>
                <w:sz w:val="21"/>
              </w:rPr>
            </w:pPr>
          </w:p>
          <w:p w14:paraId="181CB310">
            <w:pPr>
              <w:spacing w:line="286" w:lineRule="auto"/>
              <w:rPr>
                <w:rFonts w:ascii="Arial"/>
                <w:sz w:val="21"/>
              </w:rPr>
            </w:pPr>
          </w:p>
          <w:p w14:paraId="000AD354">
            <w:pPr>
              <w:spacing w:line="286" w:lineRule="auto"/>
              <w:rPr>
                <w:rFonts w:ascii="Arial"/>
                <w:sz w:val="21"/>
              </w:rPr>
            </w:pPr>
          </w:p>
          <w:p w14:paraId="5DDABE6D">
            <w:pPr>
              <w:spacing w:line="286" w:lineRule="auto"/>
              <w:rPr>
                <w:rFonts w:ascii="Arial"/>
                <w:sz w:val="21"/>
              </w:rPr>
            </w:pPr>
          </w:p>
          <w:p w14:paraId="2C934689">
            <w:pPr>
              <w:pStyle w:val="6"/>
              <w:spacing w:before="68"/>
              <w:ind w:left="150"/>
              <w:rPr>
                <w:sz w:val="21"/>
                <w:szCs w:val="21"/>
              </w:rPr>
            </w:pPr>
            <w:r>
              <w:rPr>
                <w:sz w:val="21"/>
                <w:szCs w:val="21"/>
              </w:rPr>
              <w:t>3</w:t>
            </w:r>
          </w:p>
        </w:tc>
        <w:tc>
          <w:tcPr>
            <w:tcW w:w="1128" w:type="dxa"/>
            <w:gridSpan w:val="2"/>
            <w:vAlign w:val="top"/>
          </w:tcPr>
          <w:p w14:paraId="50C387E8">
            <w:pPr>
              <w:spacing w:line="248" w:lineRule="auto"/>
              <w:rPr>
                <w:rFonts w:ascii="Arial"/>
                <w:sz w:val="21"/>
              </w:rPr>
            </w:pPr>
          </w:p>
          <w:p w14:paraId="7FB54A98">
            <w:pPr>
              <w:spacing w:line="249" w:lineRule="auto"/>
              <w:rPr>
                <w:rFonts w:ascii="Arial"/>
                <w:sz w:val="21"/>
              </w:rPr>
            </w:pPr>
          </w:p>
          <w:p w14:paraId="73ED1089">
            <w:pPr>
              <w:spacing w:line="249" w:lineRule="auto"/>
              <w:rPr>
                <w:rFonts w:ascii="Arial"/>
                <w:sz w:val="21"/>
              </w:rPr>
            </w:pPr>
          </w:p>
          <w:p w14:paraId="748EEFF0">
            <w:pPr>
              <w:spacing w:line="249" w:lineRule="auto"/>
              <w:rPr>
                <w:rFonts w:ascii="Arial"/>
                <w:sz w:val="21"/>
              </w:rPr>
            </w:pPr>
          </w:p>
          <w:p w14:paraId="5C7D97FB">
            <w:pPr>
              <w:pStyle w:val="6"/>
              <w:spacing w:before="69" w:line="220" w:lineRule="auto"/>
              <w:ind w:left="131"/>
              <w:rPr>
                <w:sz w:val="21"/>
                <w:szCs w:val="21"/>
              </w:rPr>
            </w:pPr>
            <w:r>
              <w:rPr>
                <w:spacing w:val="2"/>
                <w:sz w:val="21"/>
                <w:szCs w:val="21"/>
              </w:rPr>
              <w:t>噪声污染</w:t>
            </w:r>
          </w:p>
          <w:p w14:paraId="69AC227F">
            <w:pPr>
              <w:pStyle w:val="6"/>
              <w:spacing w:before="9" w:line="220" w:lineRule="auto"/>
              <w:ind w:left="131"/>
              <w:rPr>
                <w:sz w:val="21"/>
                <w:szCs w:val="21"/>
              </w:rPr>
            </w:pPr>
            <w:r>
              <w:rPr>
                <w:spacing w:val="2"/>
                <w:sz w:val="21"/>
                <w:szCs w:val="21"/>
              </w:rPr>
              <w:t>防治措施</w:t>
            </w:r>
          </w:p>
        </w:tc>
        <w:tc>
          <w:tcPr>
            <w:tcW w:w="4345" w:type="dxa"/>
            <w:gridSpan w:val="4"/>
            <w:vAlign w:val="top"/>
          </w:tcPr>
          <w:p w14:paraId="0568C9B8">
            <w:pPr>
              <w:pStyle w:val="6"/>
              <w:spacing w:before="105" w:line="251" w:lineRule="auto"/>
              <w:ind w:left="83" w:right="53" w:hanging="20"/>
              <w:rPr>
                <w:sz w:val="21"/>
                <w:szCs w:val="21"/>
              </w:rPr>
            </w:pPr>
            <w:r>
              <w:rPr>
                <w:sz w:val="21"/>
                <w:szCs w:val="21"/>
              </w:rPr>
              <w:t>①选用低噪声设备，加强施工机械设备检修和</w:t>
            </w:r>
            <w:r>
              <w:rPr>
                <w:spacing w:val="16"/>
                <w:sz w:val="21"/>
                <w:szCs w:val="21"/>
              </w:rPr>
              <w:t xml:space="preserve"> </w:t>
            </w:r>
            <w:r>
              <w:rPr>
                <w:spacing w:val="-2"/>
                <w:sz w:val="21"/>
                <w:szCs w:val="21"/>
              </w:rPr>
              <w:t>维护。</w:t>
            </w:r>
          </w:p>
          <w:p w14:paraId="73C5EAC6">
            <w:pPr>
              <w:pStyle w:val="6"/>
              <w:spacing w:before="3" w:line="230" w:lineRule="auto"/>
              <w:ind w:left="63" w:right="60"/>
              <w:rPr>
                <w:sz w:val="21"/>
                <w:szCs w:val="21"/>
              </w:rPr>
            </w:pPr>
            <w:r>
              <w:rPr>
                <w:spacing w:val="-1"/>
                <w:sz w:val="21"/>
                <w:szCs w:val="21"/>
              </w:rPr>
              <w:t>②合理布置施工场地，将高噪声施工设备布置</w:t>
            </w:r>
            <w:r>
              <w:rPr>
                <w:spacing w:val="12"/>
                <w:sz w:val="21"/>
                <w:szCs w:val="21"/>
              </w:rPr>
              <w:t xml:space="preserve"> </w:t>
            </w:r>
            <w:r>
              <w:rPr>
                <w:sz w:val="21"/>
                <w:szCs w:val="21"/>
              </w:rPr>
              <w:t>于远离声环境敏感点一侧，对固定的设备加装</w:t>
            </w:r>
            <w:r>
              <w:rPr>
                <w:spacing w:val="9"/>
                <w:sz w:val="21"/>
                <w:szCs w:val="21"/>
              </w:rPr>
              <w:t xml:space="preserve"> </w:t>
            </w:r>
            <w:r>
              <w:rPr>
                <w:spacing w:val="1"/>
                <w:sz w:val="21"/>
                <w:szCs w:val="21"/>
              </w:rPr>
              <w:t>减振、消声及设置临时声屏障等降噪措施。</w:t>
            </w:r>
          </w:p>
          <w:p w14:paraId="5C85CE2C">
            <w:pPr>
              <w:pStyle w:val="6"/>
              <w:spacing w:before="1" w:line="242" w:lineRule="auto"/>
              <w:ind w:left="103" w:right="57" w:hanging="40"/>
              <w:rPr>
                <w:sz w:val="21"/>
                <w:szCs w:val="21"/>
              </w:rPr>
            </w:pPr>
            <w:r>
              <w:rPr>
                <w:sz w:val="21"/>
                <w:szCs w:val="21"/>
              </w:rPr>
              <w:t>③合理安排施工工序及施工时间，避免高噪声</w:t>
            </w:r>
            <w:r>
              <w:rPr>
                <w:spacing w:val="13"/>
                <w:sz w:val="21"/>
                <w:szCs w:val="21"/>
              </w:rPr>
              <w:t xml:space="preserve"> </w:t>
            </w:r>
            <w:r>
              <w:rPr>
                <w:spacing w:val="-1"/>
                <w:sz w:val="21"/>
                <w:szCs w:val="21"/>
              </w:rPr>
              <w:t>设备同时运转。</w:t>
            </w:r>
          </w:p>
          <w:p w14:paraId="2B1FBA6F">
            <w:pPr>
              <w:pStyle w:val="6"/>
              <w:spacing w:before="1" w:line="241" w:lineRule="auto"/>
              <w:ind w:left="103" w:right="77" w:hanging="40"/>
              <w:rPr>
                <w:sz w:val="21"/>
                <w:szCs w:val="21"/>
              </w:rPr>
            </w:pPr>
            <w:r>
              <w:rPr>
                <w:spacing w:val="-1"/>
                <w:sz w:val="21"/>
                <w:szCs w:val="21"/>
              </w:rPr>
              <w:t>④合理安排物料运输时间，经过敏感点时应减</w:t>
            </w:r>
            <w:r>
              <w:rPr>
                <w:spacing w:val="12"/>
                <w:sz w:val="21"/>
                <w:szCs w:val="21"/>
              </w:rPr>
              <w:t xml:space="preserve"> </w:t>
            </w:r>
            <w:r>
              <w:rPr>
                <w:spacing w:val="-1"/>
                <w:sz w:val="21"/>
                <w:szCs w:val="21"/>
              </w:rPr>
              <w:t>速慢行、禁止鸣笛。</w:t>
            </w:r>
          </w:p>
        </w:tc>
        <w:tc>
          <w:tcPr>
            <w:tcW w:w="989" w:type="dxa"/>
            <w:vAlign w:val="top"/>
          </w:tcPr>
          <w:p w14:paraId="1D9D0957">
            <w:pPr>
              <w:spacing w:line="285" w:lineRule="auto"/>
              <w:rPr>
                <w:rFonts w:ascii="Arial"/>
                <w:sz w:val="21"/>
              </w:rPr>
            </w:pPr>
          </w:p>
          <w:p w14:paraId="66182FD3">
            <w:pPr>
              <w:spacing w:line="285" w:lineRule="auto"/>
              <w:rPr>
                <w:rFonts w:ascii="Arial"/>
                <w:sz w:val="21"/>
              </w:rPr>
            </w:pPr>
          </w:p>
          <w:p w14:paraId="0318F3C2">
            <w:pPr>
              <w:spacing w:line="286" w:lineRule="auto"/>
              <w:rPr>
                <w:rFonts w:ascii="Arial"/>
                <w:sz w:val="21"/>
              </w:rPr>
            </w:pPr>
          </w:p>
          <w:p w14:paraId="6EEC6E4A">
            <w:pPr>
              <w:pStyle w:val="6"/>
              <w:spacing w:before="68" w:line="233" w:lineRule="auto"/>
              <w:ind w:left="68" w:right="78" w:firstLine="110"/>
              <w:rPr>
                <w:sz w:val="21"/>
                <w:szCs w:val="21"/>
              </w:rPr>
            </w:pPr>
            <w:r>
              <w:rPr>
                <w:spacing w:val="-3"/>
                <w:sz w:val="21"/>
                <w:szCs w:val="21"/>
              </w:rPr>
              <w:t>施工单</w:t>
            </w:r>
            <w:r>
              <w:rPr>
                <w:sz w:val="21"/>
                <w:szCs w:val="21"/>
              </w:rPr>
              <w:t xml:space="preserve">  </w:t>
            </w:r>
            <w:r>
              <w:rPr>
                <w:spacing w:val="-3"/>
                <w:sz w:val="21"/>
                <w:szCs w:val="21"/>
              </w:rPr>
              <w:t>位、建设</w:t>
            </w:r>
          </w:p>
          <w:p w14:paraId="38E580BE">
            <w:pPr>
              <w:pStyle w:val="6"/>
              <w:spacing w:line="220" w:lineRule="auto"/>
              <w:ind w:left="279"/>
              <w:rPr>
                <w:sz w:val="21"/>
                <w:szCs w:val="21"/>
              </w:rPr>
            </w:pPr>
            <w:r>
              <w:rPr>
                <w:spacing w:val="-3"/>
                <w:sz w:val="21"/>
                <w:szCs w:val="21"/>
              </w:rPr>
              <w:t>单位</w:t>
            </w:r>
          </w:p>
        </w:tc>
        <w:tc>
          <w:tcPr>
            <w:tcW w:w="1164" w:type="dxa"/>
            <w:vMerge w:val="continue"/>
            <w:tcBorders>
              <w:top w:val="nil"/>
              <w:bottom w:val="nil"/>
            </w:tcBorders>
            <w:vAlign w:val="top"/>
          </w:tcPr>
          <w:p w14:paraId="324076CD">
            <w:pPr>
              <w:rPr>
                <w:rFonts w:ascii="Arial"/>
                <w:sz w:val="21"/>
              </w:rPr>
            </w:pPr>
          </w:p>
        </w:tc>
      </w:tr>
      <w:tr w14:paraId="6171A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734" w:type="dxa"/>
            <w:vMerge w:val="continue"/>
            <w:tcBorders>
              <w:top w:val="nil"/>
              <w:bottom w:val="nil"/>
            </w:tcBorders>
            <w:vAlign w:val="top"/>
          </w:tcPr>
          <w:p w14:paraId="418F8C77">
            <w:pPr>
              <w:rPr>
                <w:rFonts w:ascii="Arial"/>
                <w:sz w:val="21"/>
              </w:rPr>
            </w:pPr>
          </w:p>
        </w:tc>
        <w:tc>
          <w:tcPr>
            <w:tcW w:w="120" w:type="dxa"/>
            <w:vMerge w:val="continue"/>
            <w:tcBorders>
              <w:top w:val="nil"/>
              <w:bottom w:val="nil"/>
            </w:tcBorders>
            <w:vAlign w:val="top"/>
          </w:tcPr>
          <w:p w14:paraId="7436E1DC">
            <w:pPr>
              <w:rPr>
                <w:rFonts w:ascii="Arial"/>
                <w:sz w:val="21"/>
              </w:rPr>
            </w:pPr>
          </w:p>
        </w:tc>
        <w:tc>
          <w:tcPr>
            <w:tcW w:w="429" w:type="dxa"/>
            <w:vAlign w:val="top"/>
          </w:tcPr>
          <w:p w14:paraId="7985068C">
            <w:pPr>
              <w:spacing w:line="266" w:lineRule="auto"/>
              <w:rPr>
                <w:rFonts w:ascii="Arial"/>
                <w:sz w:val="21"/>
              </w:rPr>
            </w:pPr>
          </w:p>
          <w:p w14:paraId="18003F5A">
            <w:pPr>
              <w:spacing w:line="266" w:lineRule="auto"/>
              <w:rPr>
                <w:rFonts w:ascii="Arial"/>
                <w:sz w:val="21"/>
              </w:rPr>
            </w:pPr>
          </w:p>
          <w:p w14:paraId="36452DDA">
            <w:pPr>
              <w:spacing w:line="267" w:lineRule="auto"/>
              <w:rPr>
                <w:rFonts w:ascii="Arial"/>
                <w:sz w:val="21"/>
              </w:rPr>
            </w:pPr>
          </w:p>
          <w:p w14:paraId="4CDCEADB">
            <w:pPr>
              <w:pStyle w:val="6"/>
              <w:spacing w:before="68" w:line="241" w:lineRule="auto"/>
              <w:ind w:left="150"/>
              <w:rPr>
                <w:sz w:val="21"/>
                <w:szCs w:val="21"/>
              </w:rPr>
            </w:pPr>
            <w:r>
              <w:rPr>
                <w:sz w:val="21"/>
                <w:szCs w:val="21"/>
              </w:rPr>
              <w:t>4</w:t>
            </w:r>
          </w:p>
        </w:tc>
        <w:tc>
          <w:tcPr>
            <w:tcW w:w="1128" w:type="dxa"/>
            <w:gridSpan w:val="2"/>
            <w:vAlign w:val="top"/>
          </w:tcPr>
          <w:p w14:paraId="5C3083DE">
            <w:pPr>
              <w:spacing w:line="259" w:lineRule="auto"/>
              <w:rPr>
                <w:rFonts w:ascii="Arial"/>
                <w:sz w:val="21"/>
              </w:rPr>
            </w:pPr>
          </w:p>
          <w:p w14:paraId="2FEAE8C2">
            <w:pPr>
              <w:spacing w:line="260" w:lineRule="auto"/>
              <w:rPr>
                <w:rFonts w:ascii="Arial"/>
                <w:sz w:val="21"/>
              </w:rPr>
            </w:pPr>
          </w:p>
          <w:p w14:paraId="31362191">
            <w:pPr>
              <w:spacing w:line="260" w:lineRule="auto"/>
              <w:rPr>
                <w:rFonts w:ascii="Arial"/>
                <w:sz w:val="21"/>
              </w:rPr>
            </w:pPr>
          </w:p>
          <w:p w14:paraId="25D18051">
            <w:pPr>
              <w:pStyle w:val="6"/>
              <w:spacing w:before="68" w:line="220" w:lineRule="auto"/>
              <w:ind w:left="131"/>
              <w:rPr>
                <w:sz w:val="21"/>
                <w:szCs w:val="21"/>
              </w:rPr>
            </w:pPr>
            <w:r>
              <w:rPr>
                <w:spacing w:val="2"/>
                <w:sz w:val="21"/>
                <w:szCs w:val="21"/>
              </w:rPr>
              <w:t>固体废物</w:t>
            </w:r>
          </w:p>
        </w:tc>
        <w:tc>
          <w:tcPr>
            <w:tcW w:w="4345" w:type="dxa"/>
            <w:gridSpan w:val="4"/>
            <w:vAlign w:val="top"/>
          </w:tcPr>
          <w:p w14:paraId="78AE907C">
            <w:pPr>
              <w:pStyle w:val="6"/>
              <w:spacing w:before="28" w:line="242" w:lineRule="auto"/>
              <w:ind w:left="93" w:right="45" w:hanging="30"/>
              <w:rPr>
                <w:sz w:val="21"/>
                <w:szCs w:val="21"/>
              </w:rPr>
            </w:pPr>
            <w:r>
              <w:rPr>
                <w:spacing w:val="1"/>
                <w:sz w:val="21"/>
                <w:szCs w:val="21"/>
              </w:rPr>
              <w:t>①废弃土石方：表土剥离后单独堆存，后期用</w:t>
            </w:r>
            <w:r>
              <w:rPr>
                <w:spacing w:val="4"/>
                <w:sz w:val="21"/>
                <w:szCs w:val="21"/>
              </w:rPr>
              <w:t xml:space="preserve"> </w:t>
            </w:r>
            <w:r>
              <w:rPr>
                <w:spacing w:val="-1"/>
                <w:sz w:val="21"/>
                <w:szCs w:val="21"/>
              </w:rPr>
              <w:t>于绿化覆土。</w:t>
            </w:r>
          </w:p>
          <w:p w14:paraId="6F6FCEA7">
            <w:pPr>
              <w:pStyle w:val="6"/>
              <w:spacing w:line="243" w:lineRule="auto"/>
              <w:ind w:left="63" w:right="45"/>
              <w:rPr>
                <w:sz w:val="21"/>
                <w:szCs w:val="21"/>
              </w:rPr>
            </w:pPr>
            <w:r>
              <w:rPr>
                <w:spacing w:val="1"/>
                <w:sz w:val="21"/>
                <w:szCs w:val="21"/>
              </w:rPr>
              <w:t>②建筑垃圾应分类收集，能利用部分回收利用</w:t>
            </w:r>
            <w:r>
              <w:rPr>
                <w:spacing w:val="4"/>
                <w:sz w:val="21"/>
                <w:szCs w:val="21"/>
              </w:rPr>
              <w:t xml:space="preserve"> </w:t>
            </w:r>
            <w:r>
              <w:rPr>
                <w:spacing w:val="-1"/>
                <w:sz w:val="21"/>
                <w:szCs w:val="21"/>
              </w:rPr>
              <w:t>或外售收购商进行回收，不可回收部分统一收</w:t>
            </w:r>
            <w:r>
              <w:rPr>
                <w:spacing w:val="8"/>
                <w:sz w:val="21"/>
                <w:szCs w:val="21"/>
              </w:rPr>
              <w:t xml:space="preserve"> </w:t>
            </w:r>
            <w:r>
              <w:rPr>
                <w:spacing w:val="1"/>
                <w:sz w:val="21"/>
                <w:szCs w:val="21"/>
              </w:rPr>
              <w:t>集后送当地建筑垃圾消纳场。</w:t>
            </w:r>
          </w:p>
          <w:p w14:paraId="22997D3A">
            <w:pPr>
              <w:pStyle w:val="6"/>
              <w:spacing w:line="215" w:lineRule="auto"/>
              <w:ind w:left="103" w:right="77" w:hanging="40"/>
              <w:rPr>
                <w:sz w:val="21"/>
                <w:szCs w:val="21"/>
              </w:rPr>
            </w:pPr>
            <w:r>
              <w:rPr>
                <w:spacing w:val="-1"/>
                <w:sz w:val="21"/>
                <w:szCs w:val="21"/>
              </w:rPr>
              <w:t>③生活垃圾收集后送至周边村镇垃圾收集点处</w:t>
            </w:r>
            <w:r>
              <w:rPr>
                <w:spacing w:val="12"/>
                <w:sz w:val="21"/>
                <w:szCs w:val="21"/>
              </w:rPr>
              <w:t xml:space="preserve"> </w:t>
            </w:r>
            <w:r>
              <w:rPr>
                <w:spacing w:val="-1"/>
                <w:sz w:val="21"/>
                <w:szCs w:val="21"/>
              </w:rPr>
              <w:t>理。旱厕粪便定期清掏用作农肥。</w:t>
            </w:r>
          </w:p>
        </w:tc>
        <w:tc>
          <w:tcPr>
            <w:tcW w:w="989" w:type="dxa"/>
            <w:vAlign w:val="top"/>
          </w:tcPr>
          <w:p w14:paraId="4FAAEF41">
            <w:pPr>
              <w:spacing w:line="250" w:lineRule="auto"/>
              <w:rPr>
                <w:rFonts w:ascii="Arial"/>
                <w:sz w:val="21"/>
              </w:rPr>
            </w:pPr>
          </w:p>
          <w:p w14:paraId="6B1BA370">
            <w:pPr>
              <w:spacing w:line="250" w:lineRule="auto"/>
              <w:rPr>
                <w:rFonts w:ascii="Arial"/>
                <w:sz w:val="21"/>
              </w:rPr>
            </w:pPr>
          </w:p>
          <w:p w14:paraId="173C2156">
            <w:pPr>
              <w:pStyle w:val="6"/>
              <w:spacing w:before="68" w:line="242" w:lineRule="auto"/>
              <w:ind w:left="68" w:right="78" w:firstLine="110"/>
              <w:rPr>
                <w:sz w:val="21"/>
                <w:szCs w:val="21"/>
              </w:rPr>
            </w:pPr>
            <w:r>
              <w:rPr>
                <w:spacing w:val="-3"/>
                <w:sz w:val="21"/>
                <w:szCs w:val="21"/>
              </w:rPr>
              <w:t>施工单</w:t>
            </w:r>
            <w:r>
              <w:rPr>
                <w:sz w:val="21"/>
                <w:szCs w:val="21"/>
              </w:rPr>
              <w:t xml:space="preserve">  </w:t>
            </w:r>
            <w:r>
              <w:rPr>
                <w:spacing w:val="-3"/>
                <w:sz w:val="21"/>
                <w:szCs w:val="21"/>
              </w:rPr>
              <w:t>位、建设</w:t>
            </w:r>
          </w:p>
          <w:p w14:paraId="62E77292">
            <w:pPr>
              <w:pStyle w:val="6"/>
              <w:spacing w:line="220" w:lineRule="auto"/>
              <w:ind w:left="279"/>
              <w:rPr>
                <w:sz w:val="21"/>
                <w:szCs w:val="21"/>
              </w:rPr>
            </w:pPr>
            <w:r>
              <w:rPr>
                <w:spacing w:val="-3"/>
                <w:sz w:val="21"/>
                <w:szCs w:val="21"/>
              </w:rPr>
              <w:t>单位</w:t>
            </w:r>
          </w:p>
        </w:tc>
        <w:tc>
          <w:tcPr>
            <w:tcW w:w="1164" w:type="dxa"/>
            <w:vMerge w:val="continue"/>
            <w:tcBorders>
              <w:top w:val="nil"/>
              <w:bottom w:val="nil"/>
            </w:tcBorders>
            <w:vAlign w:val="top"/>
          </w:tcPr>
          <w:p w14:paraId="401A827A">
            <w:pPr>
              <w:rPr>
                <w:rFonts w:ascii="Arial"/>
                <w:sz w:val="21"/>
              </w:rPr>
            </w:pPr>
          </w:p>
        </w:tc>
      </w:tr>
      <w:tr w14:paraId="4ADD5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734" w:type="dxa"/>
            <w:vMerge w:val="continue"/>
            <w:tcBorders>
              <w:top w:val="nil"/>
              <w:bottom w:val="nil"/>
            </w:tcBorders>
            <w:vAlign w:val="top"/>
          </w:tcPr>
          <w:p w14:paraId="1857161C">
            <w:pPr>
              <w:rPr>
                <w:rFonts w:ascii="Arial"/>
                <w:sz w:val="21"/>
              </w:rPr>
            </w:pPr>
          </w:p>
        </w:tc>
        <w:tc>
          <w:tcPr>
            <w:tcW w:w="120" w:type="dxa"/>
            <w:vMerge w:val="continue"/>
            <w:tcBorders>
              <w:top w:val="nil"/>
              <w:bottom w:val="nil"/>
            </w:tcBorders>
            <w:vAlign w:val="top"/>
          </w:tcPr>
          <w:p w14:paraId="5A025AC0">
            <w:pPr>
              <w:rPr>
                <w:rFonts w:ascii="Arial"/>
                <w:sz w:val="21"/>
              </w:rPr>
            </w:pPr>
          </w:p>
        </w:tc>
        <w:tc>
          <w:tcPr>
            <w:tcW w:w="429" w:type="dxa"/>
            <w:vAlign w:val="top"/>
          </w:tcPr>
          <w:p w14:paraId="25799E98">
            <w:pPr>
              <w:spacing w:line="253" w:lineRule="auto"/>
              <w:rPr>
                <w:rFonts w:ascii="Arial"/>
                <w:sz w:val="21"/>
              </w:rPr>
            </w:pPr>
          </w:p>
          <w:p w14:paraId="57F8FA26">
            <w:pPr>
              <w:pStyle w:val="6"/>
              <w:spacing w:before="68"/>
              <w:ind w:left="150"/>
              <w:rPr>
                <w:sz w:val="21"/>
                <w:szCs w:val="21"/>
              </w:rPr>
            </w:pPr>
            <w:r>
              <w:rPr>
                <w:sz w:val="21"/>
                <w:szCs w:val="21"/>
              </w:rPr>
              <w:t>5</w:t>
            </w:r>
          </w:p>
        </w:tc>
        <w:tc>
          <w:tcPr>
            <w:tcW w:w="1128" w:type="dxa"/>
            <w:gridSpan w:val="2"/>
            <w:vAlign w:val="top"/>
          </w:tcPr>
          <w:p w14:paraId="064A6DED">
            <w:pPr>
              <w:pStyle w:val="6"/>
              <w:spacing w:before="302" w:line="219" w:lineRule="auto"/>
              <w:ind w:left="131"/>
              <w:rPr>
                <w:sz w:val="21"/>
                <w:szCs w:val="21"/>
              </w:rPr>
            </w:pPr>
            <w:r>
              <w:rPr>
                <w:spacing w:val="1"/>
                <w:sz w:val="21"/>
                <w:szCs w:val="21"/>
              </w:rPr>
              <w:t>隐蔽工程</w:t>
            </w:r>
          </w:p>
        </w:tc>
        <w:tc>
          <w:tcPr>
            <w:tcW w:w="4345" w:type="dxa"/>
            <w:gridSpan w:val="4"/>
            <w:vAlign w:val="top"/>
          </w:tcPr>
          <w:p w14:paraId="16B16EA8">
            <w:pPr>
              <w:pStyle w:val="6"/>
              <w:spacing w:before="51" w:line="219" w:lineRule="auto"/>
              <w:ind w:left="63"/>
              <w:jc w:val="both"/>
              <w:rPr>
                <w:sz w:val="21"/>
                <w:szCs w:val="21"/>
              </w:rPr>
            </w:pPr>
            <w:r>
              <w:rPr>
                <w:spacing w:val="-3"/>
                <w:sz w:val="21"/>
                <w:szCs w:val="21"/>
              </w:rPr>
              <w:t>保存事故油池、集油坑、危险废物暂存间防渗</w:t>
            </w:r>
            <w:r>
              <w:rPr>
                <w:spacing w:val="8"/>
                <w:sz w:val="21"/>
                <w:szCs w:val="21"/>
              </w:rPr>
              <w:t xml:space="preserve">  </w:t>
            </w:r>
            <w:r>
              <w:rPr>
                <w:spacing w:val="3"/>
                <w:sz w:val="21"/>
                <w:szCs w:val="21"/>
              </w:rPr>
              <w:t>施工材料信息，施工时对隐蔽工程进行拍照、</w:t>
            </w:r>
            <w:r>
              <w:rPr>
                <w:spacing w:val="10"/>
                <w:sz w:val="21"/>
                <w:szCs w:val="21"/>
              </w:rPr>
              <w:t xml:space="preserve"> </w:t>
            </w:r>
            <w:r>
              <w:rPr>
                <w:spacing w:val="3"/>
                <w:sz w:val="21"/>
                <w:szCs w:val="21"/>
              </w:rPr>
              <w:t>录像保存。</w:t>
            </w:r>
          </w:p>
        </w:tc>
        <w:tc>
          <w:tcPr>
            <w:tcW w:w="989" w:type="dxa"/>
            <w:vAlign w:val="top"/>
          </w:tcPr>
          <w:p w14:paraId="2FDF106E">
            <w:pPr>
              <w:pStyle w:val="6"/>
              <w:spacing w:before="43" w:line="224" w:lineRule="auto"/>
              <w:ind w:left="68" w:right="78" w:firstLine="110"/>
              <w:rPr>
                <w:sz w:val="21"/>
                <w:szCs w:val="21"/>
              </w:rPr>
            </w:pPr>
            <w:r>
              <w:rPr>
                <w:spacing w:val="-3"/>
                <w:sz w:val="21"/>
                <w:szCs w:val="21"/>
              </w:rPr>
              <w:t>施工单</w:t>
            </w:r>
            <w:r>
              <w:rPr>
                <w:sz w:val="21"/>
                <w:szCs w:val="21"/>
              </w:rPr>
              <w:t xml:space="preserve">  </w:t>
            </w:r>
            <w:r>
              <w:rPr>
                <w:spacing w:val="-3"/>
                <w:sz w:val="21"/>
                <w:szCs w:val="21"/>
              </w:rPr>
              <w:t>位、建设</w:t>
            </w:r>
          </w:p>
          <w:p w14:paraId="2185D704">
            <w:pPr>
              <w:pStyle w:val="6"/>
              <w:spacing w:line="216" w:lineRule="auto"/>
              <w:ind w:left="279"/>
              <w:rPr>
                <w:sz w:val="21"/>
                <w:szCs w:val="21"/>
              </w:rPr>
            </w:pPr>
            <w:r>
              <w:rPr>
                <w:spacing w:val="-3"/>
                <w:sz w:val="21"/>
                <w:szCs w:val="21"/>
              </w:rPr>
              <w:t>单位</w:t>
            </w:r>
          </w:p>
        </w:tc>
        <w:tc>
          <w:tcPr>
            <w:tcW w:w="1164" w:type="dxa"/>
            <w:vMerge w:val="continue"/>
            <w:tcBorders>
              <w:top w:val="nil"/>
              <w:bottom w:val="nil"/>
            </w:tcBorders>
            <w:vAlign w:val="top"/>
          </w:tcPr>
          <w:p w14:paraId="04DE4CB0">
            <w:pPr>
              <w:rPr>
                <w:rFonts w:ascii="Arial"/>
                <w:sz w:val="21"/>
              </w:rPr>
            </w:pPr>
          </w:p>
        </w:tc>
      </w:tr>
      <w:tr w14:paraId="3B400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734" w:type="dxa"/>
            <w:vMerge w:val="continue"/>
            <w:tcBorders>
              <w:top w:val="nil"/>
              <w:bottom w:val="nil"/>
            </w:tcBorders>
            <w:vAlign w:val="top"/>
          </w:tcPr>
          <w:p w14:paraId="1CCFD893">
            <w:pPr>
              <w:rPr>
                <w:rFonts w:ascii="Arial"/>
                <w:sz w:val="21"/>
              </w:rPr>
            </w:pPr>
          </w:p>
        </w:tc>
        <w:tc>
          <w:tcPr>
            <w:tcW w:w="120" w:type="dxa"/>
            <w:vMerge w:val="continue"/>
            <w:tcBorders>
              <w:top w:val="nil"/>
              <w:bottom w:val="nil"/>
            </w:tcBorders>
            <w:vAlign w:val="top"/>
          </w:tcPr>
          <w:p w14:paraId="4326C125">
            <w:pPr>
              <w:rPr>
                <w:rFonts w:ascii="Arial"/>
                <w:sz w:val="21"/>
              </w:rPr>
            </w:pPr>
          </w:p>
        </w:tc>
        <w:tc>
          <w:tcPr>
            <w:tcW w:w="429" w:type="dxa"/>
            <w:vAlign w:val="top"/>
          </w:tcPr>
          <w:p w14:paraId="177D9464">
            <w:pPr>
              <w:spacing w:line="333" w:lineRule="auto"/>
              <w:rPr>
                <w:rFonts w:ascii="Arial"/>
                <w:sz w:val="21"/>
              </w:rPr>
            </w:pPr>
          </w:p>
          <w:p w14:paraId="41B20986">
            <w:pPr>
              <w:pStyle w:val="6"/>
              <w:spacing w:before="68"/>
              <w:ind w:left="150"/>
              <w:rPr>
                <w:sz w:val="21"/>
                <w:szCs w:val="21"/>
              </w:rPr>
            </w:pPr>
            <w:r>
              <w:rPr>
                <w:sz w:val="21"/>
                <w:szCs w:val="21"/>
              </w:rPr>
              <w:t>6</w:t>
            </w:r>
          </w:p>
        </w:tc>
        <w:tc>
          <w:tcPr>
            <w:tcW w:w="1128" w:type="dxa"/>
            <w:gridSpan w:val="2"/>
            <w:vAlign w:val="top"/>
          </w:tcPr>
          <w:p w14:paraId="47350A81">
            <w:pPr>
              <w:spacing w:line="313" w:lineRule="auto"/>
              <w:rPr>
                <w:rFonts w:ascii="Arial"/>
                <w:sz w:val="21"/>
              </w:rPr>
            </w:pPr>
          </w:p>
          <w:p w14:paraId="1694CD81">
            <w:pPr>
              <w:pStyle w:val="6"/>
              <w:spacing w:before="69" w:line="220" w:lineRule="auto"/>
              <w:ind w:left="131"/>
              <w:rPr>
                <w:sz w:val="21"/>
                <w:szCs w:val="21"/>
              </w:rPr>
            </w:pPr>
            <w:r>
              <w:rPr>
                <w:spacing w:val="-2"/>
                <w:sz w:val="21"/>
                <w:szCs w:val="21"/>
              </w:rPr>
              <w:t>生态恢复</w:t>
            </w:r>
          </w:p>
        </w:tc>
        <w:tc>
          <w:tcPr>
            <w:tcW w:w="4345" w:type="dxa"/>
            <w:gridSpan w:val="4"/>
            <w:vAlign w:val="top"/>
          </w:tcPr>
          <w:p w14:paraId="5A4B05C8">
            <w:pPr>
              <w:pStyle w:val="6"/>
              <w:spacing w:before="252"/>
              <w:ind w:left="103" w:right="15" w:firstLine="10"/>
              <w:rPr>
                <w:sz w:val="21"/>
                <w:szCs w:val="21"/>
              </w:rPr>
            </w:pPr>
            <w:r>
              <w:rPr>
                <w:sz w:val="21"/>
                <w:szCs w:val="21"/>
              </w:rPr>
              <w:t>及时恢复临时占地原有功能，进行覆土绿化，</w:t>
            </w:r>
            <w:r>
              <w:rPr>
                <w:spacing w:val="4"/>
                <w:sz w:val="21"/>
                <w:szCs w:val="21"/>
              </w:rPr>
              <w:t xml:space="preserve"> </w:t>
            </w:r>
            <w:r>
              <w:rPr>
                <w:spacing w:val="-1"/>
                <w:sz w:val="21"/>
                <w:szCs w:val="21"/>
              </w:rPr>
              <w:t>确保绿化存活率。</w:t>
            </w:r>
          </w:p>
        </w:tc>
        <w:tc>
          <w:tcPr>
            <w:tcW w:w="989" w:type="dxa"/>
            <w:vAlign w:val="top"/>
          </w:tcPr>
          <w:p w14:paraId="52FC47F1">
            <w:pPr>
              <w:pStyle w:val="6"/>
              <w:spacing w:before="103" w:line="241" w:lineRule="auto"/>
              <w:ind w:left="68" w:right="78" w:firstLine="110"/>
              <w:rPr>
                <w:sz w:val="21"/>
                <w:szCs w:val="21"/>
              </w:rPr>
            </w:pPr>
            <w:r>
              <w:rPr>
                <w:spacing w:val="-3"/>
                <w:sz w:val="21"/>
                <w:szCs w:val="21"/>
              </w:rPr>
              <w:t>施工单</w:t>
            </w:r>
            <w:r>
              <w:rPr>
                <w:sz w:val="21"/>
                <w:szCs w:val="21"/>
              </w:rPr>
              <w:t xml:space="preserve">  </w:t>
            </w:r>
            <w:r>
              <w:rPr>
                <w:spacing w:val="-3"/>
                <w:sz w:val="21"/>
                <w:szCs w:val="21"/>
              </w:rPr>
              <w:t>位、建设</w:t>
            </w:r>
          </w:p>
          <w:p w14:paraId="2D8EF4ED">
            <w:pPr>
              <w:pStyle w:val="6"/>
              <w:spacing w:before="2" w:line="220" w:lineRule="auto"/>
              <w:ind w:left="279"/>
              <w:rPr>
                <w:sz w:val="21"/>
                <w:szCs w:val="21"/>
              </w:rPr>
            </w:pPr>
            <w:r>
              <w:rPr>
                <w:spacing w:val="-3"/>
                <w:sz w:val="21"/>
                <w:szCs w:val="21"/>
              </w:rPr>
              <w:t>单位</w:t>
            </w:r>
          </w:p>
        </w:tc>
        <w:tc>
          <w:tcPr>
            <w:tcW w:w="1164" w:type="dxa"/>
            <w:vMerge w:val="continue"/>
            <w:tcBorders>
              <w:top w:val="nil"/>
              <w:bottom w:val="nil"/>
            </w:tcBorders>
            <w:vAlign w:val="top"/>
          </w:tcPr>
          <w:p w14:paraId="44043149">
            <w:pPr>
              <w:rPr>
                <w:rFonts w:ascii="Arial"/>
                <w:sz w:val="21"/>
              </w:rPr>
            </w:pPr>
          </w:p>
        </w:tc>
      </w:tr>
      <w:tr w14:paraId="373E3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734" w:type="dxa"/>
            <w:vMerge w:val="continue"/>
            <w:tcBorders>
              <w:top w:val="nil"/>
              <w:bottom w:val="nil"/>
            </w:tcBorders>
            <w:vAlign w:val="top"/>
          </w:tcPr>
          <w:p w14:paraId="7FA69272">
            <w:pPr>
              <w:rPr>
                <w:rFonts w:ascii="Arial"/>
                <w:sz w:val="21"/>
              </w:rPr>
            </w:pPr>
          </w:p>
        </w:tc>
        <w:tc>
          <w:tcPr>
            <w:tcW w:w="120" w:type="dxa"/>
            <w:vMerge w:val="continue"/>
            <w:tcBorders>
              <w:top w:val="nil"/>
            </w:tcBorders>
            <w:vAlign w:val="top"/>
          </w:tcPr>
          <w:p w14:paraId="61DEE17B">
            <w:pPr>
              <w:rPr>
                <w:rFonts w:ascii="Arial"/>
                <w:sz w:val="21"/>
              </w:rPr>
            </w:pPr>
          </w:p>
        </w:tc>
        <w:tc>
          <w:tcPr>
            <w:tcW w:w="429" w:type="dxa"/>
            <w:vAlign w:val="top"/>
          </w:tcPr>
          <w:p w14:paraId="62BF122A">
            <w:pPr>
              <w:spacing w:line="324" w:lineRule="auto"/>
              <w:rPr>
                <w:rFonts w:ascii="Arial"/>
                <w:sz w:val="21"/>
              </w:rPr>
            </w:pPr>
          </w:p>
          <w:p w14:paraId="34C6B26C">
            <w:pPr>
              <w:pStyle w:val="6"/>
              <w:spacing w:before="69"/>
              <w:ind w:left="150"/>
              <w:rPr>
                <w:sz w:val="21"/>
                <w:szCs w:val="21"/>
              </w:rPr>
            </w:pPr>
            <w:r>
              <w:rPr>
                <w:sz w:val="21"/>
                <w:szCs w:val="21"/>
              </w:rPr>
              <w:t>7</w:t>
            </w:r>
          </w:p>
        </w:tc>
        <w:tc>
          <w:tcPr>
            <w:tcW w:w="1128" w:type="dxa"/>
            <w:gridSpan w:val="2"/>
            <w:vAlign w:val="top"/>
          </w:tcPr>
          <w:p w14:paraId="2E669AD7">
            <w:pPr>
              <w:pStyle w:val="6"/>
              <w:spacing w:before="234" w:line="219" w:lineRule="auto"/>
              <w:ind w:left="131"/>
              <w:rPr>
                <w:sz w:val="21"/>
                <w:szCs w:val="21"/>
              </w:rPr>
            </w:pPr>
            <w:r>
              <w:rPr>
                <w:spacing w:val="-2"/>
                <w:sz w:val="21"/>
                <w:szCs w:val="21"/>
              </w:rPr>
              <w:t>服务期满</w:t>
            </w:r>
          </w:p>
          <w:p w14:paraId="2029B6C2">
            <w:pPr>
              <w:pStyle w:val="6"/>
              <w:spacing w:before="31" w:line="220" w:lineRule="auto"/>
              <w:ind w:left="451"/>
              <w:rPr>
                <w:sz w:val="21"/>
                <w:szCs w:val="21"/>
              </w:rPr>
            </w:pPr>
            <w:r>
              <w:rPr>
                <w:sz w:val="21"/>
                <w:szCs w:val="21"/>
              </w:rPr>
              <w:t>后</w:t>
            </w:r>
          </w:p>
        </w:tc>
        <w:tc>
          <w:tcPr>
            <w:tcW w:w="4345" w:type="dxa"/>
            <w:gridSpan w:val="4"/>
            <w:vAlign w:val="top"/>
          </w:tcPr>
          <w:p w14:paraId="59F536F2">
            <w:pPr>
              <w:pStyle w:val="6"/>
              <w:spacing w:before="103"/>
              <w:ind w:left="273" w:right="79" w:hanging="210"/>
              <w:rPr>
                <w:sz w:val="21"/>
                <w:szCs w:val="21"/>
              </w:rPr>
            </w:pPr>
            <w:r>
              <w:rPr>
                <w:spacing w:val="-1"/>
                <w:sz w:val="21"/>
                <w:szCs w:val="21"/>
              </w:rPr>
              <w:t>拆除的光伏组件、电气设备运回生产厂商回收</w:t>
            </w:r>
            <w:r>
              <w:rPr>
                <w:spacing w:val="10"/>
                <w:sz w:val="21"/>
                <w:szCs w:val="21"/>
              </w:rPr>
              <w:t xml:space="preserve"> </w:t>
            </w:r>
            <w:r>
              <w:rPr>
                <w:sz w:val="21"/>
                <w:szCs w:val="21"/>
              </w:rPr>
              <w:t>处置；拆除的建(构)筑物建(构)筑物；服</w:t>
            </w:r>
          </w:p>
          <w:p w14:paraId="42AD6FD0">
            <w:pPr>
              <w:pStyle w:val="6"/>
              <w:spacing w:before="4" w:line="219" w:lineRule="auto"/>
              <w:ind w:left="123"/>
              <w:rPr>
                <w:sz w:val="21"/>
                <w:szCs w:val="21"/>
              </w:rPr>
            </w:pPr>
            <w:r>
              <w:rPr>
                <w:spacing w:val="-1"/>
                <w:sz w:val="21"/>
                <w:szCs w:val="21"/>
              </w:rPr>
              <w:t>务期满后做好植被恢复。</w:t>
            </w:r>
          </w:p>
        </w:tc>
        <w:tc>
          <w:tcPr>
            <w:tcW w:w="989" w:type="dxa"/>
            <w:vAlign w:val="top"/>
          </w:tcPr>
          <w:p w14:paraId="5FB3C23C">
            <w:pPr>
              <w:pStyle w:val="6"/>
              <w:spacing w:before="106" w:line="237" w:lineRule="auto"/>
              <w:ind w:left="68" w:right="78" w:firstLine="110"/>
              <w:rPr>
                <w:sz w:val="21"/>
                <w:szCs w:val="21"/>
              </w:rPr>
            </w:pPr>
            <w:r>
              <w:rPr>
                <w:spacing w:val="-3"/>
                <w:sz w:val="21"/>
                <w:szCs w:val="21"/>
              </w:rPr>
              <w:t>施工单</w:t>
            </w:r>
            <w:r>
              <w:rPr>
                <w:sz w:val="21"/>
                <w:szCs w:val="21"/>
              </w:rPr>
              <w:t xml:space="preserve">  </w:t>
            </w:r>
            <w:r>
              <w:rPr>
                <w:spacing w:val="-3"/>
                <w:sz w:val="21"/>
                <w:szCs w:val="21"/>
              </w:rPr>
              <w:t>位、建设</w:t>
            </w:r>
          </w:p>
          <w:p w14:paraId="2AB0EAB7">
            <w:pPr>
              <w:pStyle w:val="6"/>
              <w:spacing w:line="220" w:lineRule="auto"/>
              <w:ind w:left="279"/>
              <w:rPr>
                <w:sz w:val="21"/>
                <w:szCs w:val="21"/>
              </w:rPr>
            </w:pPr>
            <w:r>
              <w:rPr>
                <w:spacing w:val="-3"/>
                <w:sz w:val="21"/>
                <w:szCs w:val="21"/>
              </w:rPr>
              <w:t>单位</w:t>
            </w:r>
          </w:p>
        </w:tc>
        <w:tc>
          <w:tcPr>
            <w:tcW w:w="1164" w:type="dxa"/>
            <w:vMerge w:val="continue"/>
            <w:tcBorders>
              <w:top w:val="nil"/>
            </w:tcBorders>
            <w:vAlign w:val="top"/>
          </w:tcPr>
          <w:p w14:paraId="4CB50038">
            <w:pPr>
              <w:rPr>
                <w:rFonts w:ascii="Arial"/>
                <w:sz w:val="21"/>
              </w:rPr>
            </w:pPr>
          </w:p>
        </w:tc>
      </w:tr>
      <w:tr w14:paraId="593B0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9" w:hRule="atLeast"/>
        </w:trPr>
        <w:tc>
          <w:tcPr>
            <w:tcW w:w="734" w:type="dxa"/>
            <w:vMerge w:val="continue"/>
            <w:tcBorders>
              <w:top w:val="nil"/>
              <w:bottom w:val="nil"/>
            </w:tcBorders>
            <w:vAlign w:val="top"/>
          </w:tcPr>
          <w:p w14:paraId="4732A31F">
            <w:pPr>
              <w:rPr>
                <w:rFonts w:ascii="Arial"/>
                <w:sz w:val="21"/>
              </w:rPr>
            </w:pPr>
          </w:p>
        </w:tc>
        <w:tc>
          <w:tcPr>
            <w:tcW w:w="8175" w:type="dxa"/>
            <w:gridSpan w:val="10"/>
            <w:vAlign w:val="top"/>
          </w:tcPr>
          <w:p w14:paraId="1A94285A">
            <w:pPr>
              <w:pStyle w:val="6"/>
              <w:spacing w:before="53" w:line="220" w:lineRule="auto"/>
              <w:ind w:left="553"/>
              <w:rPr>
                <w:sz w:val="21"/>
                <w:szCs w:val="21"/>
              </w:rPr>
            </w:pPr>
            <w:r>
              <w:rPr>
                <w:b/>
                <w:bCs/>
                <w:spacing w:val="-1"/>
                <w:sz w:val="21"/>
                <w:szCs w:val="21"/>
              </w:rPr>
              <w:t>2、环境监测计划</w:t>
            </w:r>
          </w:p>
          <w:p w14:paraId="7EA483EA">
            <w:pPr>
              <w:spacing w:line="260" w:lineRule="auto"/>
              <w:rPr>
                <w:rFonts w:ascii="Arial"/>
                <w:sz w:val="21"/>
              </w:rPr>
            </w:pPr>
          </w:p>
          <w:p w14:paraId="5171A85E">
            <w:pPr>
              <w:pStyle w:val="6"/>
              <w:spacing w:before="69" w:line="219" w:lineRule="auto"/>
              <w:ind w:left="550"/>
              <w:rPr>
                <w:sz w:val="21"/>
                <w:szCs w:val="21"/>
              </w:rPr>
            </w:pPr>
            <w:r>
              <w:rPr>
                <w:sz w:val="21"/>
                <w:szCs w:val="21"/>
              </w:rPr>
              <w:t>本工程施工期监测计划如下表所示：</w:t>
            </w:r>
          </w:p>
          <w:p w14:paraId="6D9BE179">
            <w:pPr>
              <w:pStyle w:val="6"/>
              <w:spacing w:before="209" w:line="220" w:lineRule="auto"/>
              <w:ind w:left="2343"/>
              <w:rPr>
                <w:sz w:val="21"/>
                <w:szCs w:val="21"/>
              </w:rPr>
            </w:pPr>
            <w:r>
              <w:rPr>
                <w:b/>
                <w:bCs/>
                <w:spacing w:val="20"/>
                <w:sz w:val="21"/>
                <w:szCs w:val="21"/>
              </w:rPr>
              <w:t>表5</w:t>
            </w:r>
            <w:r>
              <w:rPr>
                <w:spacing w:val="-51"/>
                <w:sz w:val="21"/>
                <w:szCs w:val="21"/>
              </w:rPr>
              <w:t xml:space="preserve"> </w:t>
            </w:r>
            <w:r>
              <w:rPr>
                <w:b/>
                <w:bCs/>
                <w:spacing w:val="20"/>
                <w:sz w:val="21"/>
                <w:szCs w:val="21"/>
              </w:rPr>
              <w:t>-</w:t>
            </w:r>
            <w:r>
              <w:rPr>
                <w:spacing w:val="-56"/>
                <w:sz w:val="21"/>
                <w:szCs w:val="21"/>
              </w:rPr>
              <w:t xml:space="preserve"> </w:t>
            </w:r>
            <w:r>
              <w:rPr>
                <w:b/>
                <w:bCs/>
                <w:spacing w:val="20"/>
                <w:sz w:val="21"/>
                <w:szCs w:val="21"/>
              </w:rPr>
              <w:t>2施工期环境监测计划</w:t>
            </w:r>
            <w:r>
              <w:rPr>
                <w:spacing w:val="-56"/>
                <w:sz w:val="21"/>
                <w:szCs w:val="21"/>
              </w:rPr>
              <w:t xml:space="preserve"> </w:t>
            </w:r>
            <w:r>
              <w:rPr>
                <w:b/>
                <w:bCs/>
                <w:spacing w:val="20"/>
                <w:sz w:val="21"/>
                <w:szCs w:val="21"/>
              </w:rPr>
              <w:t>一</w:t>
            </w:r>
            <w:r>
              <w:rPr>
                <w:spacing w:val="-55"/>
                <w:sz w:val="21"/>
                <w:szCs w:val="21"/>
              </w:rPr>
              <w:t xml:space="preserve"> </w:t>
            </w:r>
            <w:r>
              <w:rPr>
                <w:b/>
                <w:bCs/>
                <w:spacing w:val="20"/>
                <w:sz w:val="21"/>
                <w:szCs w:val="21"/>
              </w:rPr>
              <w:t>览表</w:t>
            </w:r>
          </w:p>
        </w:tc>
      </w:tr>
      <w:tr w14:paraId="2B865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34" w:type="dxa"/>
            <w:vMerge w:val="continue"/>
            <w:tcBorders>
              <w:top w:val="nil"/>
              <w:bottom w:val="nil"/>
            </w:tcBorders>
            <w:vAlign w:val="top"/>
          </w:tcPr>
          <w:p w14:paraId="572191BE">
            <w:pPr>
              <w:rPr>
                <w:rFonts w:ascii="Arial"/>
                <w:sz w:val="21"/>
              </w:rPr>
            </w:pPr>
          </w:p>
        </w:tc>
        <w:tc>
          <w:tcPr>
            <w:tcW w:w="120" w:type="dxa"/>
            <w:vMerge w:val="restart"/>
            <w:tcBorders>
              <w:top w:val="nil"/>
              <w:bottom w:val="nil"/>
            </w:tcBorders>
            <w:vAlign w:val="top"/>
          </w:tcPr>
          <w:p w14:paraId="788C6DD3">
            <w:pPr>
              <w:rPr>
                <w:rFonts w:ascii="Arial"/>
                <w:sz w:val="21"/>
              </w:rPr>
            </w:pPr>
          </w:p>
        </w:tc>
        <w:tc>
          <w:tcPr>
            <w:tcW w:w="818" w:type="dxa"/>
            <w:gridSpan w:val="2"/>
            <w:vAlign w:val="top"/>
          </w:tcPr>
          <w:p w14:paraId="1CA0416A">
            <w:pPr>
              <w:pStyle w:val="6"/>
              <w:spacing w:before="73" w:line="219" w:lineRule="auto"/>
              <w:ind w:left="193"/>
              <w:rPr>
                <w:sz w:val="21"/>
                <w:szCs w:val="21"/>
              </w:rPr>
            </w:pPr>
            <w:r>
              <w:rPr>
                <w:b/>
                <w:bCs/>
                <w:spacing w:val="-5"/>
                <w:sz w:val="21"/>
                <w:szCs w:val="21"/>
              </w:rPr>
              <w:t>分类</w:t>
            </w:r>
          </w:p>
        </w:tc>
        <w:tc>
          <w:tcPr>
            <w:tcW w:w="1588" w:type="dxa"/>
            <w:gridSpan w:val="2"/>
            <w:vAlign w:val="top"/>
          </w:tcPr>
          <w:p w14:paraId="77981DD0">
            <w:pPr>
              <w:pStyle w:val="6"/>
              <w:spacing w:before="74" w:line="221" w:lineRule="auto"/>
              <w:ind w:left="365"/>
              <w:rPr>
                <w:sz w:val="21"/>
                <w:szCs w:val="21"/>
              </w:rPr>
            </w:pPr>
            <w:r>
              <w:rPr>
                <w:b/>
                <w:bCs/>
                <w:spacing w:val="-4"/>
                <w:sz w:val="21"/>
                <w:szCs w:val="21"/>
              </w:rPr>
              <w:t>监测点位</w:t>
            </w:r>
          </w:p>
        </w:tc>
        <w:tc>
          <w:tcPr>
            <w:tcW w:w="1149" w:type="dxa"/>
            <w:vAlign w:val="top"/>
          </w:tcPr>
          <w:p w14:paraId="76C5DDC1">
            <w:pPr>
              <w:pStyle w:val="6"/>
              <w:spacing w:before="73" w:line="219" w:lineRule="auto"/>
              <w:ind w:left="147"/>
              <w:rPr>
                <w:sz w:val="21"/>
                <w:szCs w:val="21"/>
              </w:rPr>
            </w:pPr>
            <w:r>
              <w:rPr>
                <w:b/>
                <w:bCs/>
                <w:spacing w:val="-4"/>
                <w:sz w:val="21"/>
                <w:szCs w:val="21"/>
              </w:rPr>
              <w:t>检测指标</w:t>
            </w:r>
          </w:p>
        </w:tc>
        <w:tc>
          <w:tcPr>
            <w:tcW w:w="1618" w:type="dxa"/>
            <w:vAlign w:val="top"/>
          </w:tcPr>
          <w:p w14:paraId="552CDA1D">
            <w:pPr>
              <w:pStyle w:val="6"/>
              <w:spacing w:before="73" w:line="219" w:lineRule="auto"/>
              <w:ind w:left="388"/>
              <w:rPr>
                <w:sz w:val="21"/>
                <w:szCs w:val="21"/>
              </w:rPr>
            </w:pPr>
            <w:r>
              <w:rPr>
                <w:b/>
                <w:bCs/>
                <w:spacing w:val="-4"/>
                <w:sz w:val="21"/>
                <w:szCs w:val="21"/>
              </w:rPr>
              <w:t>监测频次</w:t>
            </w:r>
          </w:p>
        </w:tc>
        <w:tc>
          <w:tcPr>
            <w:tcW w:w="2882" w:type="dxa"/>
            <w:gridSpan w:val="3"/>
            <w:vAlign w:val="top"/>
          </w:tcPr>
          <w:p w14:paraId="5013B0C1">
            <w:pPr>
              <w:pStyle w:val="6"/>
              <w:spacing w:before="73" w:line="219" w:lineRule="auto"/>
              <w:ind w:left="990"/>
              <w:rPr>
                <w:sz w:val="21"/>
                <w:szCs w:val="21"/>
              </w:rPr>
            </w:pPr>
            <w:r>
              <w:rPr>
                <w:b/>
                <w:bCs/>
                <w:spacing w:val="-4"/>
                <w:sz w:val="21"/>
                <w:szCs w:val="21"/>
              </w:rPr>
              <w:t>执行标准</w:t>
            </w:r>
          </w:p>
        </w:tc>
      </w:tr>
      <w:tr w14:paraId="09DA4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734" w:type="dxa"/>
            <w:vMerge w:val="continue"/>
            <w:tcBorders>
              <w:top w:val="nil"/>
              <w:bottom w:val="nil"/>
            </w:tcBorders>
            <w:vAlign w:val="top"/>
          </w:tcPr>
          <w:p w14:paraId="5A0DEB2E">
            <w:pPr>
              <w:rPr>
                <w:rFonts w:ascii="Arial"/>
                <w:sz w:val="21"/>
              </w:rPr>
            </w:pPr>
          </w:p>
        </w:tc>
        <w:tc>
          <w:tcPr>
            <w:tcW w:w="120" w:type="dxa"/>
            <w:vMerge w:val="continue"/>
            <w:tcBorders>
              <w:top w:val="nil"/>
              <w:bottom w:val="nil"/>
            </w:tcBorders>
            <w:vAlign w:val="top"/>
          </w:tcPr>
          <w:p w14:paraId="1CE80C6C">
            <w:pPr>
              <w:rPr>
                <w:rFonts w:ascii="Arial"/>
                <w:sz w:val="21"/>
              </w:rPr>
            </w:pPr>
          </w:p>
        </w:tc>
        <w:tc>
          <w:tcPr>
            <w:tcW w:w="818" w:type="dxa"/>
            <w:gridSpan w:val="2"/>
            <w:vAlign w:val="top"/>
          </w:tcPr>
          <w:p w14:paraId="7A8CE93C">
            <w:pPr>
              <w:spacing w:line="316" w:lineRule="auto"/>
              <w:rPr>
                <w:rFonts w:ascii="Arial"/>
                <w:sz w:val="21"/>
              </w:rPr>
            </w:pPr>
          </w:p>
          <w:p w14:paraId="237D1BDF">
            <w:pPr>
              <w:pStyle w:val="6"/>
              <w:spacing w:before="68" w:line="250" w:lineRule="auto"/>
              <w:ind w:left="190" w:right="183"/>
              <w:rPr>
                <w:sz w:val="21"/>
                <w:szCs w:val="21"/>
              </w:rPr>
            </w:pPr>
            <w:r>
              <w:rPr>
                <w:spacing w:val="-5"/>
                <w:sz w:val="21"/>
                <w:szCs w:val="21"/>
              </w:rPr>
              <w:t>环境</w:t>
            </w:r>
            <w:r>
              <w:rPr>
                <w:sz w:val="21"/>
                <w:szCs w:val="21"/>
              </w:rPr>
              <w:t xml:space="preserve"> </w:t>
            </w:r>
            <w:r>
              <w:rPr>
                <w:spacing w:val="6"/>
                <w:sz w:val="21"/>
                <w:szCs w:val="21"/>
              </w:rPr>
              <w:t>空气</w:t>
            </w:r>
          </w:p>
        </w:tc>
        <w:tc>
          <w:tcPr>
            <w:tcW w:w="1588" w:type="dxa"/>
            <w:gridSpan w:val="2"/>
            <w:vAlign w:val="top"/>
          </w:tcPr>
          <w:p w14:paraId="0A07B9C4">
            <w:pPr>
              <w:pStyle w:val="6"/>
              <w:spacing w:before="47" w:line="218" w:lineRule="auto"/>
              <w:ind w:left="152"/>
              <w:rPr>
                <w:sz w:val="21"/>
                <w:szCs w:val="21"/>
              </w:rPr>
            </w:pPr>
            <w:r>
              <w:rPr>
                <w:spacing w:val="-2"/>
                <w:sz w:val="21"/>
                <w:szCs w:val="21"/>
              </w:rPr>
              <w:t>施工场地场界</w:t>
            </w:r>
          </w:p>
          <w:p w14:paraId="6421730D">
            <w:pPr>
              <w:pStyle w:val="6"/>
              <w:spacing w:line="218" w:lineRule="auto"/>
              <w:ind w:left="202"/>
              <w:rPr>
                <w:sz w:val="21"/>
                <w:szCs w:val="21"/>
              </w:rPr>
            </w:pPr>
            <w:r>
              <w:rPr>
                <w:spacing w:val="4"/>
                <w:sz w:val="21"/>
                <w:szCs w:val="21"/>
              </w:rPr>
              <w:t>上风向布设1</w:t>
            </w:r>
          </w:p>
          <w:p w14:paraId="777D4D48">
            <w:pPr>
              <w:pStyle w:val="6"/>
              <w:spacing w:before="12" w:line="219" w:lineRule="auto"/>
              <w:ind w:left="152"/>
              <w:rPr>
                <w:sz w:val="21"/>
                <w:szCs w:val="21"/>
              </w:rPr>
            </w:pPr>
            <w:r>
              <w:rPr>
                <w:spacing w:val="2"/>
                <w:sz w:val="21"/>
                <w:szCs w:val="21"/>
              </w:rPr>
              <w:t>个对照点、下</w:t>
            </w:r>
          </w:p>
          <w:p w14:paraId="681C1FA3">
            <w:pPr>
              <w:pStyle w:val="6"/>
              <w:spacing w:before="1" w:line="212" w:lineRule="auto"/>
              <w:ind w:left="202"/>
              <w:rPr>
                <w:sz w:val="21"/>
                <w:szCs w:val="21"/>
              </w:rPr>
            </w:pPr>
            <w:r>
              <w:rPr>
                <w:spacing w:val="2"/>
                <w:sz w:val="21"/>
                <w:szCs w:val="21"/>
              </w:rPr>
              <w:t>风向布设2个</w:t>
            </w:r>
          </w:p>
          <w:p w14:paraId="02884670">
            <w:pPr>
              <w:pStyle w:val="6"/>
              <w:spacing w:line="194" w:lineRule="auto"/>
              <w:ind w:left="472"/>
              <w:rPr>
                <w:sz w:val="21"/>
                <w:szCs w:val="21"/>
              </w:rPr>
            </w:pPr>
            <w:r>
              <w:rPr>
                <w:spacing w:val="6"/>
                <w:sz w:val="21"/>
                <w:szCs w:val="21"/>
              </w:rPr>
              <w:t>监测点</w:t>
            </w:r>
          </w:p>
        </w:tc>
        <w:tc>
          <w:tcPr>
            <w:tcW w:w="1149" w:type="dxa"/>
            <w:vAlign w:val="top"/>
          </w:tcPr>
          <w:p w14:paraId="5F4709EE">
            <w:pPr>
              <w:spacing w:line="264" w:lineRule="auto"/>
              <w:rPr>
                <w:rFonts w:ascii="Arial"/>
                <w:sz w:val="21"/>
              </w:rPr>
            </w:pPr>
          </w:p>
          <w:p w14:paraId="5DAB5E85">
            <w:pPr>
              <w:spacing w:line="265" w:lineRule="auto"/>
              <w:rPr>
                <w:rFonts w:ascii="Arial"/>
                <w:sz w:val="21"/>
              </w:rPr>
            </w:pPr>
          </w:p>
          <w:p w14:paraId="176C20FB">
            <w:pPr>
              <w:pStyle w:val="6"/>
              <w:spacing w:before="68" w:line="183" w:lineRule="auto"/>
              <w:ind w:left="404"/>
              <w:rPr>
                <w:sz w:val="21"/>
                <w:szCs w:val="21"/>
              </w:rPr>
            </w:pPr>
            <w:r>
              <w:rPr>
                <w:spacing w:val="-2"/>
                <w:sz w:val="21"/>
                <w:szCs w:val="21"/>
              </w:rPr>
              <w:t>TSP</w:t>
            </w:r>
          </w:p>
        </w:tc>
        <w:tc>
          <w:tcPr>
            <w:tcW w:w="1618" w:type="dxa"/>
            <w:vAlign w:val="top"/>
          </w:tcPr>
          <w:p w14:paraId="592B0284">
            <w:pPr>
              <w:pStyle w:val="6"/>
              <w:spacing w:before="117" w:line="221" w:lineRule="auto"/>
              <w:ind w:left="175"/>
              <w:rPr>
                <w:sz w:val="21"/>
                <w:szCs w:val="21"/>
              </w:rPr>
            </w:pPr>
            <w:r>
              <w:rPr>
                <w:spacing w:val="-2"/>
                <w:sz w:val="21"/>
                <w:szCs w:val="21"/>
              </w:rPr>
              <w:t>监测时间为施</w:t>
            </w:r>
          </w:p>
          <w:p w14:paraId="605DCA95">
            <w:pPr>
              <w:pStyle w:val="6"/>
              <w:spacing w:before="27" w:line="219" w:lineRule="auto"/>
              <w:ind w:left="175"/>
              <w:rPr>
                <w:sz w:val="21"/>
                <w:szCs w:val="21"/>
              </w:rPr>
            </w:pPr>
            <w:r>
              <w:rPr>
                <w:spacing w:val="-2"/>
                <w:sz w:val="21"/>
                <w:szCs w:val="21"/>
              </w:rPr>
              <w:t>工期高峰期监</w:t>
            </w:r>
          </w:p>
          <w:p w14:paraId="5F81D174">
            <w:pPr>
              <w:pStyle w:val="6"/>
              <w:spacing w:before="30" w:line="219" w:lineRule="auto"/>
              <w:ind w:left="175"/>
              <w:rPr>
                <w:sz w:val="21"/>
                <w:szCs w:val="21"/>
              </w:rPr>
            </w:pPr>
            <w:r>
              <w:rPr>
                <w:spacing w:val="1"/>
                <w:sz w:val="21"/>
                <w:szCs w:val="21"/>
              </w:rPr>
              <w:t>测1次，每次3</w:t>
            </w:r>
          </w:p>
          <w:p w14:paraId="4B3CD4BB">
            <w:pPr>
              <w:pStyle w:val="6"/>
              <w:spacing w:before="31" w:line="220" w:lineRule="auto"/>
              <w:ind w:left="695"/>
              <w:rPr>
                <w:sz w:val="21"/>
                <w:szCs w:val="21"/>
              </w:rPr>
            </w:pPr>
            <w:r>
              <w:rPr>
                <w:sz w:val="21"/>
                <w:szCs w:val="21"/>
              </w:rPr>
              <w:t>天</w:t>
            </w:r>
          </w:p>
        </w:tc>
        <w:tc>
          <w:tcPr>
            <w:tcW w:w="2882" w:type="dxa"/>
            <w:gridSpan w:val="3"/>
            <w:vAlign w:val="top"/>
          </w:tcPr>
          <w:p w14:paraId="7486ACC2">
            <w:pPr>
              <w:pStyle w:val="6"/>
              <w:spacing w:before="117" w:line="220" w:lineRule="auto"/>
              <w:ind w:left="192"/>
              <w:rPr>
                <w:sz w:val="21"/>
                <w:szCs w:val="21"/>
              </w:rPr>
            </w:pPr>
            <w:r>
              <w:rPr>
                <w:sz w:val="21"/>
                <w:szCs w:val="21"/>
              </w:rPr>
              <w:t>《大气污染物综合排放标</w:t>
            </w:r>
          </w:p>
          <w:p w14:paraId="2051D320">
            <w:pPr>
              <w:pStyle w:val="6"/>
              <w:spacing w:before="29" w:line="220" w:lineRule="auto"/>
              <w:ind w:left="198"/>
              <w:rPr>
                <w:sz w:val="21"/>
                <w:szCs w:val="21"/>
              </w:rPr>
            </w:pPr>
            <w:r>
              <w:rPr>
                <w:spacing w:val="1"/>
                <w:sz w:val="21"/>
                <w:szCs w:val="21"/>
              </w:rPr>
              <w:t>准》(</w:t>
            </w:r>
            <w:r>
              <w:rPr>
                <w:sz w:val="21"/>
                <w:szCs w:val="21"/>
              </w:rPr>
              <w:t>GB</w:t>
            </w:r>
            <w:r>
              <w:rPr>
                <w:spacing w:val="1"/>
                <w:sz w:val="21"/>
                <w:szCs w:val="21"/>
              </w:rPr>
              <w:t>16297-1996)表2中</w:t>
            </w:r>
          </w:p>
          <w:p w14:paraId="6F5C731E">
            <w:pPr>
              <w:pStyle w:val="6"/>
              <w:spacing w:before="29" w:line="219" w:lineRule="auto"/>
              <w:ind w:left="198"/>
              <w:rPr>
                <w:sz w:val="21"/>
                <w:szCs w:val="21"/>
              </w:rPr>
            </w:pPr>
            <w:r>
              <w:rPr>
                <w:spacing w:val="-1"/>
                <w:sz w:val="21"/>
                <w:szCs w:val="21"/>
              </w:rPr>
              <w:t>无组织排放监控浓度限值，</w:t>
            </w:r>
          </w:p>
          <w:p w14:paraId="029CCB4A">
            <w:pPr>
              <w:pStyle w:val="6"/>
              <w:spacing w:before="33" w:line="214" w:lineRule="auto"/>
              <w:ind w:left="717"/>
              <w:rPr>
                <w:sz w:val="21"/>
                <w:szCs w:val="21"/>
              </w:rPr>
            </w:pPr>
            <w:r>
              <w:rPr>
                <w:spacing w:val="-3"/>
                <w:sz w:val="21"/>
                <w:szCs w:val="21"/>
              </w:rPr>
              <w:t>TSP≤1mg/m³。</w:t>
            </w:r>
          </w:p>
        </w:tc>
      </w:tr>
      <w:tr w14:paraId="1E65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734" w:type="dxa"/>
            <w:vMerge w:val="continue"/>
            <w:tcBorders>
              <w:top w:val="nil"/>
              <w:bottom w:val="nil"/>
            </w:tcBorders>
            <w:vAlign w:val="top"/>
          </w:tcPr>
          <w:p w14:paraId="085B805F">
            <w:pPr>
              <w:rPr>
                <w:rFonts w:ascii="Arial"/>
                <w:sz w:val="21"/>
              </w:rPr>
            </w:pPr>
          </w:p>
        </w:tc>
        <w:tc>
          <w:tcPr>
            <w:tcW w:w="120" w:type="dxa"/>
            <w:vMerge w:val="continue"/>
            <w:tcBorders>
              <w:top w:val="nil"/>
              <w:bottom w:val="nil"/>
            </w:tcBorders>
            <w:vAlign w:val="top"/>
          </w:tcPr>
          <w:p w14:paraId="272E748F">
            <w:pPr>
              <w:rPr>
                <w:rFonts w:ascii="Arial"/>
                <w:sz w:val="21"/>
              </w:rPr>
            </w:pPr>
          </w:p>
        </w:tc>
        <w:tc>
          <w:tcPr>
            <w:tcW w:w="818" w:type="dxa"/>
            <w:gridSpan w:val="2"/>
            <w:vAlign w:val="top"/>
          </w:tcPr>
          <w:p w14:paraId="24516B4B">
            <w:pPr>
              <w:spacing w:line="338" w:lineRule="auto"/>
              <w:rPr>
                <w:rFonts w:ascii="Arial"/>
                <w:sz w:val="21"/>
              </w:rPr>
            </w:pPr>
          </w:p>
          <w:p w14:paraId="29B5D655">
            <w:pPr>
              <w:pStyle w:val="6"/>
              <w:spacing w:before="68" w:line="257" w:lineRule="auto"/>
              <w:ind w:left="289" w:right="186" w:hanging="99"/>
              <w:rPr>
                <w:sz w:val="21"/>
                <w:szCs w:val="21"/>
              </w:rPr>
            </w:pPr>
            <w:r>
              <w:rPr>
                <w:spacing w:val="5"/>
                <w:sz w:val="21"/>
                <w:szCs w:val="21"/>
              </w:rPr>
              <w:t>声环</w:t>
            </w:r>
            <w:r>
              <w:rPr>
                <w:sz w:val="21"/>
                <w:szCs w:val="21"/>
              </w:rPr>
              <w:t xml:space="preserve"> 境</w:t>
            </w:r>
          </w:p>
        </w:tc>
        <w:tc>
          <w:tcPr>
            <w:tcW w:w="1588" w:type="dxa"/>
            <w:gridSpan w:val="2"/>
            <w:vAlign w:val="top"/>
          </w:tcPr>
          <w:p w14:paraId="6539CA6C">
            <w:pPr>
              <w:spacing w:line="376" w:lineRule="auto"/>
              <w:rPr>
                <w:rFonts w:ascii="Arial"/>
                <w:sz w:val="21"/>
              </w:rPr>
            </w:pPr>
          </w:p>
          <w:p w14:paraId="4854667C">
            <w:pPr>
              <w:pStyle w:val="6"/>
              <w:spacing w:before="68" w:line="216" w:lineRule="auto"/>
              <w:ind w:left="255" w:hanging="203"/>
              <w:rPr>
                <w:sz w:val="21"/>
                <w:szCs w:val="21"/>
              </w:rPr>
            </w:pPr>
            <w:r>
              <w:rPr>
                <w:spacing w:val="7"/>
                <w:sz w:val="21"/>
                <w:szCs w:val="21"/>
              </w:rPr>
              <w:t>施工区东、南、</w:t>
            </w:r>
            <w:r>
              <w:rPr>
                <w:spacing w:val="5"/>
                <w:sz w:val="21"/>
                <w:szCs w:val="21"/>
              </w:rPr>
              <w:t xml:space="preserve"> </w:t>
            </w:r>
            <w:r>
              <w:rPr>
                <w:spacing w:val="-4"/>
                <w:sz w:val="21"/>
                <w:szCs w:val="21"/>
              </w:rPr>
              <w:t>西、北场界</w:t>
            </w:r>
          </w:p>
        </w:tc>
        <w:tc>
          <w:tcPr>
            <w:tcW w:w="1149" w:type="dxa"/>
            <w:vAlign w:val="top"/>
          </w:tcPr>
          <w:p w14:paraId="4886A758">
            <w:pPr>
              <w:spacing w:line="347" w:lineRule="auto"/>
              <w:rPr>
                <w:rFonts w:ascii="Arial"/>
                <w:sz w:val="21"/>
              </w:rPr>
            </w:pPr>
          </w:p>
          <w:p w14:paraId="12A49611">
            <w:pPr>
              <w:pStyle w:val="6"/>
              <w:spacing w:before="68" w:line="219" w:lineRule="auto"/>
              <w:ind w:left="194"/>
              <w:rPr>
                <w:sz w:val="21"/>
                <w:szCs w:val="21"/>
              </w:rPr>
            </w:pPr>
            <w:r>
              <w:rPr>
                <w:spacing w:val="4"/>
                <w:sz w:val="21"/>
                <w:szCs w:val="21"/>
              </w:rPr>
              <w:t>等效A声</w:t>
            </w:r>
          </w:p>
          <w:p w14:paraId="3462B312">
            <w:pPr>
              <w:pStyle w:val="6"/>
              <w:spacing w:before="33" w:line="221" w:lineRule="auto"/>
              <w:ind w:left="464"/>
              <w:rPr>
                <w:sz w:val="21"/>
                <w:szCs w:val="21"/>
              </w:rPr>
            </w:pPr>
            <w:r>
              <w:rPr>
                <w:sz w:val="21"/>
                <w:szCs w:val="21"/>
              </w:rPr>
              <w:t>级</w:t>
            </w:r>
          </w:p>
        </w:tc>
        <w:tc>
          <w:tcPr>
            <w:tcW w:w="1618" w:type="dxa"/>
            <w:vAlign w:val="top"/>
          </w:tcPr>
          <w:p w14:paraId="2E57CB68">
            <w:pPr>
              <w:pStyle w:val="6"/>
              <w:spacing w:before="80" w:line="216" w:lineRule="auto"/>
              <w:ind w:left="65" w:right="61" w:firstLine="110"/>
              <w:rPr>
                <w:sz w:val="21"/>
                <w:szCs w:val="21"/>
              </w:rPr>
            </w:pPr>
            <w:r>
              <w:rPr>
                <w:spacing w:val="-2"/>
                <w:sz w:val="21"/>
                <w:szCs w:val="21"/>
              </w:rPr>
              <w:t>监测时间为施</w:t>
            </w:r>
            <w:r>
              <w:rPr>
                <w:sz w:val="21"/>
                <w:szCs w:val="21"/>
              </w:rPr>
              <w:t xml:space="preserve">  </w:t>
            </w:r>
            <w:r>
              <w:rPr>
                <w:spacing w:val="10"/>
                <w:sz w:val="21"/>
                <w:szCs w:val="21"/>
              </w:rPr>
              <w:t>工高峰期监测1</w:t>
            </w:r>
            <w:r>
              <w:rPr>
                <w:spacing w:val="5"/>
                <w:sz w:val="21"/>
                <w:szCs w:val="21"/>
              </w:rPr>
              <w:t xml:space="preserve"> </w:t>
            </w:r>
            <w:r>
              <w:rPr>
                <w:spacing w:val="9"/>
                <w:sz w:val="21"/>
                <w:szCs w:val="21"/>
              </w:rPr>
              <w:t>次，每次连续2</w:t>
            </w:r>
            <w:r>
              <w:rPr>
                <w:spacing w:val="4"/>
                <w:sz w:val="21"/>
                <w:szCs w:val="21"/>
              </w:rPr>
              <w:t xml:space="preserve"> </w:t>
            </w:r>
            <w:r>
              <w:rPr>
                <w:spacing w:val="1"/>
                <w:sz w:val="21"/>
                <w:szCs w:val="21"/>
              </w:rPr>
              <w:t>天，分别监测昼</w:t>
            </w:r>
            <w:r>
              <w:rPr>
                <w:spacing w:val="2"/>
                <w:sz w:val="21"/>
                <w:szCs w:val="21"/>
              </w:rPr>
              <w:t xml:space="preserve"> </w:t>
            </w:r>
            <w:r>
              <w:rPr>
                <w:spacing w:val="5"/>
                <w:sz w:val="21"/>
                <w:szCs w:val="21"/>
              </w:rPr>
              <w:t>间和夜间。</w:t>
            </w:r>
          </w:p>
        </w:tc>
        <w:tc>
          <w:tcPr>
            <w:tcW w:w="2882" w:type="dxa"/>
            <w:gridSpan w:val="3"/>
            <w:vAlign w:val="top"/>
          </w:tcPr>
          <w:p w14:paraId="7CB3D99C">
            <w:pPr>
              <w:spacing w:line="366" w:lineRule="auto"/>
              <w:rPr>
                <w:rFonts w:ascii="Arial"/>
                <w:sz w:val="21"/>
              </w:rPr>
            </w:pPr>
          </w:p>
          <w:p w14:paraId="4151A790">
            <w:pPr>
              <w:pStyle w:val="6"/>
              <w:spacing w:before="69" w:line="239" w:lineRule="auto"/>
              <w:ind w:left="247" w:right="267" w:hanging="154"/>
              <w:rPr>
                <w:sz w:val="21"/>
                <w:szCs w:val="21"/>
              </w:rPr>
            </w:pPr>
            <w:r>
              <w:rPr>
                <w:spacing w:val="-2"/>
                <w:sz w:val="21"/>
                <w:szCs w:val="21"/>
              </w:rPr>
              <w:t>《建筑施工场界环境噪声排</w:t>
            </w:r>
            <w:r>
              <w:rPr>
                <w:spacing w:val="5"/>
                <w:sz w:val="21"/>
                <w:szCs w:val="21"/>
              </w:rPr>
              <w:t xml:space="preserve"> </w:t>
            </w:r>
            <w:r>
              <w:rPr>
                <w:spacing w:val="2"/>
                <w:sz w:val="21"/>
                <w:szCs w:val="21"/>
              </w:rPr>
              <w:t>放限值》(</w:t>
            </w:r>
            <w:r>
              <w:rPr>
                <w:sz w:val="21"/>
                <w:szCs w:val="21"/>
              </w:rPr>
              <w:t>GB</w:t>
            </w:r>
            <w:r>
              <w:rPr>
                <w:spacing w:val="2"/>
                <w:sz w:val="21"/>
                <w:szCs w:val="21"/>
              </w:rPr>
              <w:t>12523-2011)</w:t>
            </w:r>
          </w:p>
        </w:tc>
      </w:tr>
      <w:tr w14:paraId="460B4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734" w:type="dxa"/>
            <w:vMerge w:val="continue"/>
            <w:tcBorders>
              <w:top w:val="nil"/>
            </w:tcBorders>
            <w:vAlign w:val="top"/>
          </w:tcPr>
          <w:p w14:paraId="2DE362D5">
            <w:pPr>
              <w:rPr>
                <w:rFonts w:ascii="Arial"/>
                <w:sz w:val="21"/>
              </w:rPr>
            </w:pPr>
          </w:p>
        </w:tc>
        <w:tc>
          <w:tcPr>
            <w:tcW w:w="8175" w:type="dxa"/>
            <w:gridSpan w:val="10"/>
            <w:vAlign w:val="top"/>
          </w:tcPr>
          <w:p w14:paraId="1EE253D4">
            <w:pPr>
              <w:pStyle w:val="6"/>
              <w:spacing w:before="46" w:line="218" w:lineRule="auto"/>
              <w:ind w:left="570"/>
              <w:rPr>
                <w:sz w:val="21"/>
                <w:szCs w:val="21"/>
              </w:rPr>
            </w:pPr>
            <w:r>
              <w:rPr>
                <w:sz w:val="21"/>
                <w:szCs w:val="21"/>
              </w:rPr>
              <w:t>参照《排污单位自行监测技术指南总则》(HJ819-2</w:t>
            </w:r>
            <w:r>
              <w:rPr>
                <w:spacing w:val="-1"/>
                <w:sz w:val="21"/>
                <w:szCs w:val="21"/>
              </w:rPr>
              <w:t>017)要求并结合输变</w:t>
            </w:r>
          </w:p>
        </w:tc>
      </w:tr>
    </w:tbl>
    <w:p w14:paraId="44B6EE43">
      <w:pPr>
        <w:pStyle w:val="2"/>
      </w:pPr>
    </w:p>
    <w:p w14:paraId="3DFD2BE6">
      <w:pPr>
        <w:sectPr>
          <w:footerReference r:id="rId129" w:type="default"/>
          <w:pgSz w:w="11910" w:h="16840"/>
          <w:pgMar w:top="1431" w:right="1544" w:bottom="1267" w:left="1445" w:header="0" w:footer="1086" w:gutter="0"/>
          <w:cols w:space="720" w:num="1"/>
        </w:sectPr>
      </w:pPr>
    </w:p>
    <w:p w14:paraId="209BCB35">
      <w:pPr>
        <w:spacing w:line="93" w:lineRule="exact"/>
      </w:pPr>
    </w:p>
    <w:tbl>
      <w:tblPr>
        <w:tblStyle w:val="5"/>
        <w:tblW w:w="88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10"/>
        <w:gridCol w:w="769"/>
        <w:gridCol w:w="1129"/>
        <w:gridCol w:w="789"/>
        <w:gridCol w:w="1218"/>
        <w:gridCol w:w="1159"/>
        <w:gridCol w:w="429"/>
        <w:gridCol w:w="2522"/>
      </w:tblGrid>
      <w:tr w14:paraId="5B0AE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734" w:type="dxa"/>
            <w:vMerge w:val="restart"/>
            <w:tcBorders>
              <w:bottom w:val="nil"/>
            </w:tcBorders>
            <w:vAlign w:val="top"/>
          </w:tcPr>
          <w:p w14:paraId="588AD35D">
            <w:pPr>
              <w:rPr>
                <w:rFonts w:ascii="Arial"/>
                <w:sz w:val="21"/>
              </w:rPr>
            </w:pPr>
          </w:p>
        </w:tc>
        <w:tc>
          <w:tcPr>
            <w:tcW w:w="8125" w:type="dxa"/>
            <w:gridSpan w:val="8"/>
            <w:vAlign w:val="top"/>
          </w:tcPr>
          <w:p w14:paraId="7E41B911">
            <w:pPr>
              <w:pStyle w:val="6"/>
              <w:spacing w:before="12" w:line="219" w:lineRule="auto"/>
              <w:ind w:left="81"/>
              <w:rPr>
                <w:sz w:val="23"/>
                <w:szCs w:val="23"/>
              </w:rPr>
            </w:pPr>
            <w:r>
              <w:rPr>
                <w:spacing w:val="-1"/>
                <w:sz w:val="23"/>
                <w:szCs w:val="23"/>
              </w:rPr>
              <w:t>电项目实际情况，运营期监测点位布置如下表所示：</w:t>
            </w:r>
          </w:p>
          <w:p w14:paraId="332FAF80">
            <w:pPr>
              <w:pStyle w:val="6"/>
              <w:spacing w:before="185" w:line="220" w:lineRule="auto"/>
              <w:ind w:left="2254"/>
              <w:rPr>
                <w:sz w:val="23"/>
                <w:szCs w:val="23"/>
              </w:rPr>
            </w:pPr>
            <w:r>
              <w:rPr>
                <w:b/>
                <w:bCs/>
                <w:spacing w:val="-3"/>
                <w:sz w:val="23"/>
                <w:szCs w:val="23"/>
              </w:rPr>
              <w:t>表5-3运营期环境监测计划一览表</w:t>
            </w:r>
          </w:p>
        </w:tc>
      </w:tr>
      <w:tr w14:paraId="6BC69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34" w:type="dxa"/>
            <w:vMerge w:val="continue"/>
            <w:tcBorders>
              <w:top w:val="nil"/>
              <w:bottom w:val="nil"/>
            </w:tcBorders>
            <w:vAlign w:val="top"/>
          </w:tcPr>
          <w:p w14:paraId="50E7B6C0">
            <w:pPr>
              <w:rPr>
                <w:rFonts w:ascii="Arial"/>
                <w:sz w:val="21"/>
              </w:rPr>
            </w:pPr>
          </w:p>
        </w:tc>
        <w:tc>
          <w:tcPr>
            <w:tcW w:w="110" w:type="dxa"/>
            <w:tcBorders>
              <w:top w:val="nil"/>
              <w:bottom w:val="nil"/>
            </w:tcBorders>
            <w:vAlign w:val="top"/>
          </w:tcPr>
          <w:p w14:paraId="72E9A88D">
            <w:pPr>
              <w:rPr>
                <w:rFonts w:ascii="Arial"/>
                <w:sz w:val="21"/>
              </w:rPr>
            </w:pPr>
          </w:p>
        </w:tc>
        <w:tc>
          <w:tcPr>
            <w:tcW w:w="769" w:type="dxa"/>
            <w:vAlign w:val="top"/>
          </w:tcPr>
          <w:p w14:paraId="5EC7B250">
            <w:pPr>
              <w:pStyle w:val="6"/>
              <w:spacing w:before="66" w:line="219" w:lineRule="auto"/>
              <w:ind w:left="163"/>
              <w:rPr>
                <w:sz w:val="21"/>
                <w:szCs w:val="21"/>
              </w:rPr>
            </w:pPr>
            <w:r>
              <w:rPr>
                <w:b/>
                <w:bCs/>
                <w:spacing w:val="-5"/>
                <w:sz w:val="21"/>
                <w:szCs w:val="21"/>
              </w:rPr>
              <w:t>分类</w:t>
            </w:r>
          </w:p>
        </w:tc>
        <w:tc>
          <w:tcPr>
            <w:tcW w:w="1918" w:type="dxa"/>
            <w:gridSpan w:val="2"/>
            <w:vAlign w:val="top"/>
          </w:tcPr>
          <w:p w14:paraId="247AA272">
            <w:pPr>
              <w:pStyle w:val="6"/>
              <w:spacing w:before="67" w:line="221" w:lineRule="auto"/>
              <w:ind w:left="534"/>
              <w:rPr>
                <w:sz w:val="21"/>
                <w:szCs w:val="21"/>
              </w:rPr>
            </w:pPr>
            <w:r>
              <w:rPr>
                <w:b/>
                <w:bCs/>
                <w:spacing w:val="-4"/>
                <w:sz w:val="21"/>
                <w:szCs w:val="21"/>
              </w:rPr>
              <w:t>监测点位</w:t>
            </w:r>
          </w:p>
        </w:tc>
        <w:tc>
          <w:tcPr>
            <w:tcW w:w="1218" w:type="dxa"/>
            <w:vAlign w:val="top"/>
          </w:tcPr>
          <w:p w14:paraId="2970C096">
            <w:pPr>
              <w:pStyle w:val="6"/>
              <w:spacing w:before="66" w:line="219" w:lineRule="auto"/>
              <w:ind w:left="186"/>
              <w:rPr>
                <w:sz w:val="21"/>
                <w:szCs w:val="21"/>
              </w:rPr>
            </w:pPr>
            <w:r>
              <w:rPr>
                <w:b/>
                <w:bCs/>
                <w:spacing w:val="-4"/>
                <w:sz w:val="21"/>
                <w:szCs w:val="21"/>
              </w:rPr>
              <w:t>检测指标</w:t>
            </w:r>
          </w:p>
        </w:tc>
        <w:tc>
          <w:tcPr>
            <w:tcW w:w="1159" w:type="dxa"/>
            <w:vAlign w:val="top"/>
          </w:tcPr>
          <w:p w14:paraId="4183F935">
            <w:pPr>
              <w:pStyle w:val="6"/>
              <w:spacing w:before="66" w:line="219" w:lineRule="auto"/>
              <w:ind w:left="159"/>
              <w:rPr>
                <w:sz w:val="21"/>
                <w:szCs w:val="21"/>
              </w:rPr>
            </w:pPr>
            <w:r>
              <w:rPr>
                <w:b/>
                <w:bCs/>
                <w:spacing w:val="-4"/>
                <w:sz w:val="21"/>
                <w:szCs w:val="21"/>
              </w:rPr>
              <w:t>监测频次</w:t>
            </w:r>
          </w:p>
        </w:tc>
        <w:tc>
          <w:tcPr>
            <w:tcW w:w="2951" w:type="dxa"/>
            <w:gridSpan w:val="2"/>
            <w:vAlign w:val="top"/>
          </w:tcPr>
          <w:p w14:paraId="7602BE19">
            <w:pPr>
              <w:pStyle w:val="6"/>
              <w:spacing w:before="66" w:line="219" w:lineRule="auto"/>
              <w:ind w:left="1039"/>
              <w:rPr>
                <w:sz w:val="21"/>
                <w:szCs w:val="21"/>
              </w:rPr>
            </w:pPr>
            <w:r>
              <w:rPr>
                <w:b/>
                <w:bCs/>
                <w:spacing w:val="-4"/>
                <w:sz w:val="21"/>
                <w:szCs w:val="21"/>
              </w:rPr>
              <w:t>执行标准</w:t>
            </w:r>
          </w:p>
        </w:tc>
      </w:tr>
      <w:tr w14:paraId="44430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trPr>
        <w:tc>
          <w:tcPr>
            <w:tcW w:w="734" w:type="dxa"/>
            <w:vMerge w:val="continue"/>
            <w:tcBorders>
              <w:top w:val="nil"/>
              <w:bottom w:val="nil"/>
            </w:tcBorders>
            <w:vAlign w:val="top"/>
          </w:tcPr>
          <w:p w14:paraId="43312605">
            <w:pPr>
              <w:rPr>
                <w:rFonts w:ascii="Arial"/>
                <w:sz w:val="21"/>
              </w:rPr>
            </w:pPr>
          </w:p>
        </w:tc>
        <w:tc>
          <w:tcPr>
            <w:tcW w:w="110" w:type="dxa"/>
            <w:tcBorders>
              <w:top w:val="nil"/>
              <w:bottom w:val="nil"/>
            </w:tcBorders>
            <w:vAlign w:val="top"/>
          </w:tcPr>
          <w:p w14:paraId="7F637963">
            <w:pPr>
              <w:rPr>
                <w:rFonts w:ascii="Arial"/>
                <w:sz w:val="21"/>
              </w:rPr>
            </w:pPr>
          </w:p>
        </w:tc>
        <w:tc>
          <w:tcPr>
            <w:tcW w:w="769" w:type="dxa"/>
            <w:vAlign w:val="top"/>
          </w:tcPr>
          <w:p w14:paraId="17B22E0A">
            <w:pPr>
              <w:spacing w:line="348" w:lineRule="auto"/>
              <w:rPr>
                <w:rFonts w:ascii="Arial"/>
                <w:sz w:val="21"/>
              </w:rPr>
            </w:pPr>
          </w:p>
          <w:p w14:paraId="602BC4C6">
            <w:pPr>
              <w:pStyle w:val="6"/>
              <w:spacing w:before="69" w:line="249" w:lineRule="auto"/>
              <w:ind w:left="270" w:right="167" w:hanging="110"/>
              <w:rPr>
                <w:sz w:val="21"/>
                <w:szCs w:val="21"/>
              </w:rPr>
            </w:pPr>
            <w:r>
              <w:rPr>
                <w:spacing w:val="5"/>
                <w:sz w:val="21"/>
                <w:szCs w:val="21"/>
              </w:rPr>
              <w:t>声环</w:t>
            </w:r>
            <w:r>
              <w:rPr>
                <w:sz w:val="21"/>
                <w:szCs w:val="21"/>
              </w:rPr>
              <w:t xml:space="preserve"> 境</w:t>
            </w:r>
          </w:p>
        </w:tc>
        <w:tc>
          <w:tcPr>
            <w:tcW w:w="1918" w:type="dxa"/>
            <w:gridSpan w:val="2"/>
            <w:vAlign w:val="top"/>
          </w:tcPr>
          <w:p w14:paraId="70DCA60E">
            <w:pPr>
              <w:pStyle w:val="6"/>
              <w:spacing w:before="299" w:line="219" w:lineRule="auto"/>
              <w:ind w:left="161"/>
              <w:rPr>
                <w:sz w:val="21"/>
                <w:szCs w:val="21"/>
              </w:rPr>
            </w:pPr>
            <w:r>
              <w:rPr>
                <w:spacing w:val="12"/>
                <w:sz w:val="21"/>
                <w:szCs w:val="21"/>
              </w:rPr>
              <w:t>220</w:t>
            </w:r>
            <w:r>
              <w:rPr>
                <w:sz w:val="21"/>
                <w:szCs w:val="21"/>
              </w:rPr>
              <w:t>kV</w:t>
            </w:r>
            <w:r>
              <w:rPr>
                <w:spacing w:val="12"/>
                <w:sz w:val="21"/>
                <w:szCs w:val="21"/>
              </w:rPr>
              <w:t>升压站东、</w:t>
            </w:r>
          </w:p>
          <w:p w14:paraId="54D4DDB8">
            <w:pPr>
              <w:pStyle w:val="6"/>
              <w:spacing w:before="11" w:line="220" w:lineRule="auto"/>
              <w:ind w:left="111"/>
              <w:rPr>
                <w:sz w:val="21"/>
                <w:szCs w:val="21"/>
              </w:rPr>
            </w:pPr>
            <w:r>
              <w:rPr>
                <w:spacing w:val="2"/>
                <w:sz w:val="21"/>
                <w:szCs w:val="21"/>
              </w:rPr>
              <w:t>南、西、北厂界围</w:t>
            </w:r>
          </w:p>
          <w:p w14:paraId="163D9F3D">
            <w:pPr>
              <w:pStyle w:val="6"/>
              <w:spacing w:before="29" w:line="220" w:lineRule="auto"/>
              <w:ind w:left="631"/>
              <w:rPr>
                <w:sz w:val="21"/>
                <w:szCs w:val="21"/>
              </w:rPr>
            </w:pPr>
            <w:r>
              <w:rPr>
                <w:spacing w:val="-2"/>
                <w:sz w:val="21"/>
                <w:szCs w:val="21"/>
              </w:rPr>
              <w:t>墙外1m</w:t>
            </w:r>
          </w:p>
        </w:tc>
        <w:tc>
          <w:tcPr>
            <w:tcW w:w="1218" w:type="dxa"/>
            <w:vAlign w:val="top"/>
          </w:tcPr>
          <w:p w14:paraId="637D0DDF">
            <w:pPr>
              <w:spacing w:line="368" w:lineRule="auto"/>
              <w:rPr>
                <w:rFonts w:ascii="Arial"/>
                <w:sz w:val="21"/>
              </w:rPr>
            </w:pPr>
          </w:p>
          <w:p w14:paraId="3DFF0503">
            <w:pPr>
              <w:pStyle w:val="6"/>
              <w:spacing w:before="68" w:line="215" w:lineRule="auto"/>
              <w:ind w:left="123"/>
              <w:rPr>
                <w:sz w:val="21"/>
                <w:szCs w:val="21"/>
              </w:rPr>
            </w:pPr>
            <w:r>
              <w:rPr>
                <w:spacing w:val="-2"/>
                <w:sz w:val="21"/>
                <w:szCs w:val="21"/>
              </w:rPr>
              <w:t>等效连续A</w:t>
            </w:r>
          </w:p>
          <w:p w14:paraId="48DB5A91">
            <w:pPr>
              <w:pStyle w:val="6"/>
              <w:spacing w:line="214" w:lineRule="auto"/>
              <w:ind w:left="233"/>
              <w:rPr>
                <w:sz w:val="21"/>
                <w:szCs w:val="21"/>
              </w:rPr>
            </w:pPr>
            <w:r>
              <w:rPr>
                <w:spacing w:val="-3"/>
                <w:sz w:val="21"/>
                <w:szCs w:val="21"/>
              </w:rPr>
              <w:t>声级Leq</w:t>
            </w:r>
          </w:p>
        </w:tc>
        <w:tc>
          <w:tcPr>
            <w:tcW w:w="1159" w:type="dxa"/>
            <w:vAlign w:val="top"/>
          </w:tcPr>
          <w:p w14:paraId="4D846D33">
            <w:pPr>
              <w:pStyle w:val="6"/>
              <w:spacing w:before="30" w:line="237" w:lineRule="auto"/>
              <w:ind w:left="95" w:right="81" w:firstLine="159"/>
              <w:rPr>
                <w:sz w:val="21"/>
                <w:szCs w:val="21"/>
              </w:rPr>
            </w:pPr>
            <w:r>
              <w:rPr>
                <w:spacing w:val="2"/>
                <w:sz w:val="21"/>
                <w:szCs w:val="21"/>
              </w:rPr>
              <w:t>1次/季</w:t>
            </w:r>
            <w:r>
              <w:rPr>
                <w:sz w:val="21"/>
                <w:szCs w:val="21"/>
              </w:rPr>
              <w:t xml:space="preserve">  </w:t>
            </w:r>
            <w:r>
              <w:rPr>
                <w:spacing w:val="5"/>
                <w:sz w:val="21"/>
                <w:szCs w:val="21"/>
              </w:rPr>
              <w:t>度，每次1</w:t>
            </w:r>
            <w:r>
              <w:rPr>
                <w:sz w:val="21"/>
                <w:szCs w:val="21"/>
              </w:rPr>
              <w:t xml:space="preserve"> </w:t>
            </w:r>
            <w:r>
              <w:rPr>
                <w:spacing w:val="17"/>
                <w:sz w:val="21"/>
                <w:szCs w:val="21"/>
              </w:rPr>
              <w:t>天，每天</w:t>
            </w:r>
          </w:p>
          <w:p w14:paraId="2A34D773">
            <w:pPr>
              <w:pStyle w:val="6"/>
              <w:spacing w:line="215" w:lineRule="auto"/>
              <w:ind w:left="205" w:right="132" w:hanging="49"/>
              <w:rPr>
                <w:sz w:val="21"/>
                <w:szCs w:val="21"/>
              </w:rPr>
            </w:pPr>
            <w:r>
              <w:rPr>
                <w:spacing w:val="5"/>
                <w:sz w:val="21"/>
                <w:szCs w:val="21"/>
              </w:rPr>
              <w:t>昼、夜间</w:t>
            </w:r>
            <w:r>
              <w:rPr>
                <w:sz w:val="21"/>
                <w:szCs w:val="21"/>
              </w:rPr>
              <w:t xml:space="preserve"> </w:t>
            </w:r>
            <w:r>
              <w:rPr>
                <w:spacing w:val="-2"/>
                <w:sz w:val="21"/>
                <w:szCs w:val="21"/>
              </w:rPr>
              <w:t>各测1次</w:t>
            </w:r>
          </w:p>
        </w:tc>
        <w:tc>
          <w:tcPr>
            <w:tcW w:w="2951" w:type="dxa"/>
            <w:gridSpan w:val="2"/>
            <w:vAlign w:val="top"/>
          </w:tcPr>
          <w:p w14:paraId="75313A83">
            <w:pPr>
              <w:pStyle w:val="6"/>
              <w:spacing w:before="300" w:line="220" w:lineRule="auto"/>
              <w:ind w:left="141"/>
              <w:rPr>
                <w:sz w:val="21"/>
                <w:szCs w:val="21"/>
              </w:rPr>
            </w:pPr>
            <w:r>
              <w:rPr>
                <w:spacing w:val="-2"/>
                <w:sz w:val="21"/>
                <w:szCs w:val="21"/>
              </w:rPr>
              <w:t>《工业企业厂界环境噪声排</w:t>
            </w:r>
          </w:p>
          <w:p w14:paraId="636364FC">
            <w:pPr>
              <w:pStyle w:val="6"/>
              <w:spacing w:before="29" w:line="220" w:lineRule="auto"/>
              <w:ind w:left="246"/>
              <w:rPr>
                <w:sz w:val="21"/>
                <w:szCs w:val="21"/>
              </w:rPr>
            </w:pPr>
            <w:r>
              <w:rPr>
                <w:sz w:val="21"/>
                <w:szCs w:val="21"/>
              </w:rPr>
              <w:t>放标准》(GB12348-2008)1</w:t>
            </w:r>
          </w:p>
          <w:p w14:paraId="4478AFEA">
            <w:pPr>
              <w:pStyle w:val="6"/>
              <w:spacing w:before="9" w:line="219" w:lineRule="auto"/>
              <w:ind w:left="1346"/>
              <w:rPr>
                <w:sz w:val="21"/>
                <w:szCs w:val="21"/>
              </w:rPr>
            </w:pPr>
            <w:r>
              <w:rPr>
                <w:sz w:val="21"/>
                <w:szCs w:val="21"/>
              </w:rPr>
              <w:t>类</w:t>
            </w:r>
          </w:p>
        </w:tc>
      </w:tr>
      <w:tr w14:paraId="799D0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7" w:hRule="atLeast"/>
        </w:trPr>
        <w:tc>
          <w:tcPr>
            <w:tcW w:w="734" w:type="dxa"/>
            <w:vMerge w:val="continue"/>
            <w:tcBorders>
              <w:top w:val="nil"/>
              <w:bottom w:val="nil"/>
            </w:tcBorders>
            <w:vAlign w:val="top"/>
          </w:tcPr>
          <w:p w14:paraId="5585C934">
            <w:pPr>
              <w:rPr>
                <w:rFonts w:ascii="Arial"/>
                <w:sz w:val="21"/>
              </w:rPr>
            </w:pPr>
          </w:p>
        </w:tc>
        <w:tc>
          <w:tcPr>
            <w:tcW w:w="110" w:type="dxa"/>
            <w:tcBorders>
              <w:top w:val="nil"/>
              <w:bottom w:val="nil"/>
            </w:tcBorders>
            <w:vAlign w:val="top"/>
          </w:tcPr>
          <w:p w14:paraId="283E7F05">
            <w:pPr>
              <w:rPr>
                <w:rFonts w:ascii="Arial"/>
                <w:sz w:val="21"/>
              </w:rPr>
            </w:pPr>
          </w:p>
        </w:tc>
        <w:tc>
          <w:tcPr>
            <w:tcW w:w="769" w:type="dxa"/>
            <w:vAlign w:val="top"/>
          </w:tcPr>
          <w:p w14:paraId="5B4FC7D9">
            <w:pPr>
              <w:spacing w:line="243" w:lineRule="auto"/>
              <w:rPr>
                <w:rFonts w:ascii="Arial"/>
                <w:sz w:val="21"/>
              </w:rPr>
            </w:pPr>
          </w:p>
          <w:p w14:paraId="13A86F78">
            <w:pPr>
              <w:spacing w:line="243" w:lineRule="auto"/>
              <w:rPr>
                <w:rFonts w:ascii="Arial"/>
                <w:sz w:val="21"/>
              </w:rPr>
            </w:pPr>
          </w:p>
          <w:p w14:paraId="230663B7">
            <w:pPr>
              <w:spacing w:line="243" w:lineRule="auto"/>
              <w:rPr>
                <w:rFonts w:ascii="Arial"/>
                <w:sz w:val="21"/>
              </w:rPr>
            </w:pPr>
          </w:p>
          <w:p w14:paraId="1F743551">
            <w:pPr>
              <w:spacing w:line="243" w:lineRule="auto"/>
              <w:rPr>
                <w:rFonts w:ascii="Arial"/>
                <w:sz w:val="21"/>
              </w:rPr>
            </w:pPr>
          </w:p>
          <w:p w14:paraId="41FE5934">
            <w:pPr>
              <w:spacing w:line="243" w:lineRule="auto"/>
              <w:rPr>
                <w:rFonts w:ascii="Arial"/>
                <w:sz w:val="21"/>
              </w:rPr>
            </w:pPr>
          </w:p>
          <w:p w14:paraId="2CD8D2A2">
            <w:pPr>
              <w:spacing w:line="244" w:lineRule="auto"/>
              <w:rPr>
                <w:rFonts w:ascii="Arial"/>
                <w:sz w:val="21"/>
              </w:rPr>
            </w:pPr>
          </w:p>
          <w:p w14:paraId="707E280C">
            <w:pPr>
              <w:pStyle w:val="6"/>
              <w:spacing w:before="69" w:line="225" w:lineRule="auto"/>
              <w:ind w:left="160"/>
              <w:rPr>
                <w:sz w:val="21"/>
                <w:szCs w:val="21"/>
              </w:rPr>
            </w:pPr>
            <w:r>
              <w:rPr>
                <w:spacing w:val="4"/>
                <w:sz w:val="21"/>
                <w:szCs w:val="21"/>
              </w:rPr>
              <w:t>电磁</w:t>
            </w:r>
          </w:p>
          <w:p w14:paraId="0D0E2C0D">
            <w:pPr>
              <w:pStyle w:val="6"/>
              <w:spacing w:before="18" w:line="220" w:lineRule="auto"/>
              <w:ind w:left="160"/>
              <w:rPr>
                <w:sz w:val="21"/>
                <w:szCs w:val="21"/>
              </w:rPr>
            </w:pPr>
            <w:r>
              <w:rPr>
                <w:spacing w:val="-3"/>
                <w:sz w:val="21"/>
                <w:szCs w:val="21"/>
              </w:rPr>
              <w:t>环境</w:t>
            </w:r>
          </w:p>
        </w:tc>
        <w:tc>
          <w:tcPr>
            <w:tcW w:w="1918" w:type="dxa"/>
            <w:gridSpan w:val="2"/>
            <w:vAlign w:val="top"/>
          </w:tcPr>
          <w:p w14:paraId="731F8A70">
            <w:pPr>
              <w:pStyle w:val="6"/>
              <w:spacing w:before="58" w:line="217" w:lineRule="auto"/>
              <w:ind w:left="261"/>
              <w:rPr>
                <w:sz w:val="21"/>
                <w:szCs w:val="21"/>
              </w:rPr>
            </w:pPr>
            <w:r>
              <w:rPr>
                <w:spacing w:val="2"/>
                <w:sz w:val="21"/>
                <w:szCs w:val="21"/>
              </w:rPr>
              <w:t>①220</w:t>
            </w:r>
            <w:r>
              <w:rPr>
                <w:sz w:val="21"/>
                <w:szCs w:val="21"/>
              </w:rPr>
              <w:t>kV</w:t>
            </w:r>
            <w:r>
              <w:rPr>
                <w:spacing w:val="2"/>
                <w:sz w:val="21"/>
                <w:szCs w:val="21"/>
              </w:rPr>
              <w:t>升压站</w:t>
            </w:r>
          </w:p>
          <w:p w14:paraId="1B292EC4">
            <w:pPr>
              <w:pStyle w:val="6"/>
              <w:spacing w:before="5" w:line="219" w:lineRule="auto"/>
              <w:ind w:left="111"/>
              <w:rPr>
                <w:sz w:val="21"/>
                <w:szCs w:val="21"/>
              </w:rPr>
            </w:pPr>
            <w:r>
              <w:rPr>
                <w:spacing w:val="1"/>
                <w:sz w:val="21"/>
                <w:szCs w:val="21"/>
              </w:rPr>
              <w:t>东、南、西、北厂</w:t>
            </w:r>
          </w:p>
          <w:p w14:paraId="20661B64">
            <w:pPr>
              <w:pStyle w:val="6"/>
              <w:spacing w:before="31" w:line="220" w:lineRule="auto"/>
              <w:ind w:left="421"/>
              <w:rPr>
                <w:sz w:val="21"/>
                <w:szCs w:val="21"/>
              </w:rPr>
            </w:pPr>
            <w:r>
              <w:rPr>
                <w:spacing w:val="-2"/>
                <w:sz w:val="21"/>
                <w:szCs w:val="21"/>
              </w:rPr>
              <w:t>界围墙外5m</w:t>
            </w:r>
          </w:p>
          <w:p w14:paraId="5678FD27">
            <w:pPr>
              <w:pStyle w:val="6"/>
              <w:spacing w:before="16" w:line="217" w:lineRule="auto"/>
              <w:ind w:left="111"/>
              <w:rPr>
                <w:sz w:val="21"/>
                <w:szCs w:val="21"/>
              </w:rPr>
            </w:pPr>
            <w:r>
              <w:rPr>
                <w:spacing w:val="-1"/>
                <w:sz w:val="21"/>
                <w:szCs w:val="21"/>
              </w:rPr>
              <w:t>②厂界电磁衰减断</w:t>
            </w:r>
          </w:p>
          <w:p w14:paraId="431B5F19">
            <w:pPr>
              <w:pStyle w:val="6"/>
              <w:spacing w:before="26" w:line="220" w:lineRule="auto"/>
              <w:ind w:left="111"/>
              <w:rPr>
                <w:sz w:val="21"/>
                <w:szCs w:val="21"/>
              </w:rPr>
            </w:pPr>
            <w:r>
              <w:rPr>
                <w:spacing w:val="3"/>
                <w:sz w:val="21"/>
                <w:szCs w:val="21"/>
              </w:rPr>
              <w:t>面以升压站围墙周</w:t>
            </w:r>
          </w:p>
          <w:p w14:paraId="04657B42">
            <w:pPr>
              <w:pStyle w:val="6"/>
              <w:spacing w:before="29" w:line="220" w:lineRule="auto"/>
              <w:ind w:left="111"/>
              <w:rPr>
                <w:sz w:val="21"/>
                <w:szCs w:val="21"/>
              </w:rPr>
            </w:pPr>
            <w:r>
              <w:rPr>
                <w:spacing w:val="1"/>
                <w:sz w:val="21"/>
                <w:szCs w:val="21"/>
              </w:rPr>
              <w:t>围的工频电场、工</w:t>
            </w:r>
          </w:p>
          <w:p w14:paraId="5F4DAFE4">
            <w:pPr>
              <w:pStyle w:val="6"/>
              <w:spacing w:before="20" w:line="219" w:lineRule="auto"/>
              <w:ind w:left="111"/>
              <w:rPr>
                <w:sz w:val="21"/>
                <w:szCs w:val="21"/>
              </w:rPr>
            </w:pPr>
            <w:r>
              <w:rPr>
                <w:spacing w:val="-1"/>
                <w:sz w:val="21"/>
                <w:szCs w:val="21"/>
              </w:rPr>
              <w:t>频磁感应强度最大</w:t>
            </w:r>
          </w:p>
          <w:p w14:paraId="07660D7B">
            <w:pPr>
              <w:pStyle w:val="6"/>
              <w:spacing w:before="20" w:line="219" w:lineRule="auto"/>
              <w:ind w:left="111"/>
              <w:rPr>
                <w:sz w:val="21"/>
                <w:szCs w:val="21"/>
              </w:rPr>
            </w:pPr>
            <w:r>
              <w:rPr>
                <w:spacing w:val="-1"/>
                <w:sz w:val="21"/>
                <w:szCs w:val="21"/>
              </w:rPr>
              <w:t>值处为起点，在垂</w:t>
            </w:r>
          </w:p>
          <w:p w14:paraId="215A19FA">
            <w:pPr>
              <w:pStyle w:val="6"/>
              <w:spacing w:before="32" w:line="220" w:lineRule="auto"/>
              <w:ind w:left="111"/>
              <w:rPr>
                <w:sz w:val="21"/>
                <w:szCs w:val="21"/>
              </w:rPr>
            </w:pPr>
            <w:r>
              <w:rPr>
                <w:spacing w:val="-2"/>
                <w:sz w:val="21"/>
                <w:szCs w:val="21"/>
              </w:rPr>
              <w:t>直于围墙的方向上</w:t>
            </w:r>
          </w:p>
          <w:p w14:paraId="6A0D11A0">
            <w:pPr>
              <w:pStyle w:val="6"/>
              <w:spacing w:before="8" w:line="219" w:lineRule="auto"/>
              <w:ind w:left="111"/>
              <w:rPr>
                <w:sz w:val="21"/>
                <w:szCs w:val="21"/>
              </w:rPr>
            </w:pPr>
            <w:r>
              <w:rPr>
                <w:spacing w:val="-1"/>
                <w:sz w:val="21"/>
                <w:szCs w:val="21"/>
              </w:rPr>
              <w:t>布设，监测点间距</w:t>
            </w:r>
          </w:p>
          <w:p w14:paraId="1ED893AD">
            <w:pPr>
              <w:pStyle w:val="6"/>
              <w:spacing w:before="37" w:line="226" w:lineRule="auto"/>
              <w:ind w:left="111" w:right="181" w:firstLine="50"/>
              <w:jc w:val="both"/>
              <w:rPr>
                <w:sz w:val="21"/>
                <w:szCs w:val="21"/>
              </w:rPr>
            </w:pPr>
            <w:r>
              <w:rPr>
                <w:spacing w:val="-2"/>
                <w:sz w:val="21"/>
                <w:szCs w:val="21"/>
              </w:rPr>
              <w:t>为5m,顺序测至距</w:t>
            </w:r>
            <w:r>
              <w:rPr>
                <w:spacing w:val="6"/>
                <w:sz w:val="21"/>
                <w:szCs w:val="21"/>
              </w:rPr>
              <w:t xml:space="preserve"> </w:t>
            </w:r>
            <w:r>
              <w:rPr>
                <w:spacing w:val="4"/>
                <w:sz w:val="21"/>
                <w:szCs w:val="21"/>
              </w:rPr>
              <w:t>离围墙外50m处为</w:t>
            </w:r>
            <w:r>
              <w:rPr>
                <w:spacing w:val="1"/>
                <w:sz w:val="21"/>
                <w:szCs w:val="21"/>
              </w:rPr>
              <w:t xml:space="preserve"> </w:t>
            </w:r>
            <w:r>
              <w:rPr>
                <w:spacing w:val="-2"/>
                <w:sz w:val="21"/>
                <w:szCs w:val="21"/>
              </w:rPr>
              <w:t>止。</w:t>
            </w:r>
          </w:p>
        </w:tc>
        <w:tc>
          <w:tcPr>
            <w:tcW w:w="1218" w:type="dxa"/>
            <w:vAlign w:val="top"/>
          </w:tcPr>
          <w:p w14:paraId="31C68405">
            <w:pPr>
              <w:spacing w:line="263" w:lineRule="auto"/>
              <w:rPr>
                <w:rFonts w:ascii="Arial"/>
                <w:sz w:val="21"/>
              </w:rPr>
            </w:pPr>
          </w:p>
          <w:p w14:paraId="0D5B4631">
            <w:pPr>
              <w:spacing w:line="264" w:lineRule="auto"/>
              <w:rPr>
                <w:rFonts w:ascii="Arial"/>
                <w:sz w:val="21"/>
              </w:rPr>
            </w:pPr>
          </w:p>
          <w:p w14:paraId="358523A5">
            <w:pPr>
              <w:spacing w:line="264" w:lineRule="auto"/>
              <w:rPr>
                <w:rFonts w:ascii="Arial"/>
                <w:sz w:val="21"/>
              </w:rPr>
            </w:pPr>
          </w:p>
          <w:p w14:paraId="57644F1D">
            <w:pPr>
              <w:spacing w:line="264" w:lineRule="auto"/>
              <w:rPr>
                <w:rFonts w:ascii="Arial"/>
                <w:sz w:val="21"/>
              </w:rPr>
            </w:pPr>
          </w:p>
          <w:p w14:paraId="00C20455">
            <w:pPr>
              <w:pStyle w:val="6"/>
              <w:spacing w:before="69"/>
              <w:ind w:left="183" w:right="170"/>
              <w:jc w:val="right"/>
              <w:rPr>
                <w:sz w:val="21"/>
                <w:szCs w:val="21"/>
              </w:rPr>
            </w:pPr>
            <w:r>
              <w:rPr>
                <w:spacing w:val="3"/>
                <w:sz w:val="21"/>
                <w:szCs w:val="21"/>
              </w:rPr>
              <w:t>工频电场</w:t>
            </w:r>
            <w:r>
              <w:rPr>
                <w:sz w:val="21"/>
                <w:szCs w:val="21"/>
              </w:rPr>
              <w:t xml:space="preserve"> </w:t>
            </w:r>
            <w:r>
              <w:rPr>
                <w:spacing w:val="1"/>
                <w:sz w:val="21"/>
                <w:szCs w:val="21"/>
              </w:rPr>
              <w:t>强度，</w:t>
            </w:r>
          </w:p>
          <w:p w14:paraId="0B827A32">
            <w:pPr>
              <w:pStyle w:val="6"/>
              <w:spacing w:before="7"/>
              <w:ind w:left="123" w:right="145"/>
              <w:jc w:val="right"/>
              <w:rPr>
                <w:sz w:val="21"/>
                <w:szCs w:val="21"/>
              </w:rPr>
            </w:pPr>
            <w:r>
              <w:rPr>
                <w:spacing w:val="-1"/>
                <w:sz w:val="21"/>
                <w:szCs w:val="21"/>
              </w:rPr>
              <w:t>kV/m;工频</w:t>
            </w:r>
            <w:r>
              <w:rPr>
                <w:sz w:val="21"/>
                <w:szCs w:val="21"/>
              </w:rPr>
              <w:t xml:space="preserve"> </w:t>
            </w:r>
            <w:r>
              <w:rPr>
                <w:spacing w:val="-2"/>
                <w:sz w:val="21"/>
                <w:szCs w:val="21"/>
              </w:rPr>
              <w:t>磁感应强</w:t>
            </w:r>
          </w:p>
          <w:p w14:paraId="0703517E">
            <w:pPr>
              <w:pStyle w:val="6"/>
              <w:spacing w:before="1" w:line="220" w:lineRule="auto"/>
              <w:ind w:left="233"/>
              <w:rPr>
                <w:sz w:val="21"/>
                <w:szCs w:val="21"/>
              </w:rPr>
            </w:pPr>
            <w:r>
              <w:rPr>
                <w:spacing w:val="-2"/>
                <w:sz w:val="21"/>
                <w:szCs w:val="21"/>
              </w:rPr>
              <w:t>度，μT</w:t>
            </w:r>
          </w:p>
        </w:tc>
        <w:tc>
          <w:tcPr>
            <w:tcW w:w="1159" w:type="dxa"/>
            <w:vAlign w:val="top"/>
          </w:tcPr>
          <w:p w14:paraId="65793822">
            <w:pPr>
              <w:spacing w:line="263" w:lineRule="auto"/>
              <w:rPr>
                <w:rFonts w:ascii="Arial"/>
                <w:sz w:val="21"/>
              </w:rPr>
            </w:pPr>
          </w:p>
          <w:p w14:paraId="43BEA200">
            <w:pPr>
              <w:spacing w:line="264" w:lineRule="auto"/>
              <w:rPr>
                <w:rFonts w:ascii="Arial"/>
                <w:sz w:val="21"/>
              </w:rPr>
            </w:pPr>
          </w:p>
          <w:p w14:paraId="51A03CA2">
            <w:pPr>
              <w:spacing w:line="264" w:lineRule="auto"/>
              <w:rPr>
                <w:rFonts w:ascii="Arial"/>
                <w:sz w:val="21"/>
              </w:rPr>
            </w:pPr>
          </w:p>
          <w:p w14:paraId="629C97DC">
            <w:pPr>
              <w:spacing w:line="264" w:lineRule="auto"/>
              <w:rPr>
                <w:rFonts w:ascii="Arial"/>
                <w:sz w:val="21"/>
              </w:rPr>
            </w:pPr>
          </w:p>
          <w:p w14:paraId="1FBFB249">
            <w:pPr>
              <w:pStyle w:val="6"/>
              <w:spacing w:before="69" w:line="219" w:lineRule="auto"/>
              <w:ind w:left="156"/>
              <w:rPr>
                <w:sz w:val="21"/>
                <w:szCs w:val="21"/>
              </w:rPr>
            </w:pPr>
            <w:r>
              <w:rPr>
                <w:spacing w:val="-2"/>
                <w:sz w:val="21"/>
                <w:szCs w:val="21"/>
              </w:rPr>
              <w:t>竣工环境</w:t>
            </w:r>
          </w:p>
          <w:p w14:paraId="615949F9">
            <w:pPr>
              <w:pStyle w:val="6"/>
              <w:spacing w:before="30" w:line="238" w:lineRule="auto"/>
              <w:ind w:left="95" w:right="89" w:firstLine="60"/>
              <w:jc w:val="both"/>
              <w:rPr>
                <w:sz w:val="21"/>
                <w:szCs w:val="21"/>
              </w:rPr>
            </w:pPr>
            <w:r>
              <w:rPr>
                <w:spacing w:val="-3"/>
                <w:sz w:val="21"/>
                <w:szCs w:val="21"/>
              </w:rPr>
              <w:t>保护验收</w:t>
            </w:r>
            <w:r>
              <w:rPr>
                <w:spacing w:val="1"/>
                <w:sz w:val="21"/>
                <w:szCs w:val="21"/>
              </w:rPr>
              <w:t xml:space="preserve"> </w:t>
            </w:r>
            <w:r>
              <w:rPr>
                <w:spacing w:val="3"/>
                <w:sz w:val="21"/>
                <w:szCs w:val="21"/>
              </w:rPr>
              <w:t>1次，后期</w:t>
            </w:r>
            <w:r>
              <w:rPr>
                <w:spacing w:val="2"/>
                <w:sz w:val="21"/>
                <w:szCs w:val="21"/>
              </w:rPr>
              <w:t xml:space="preserve"> </w:t>
            </w:r>
            <w:r>
              <w:rPr>
                <w:spacing w:val="18"/>
                <w:sz w:val="21"/>
                <w:szCs w:val="21"/>
              </w:rPr>
              <w:t>管理不作</w:t>
            </w:r>
          </w:p>
          <w:p w14:paraId="38994BEB">
            <w:pPr>
              <w:pStyle w:val="6"/>
              <w:spacing w:line="220" w:lineRule="auto"/>
              <w:ind w:left="365"/>
              <w:rPr>
                <w:sz w:val="21"/>
                <w:szCs w:val="21"/>
              </w:rPr>
            </w:pPr>
            <w:r>
              <w:rPr>
                <w:spacing w:val="-3"/>
                <w:sz w:val="21"/>
                <w:szCs w:val="21"/>
              </w:rPr>
              <w:t>要求</w:t>
            </w:r>
          </w:p>
        </w:tc>
        <w:tc>
          <w:tcPr>
            <w:tcW w:w="2951" w:type="dxa"/>
            <w:gridSpan w:val="2"/>
            <w:vAlign w:val="top"/>
          </w:tcPr>
          <w:p w14:paraId="74B2AC38">
            <w:pPr>
              <w:spacing w:line="258" w:lineRule="auto"/>
              <w:rPr>
                <w:rFonts w:ascii="Arial"/>
                <w:sz w:val="21"/>
              </w:rPr>
            </w:pPr>
          </w:p>
          <w:p w14:paraId="4C8C9E21">
            <w:pPr>
              <w:spacing w:line="258" w:lineRule="auto"/>
              <w:rPr>
                <w:rFonts w:ascii="Arial"/>
                <w:sz w:val="21"/>
              </w:rPr>
            </w:pPr>
          </w:p>
          <w:p w14:paraId="55026E14">
            <w:pPr>
              <w:pStyle w:val="6"/>
              <w:spacing w:before="68" w:line="217" w:lineRule="auto"/>
              <w:ind w:left="86"/>
              <w:rPr>
                <w:sz w:val="21"/>
                <w:szCs w:val="21"/>
              </w:rPr>
            </w:pPr>
            <w:r>
              <w:rPr>
                <w:spacing w:val="-1"/>
                <w:sz w:val="21"/>
                <w:szCs w:val="21"/>
              </w:rPr>
              <w:t>①工频电场执行《电磁环境控</w:t>
            </w:r>
          </w:p>
          <w:p w14:paraId="0798676B">
            <w:pPr>
              <w:pStyle w:val="6"/>
              <w:spacing w:before="15" w:line="219" w:lineRule="auto"/>
              <w:ind w:left="136"/>
              <w:rPr>
                <w:sz w:val="21"/>
                <w:szCs w:val="21"/>
              </w:rPr>
            </w:pPr>
            <w:r>
              <w:rPr>
                <w:spacing w:val="1"/>
                <w:sz w:val="21"/>
                <w:szCs w:val="21"/>
              </w:rPr>
              <w:t>制限值》(</w:t>
            </w:r>
            <w:r>
              <w:rPr>
                <w:sz w:val="21"/>
                <w:szCs w:val="21"/>
              </w:rPr>
              <w:t>GB</w:t>
            </w:r>
            <w:r>
              <w:rPr>
                <w:spacing w:val="1"/>
                <w:sz w:val="21"/>
                <w:szCs w:val="21"/>
              </w:rPr>
              <w:t>8702-2014)中</w:t>
            </w:r>
          </w:p>
          <w:p w14:paraId="67EBA404">
            <w:pPr>
              <w:pStyle w:val="6"/>
              <w:spacing w:before="40" w:line="219" w:lineRule="auto"/>
              <w:ind w:left="86"/>
              <w:rPr>
                <w:sz w:val="21"/>
                <w:szCs w:val="21"/>
              </w:rPr>
            </w:pPr>
            <w:r>
              <w:rPr>
                <w:sz w:val="21"/>
                <w:szCs w:val="21"/>
              </w:rPr>
              <w:t>规定的标准，公众曝露控制限</w:t>
            </w:r>
          </w:p>
          <w:p w14:paraId="462A7417">
            <w:pPr>
              <w:pStyle w:val="6"/>
              <w:spacing w:before="21" w:line="219" w:lineRule="auto"/>
              <w:ind w:left="456"/>
              <w:rPr>
                <w:sz w:val="21"/>
                <w:szCs w:val="21"/>
              </w:rPr>
            </w:pPr>
            <w:r>
              <w:rPr>
                <w:spacing w:val="-1"/>
                <w:sz w:val="21"/>
                <w:szCs w:val="21"/>
              </w:rPr>
              <w:t>值电场强度限值200/f</w:t>
            </w:r>
          </w:p>
          <w:p w14:paraId="34DFA0C3">
            <w:pPr>
              <w:pStyle w:val="6"/>
              <w:spacing w:before="34" w:line="221" w:lineRule="auto"/>
              <w:ind w:left="1036"/>
              <w:rPr>
                <w:sz w:val="21"/>
                <w:szCs w:val="21"/>
              </w:rPr>
            </w:pPr>
            <w:r>
              <w:rPr>
                <w:spacing w:val="-5"/>
                <w:sz w:val="21"/>
                <w:szCs w:val="21"/>
              </w:rPr>
              <w:t>(4kV/m);</w:t>
            </w:r>
          </w:p>
          <w:p w14:paraId="3AE28FA0">
            <w:pPr>
              <w:pStyle w:val="6"/>
              <w:spacing w:before="2" w:line="243" w:lineRule="auto"/>
              <w:ind w:left="136" w:right="130" w:hanging="50"/>
              <w:rPr>
                <w:sz w:val="21"/>
                <w:szCs w:val="21"/>
              </w:rPr>
            </w:pPr>
            <w:r>
              <w:rPr>
                <w:spacing w:val="-1"/>
                <w:sz w:val="21"/>
                <w:szCs w:val="21"/>
              </w:rPr>
              <w:t>②工频磁场执行《电磁环境控</w:t>
            </w:r>
            <w:r>
              <w:rPr>
                <w:spacing w:val="5"/>
                <w:sz w:val="21"/>
                <w:szCs w:val="21"/>
              </w:rPr>
              <w:t xml:space="preserve"> </w:t>
            </w:r>
            <w:r>
              <w:rPr>
                <w:spacing w:val="1"/>
                <w:sz w:val="21"/>
                <w:szCs w:val="21"/>
              </w:rPr>
              <w:t>制限值》(</w:t>
            </w:r>
            <w:r>
              <w:rPr>
                <w:sz w:val="21"/>
                <w:szCs w:val="21"/>
              </w:rPr>
              <w:t>GB</w:t>
            </w:r>
            <w:r>
              <w:rPr>
                <w:spacing w:val="1"/>
                <w:sz w:val="21"/>
                <w:szCs w:val="21"/>
              </w:rPr>
              <w:t>8702-2014)中</w:t>
            </w:r>
          </w:p>
          <w:p w14:paraId="3459C837">
            <w:pPr>
              <w:pStyle w:val="6"/>
              <w:spacing w:before="1" w:line="257" w:lineRule="auto"/>
              <w:ind w:left="136" w:right="68" w:hanging="50"/>
              <w:rPr>
                <w:sz w:val="21"/>
                <w:szCs w:val="21"/>
              </w:rPr>
            </w:pPr>
            <w:r>
              <w:rPr>
                <w:sz w:val="21"/>
                <w:szCs w:val="21"/>
              </w:rPr>
              <w:t>规定的标准，公众曝露控制限</w:t>
            </w:r>
            <w:r>
              <w:rPr>
                <w:spacing w:val="10"/>
                <w:sz w:val="21"/>
                <w:szCs w:val="21"/>
              </w:rPr>
              <w:t xml:space="preserve"> </w:t>
            </w:r>
            <w:r>
              <w:rPr>
                <w:sz w:val="21"/>
                <w:szCs w:val="21"/>
              </w:rPr>
              <w:t>值工频磁场限值5/f(0.1mT)。</w:t>
            </w:r>
          </w:p>
        </w:tc>
      </w:tr>
      <w:tr w14:paraId="45030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734" w:type="dxa"/>
            <w:vMerge w:val="continue"/>
            <w:tcBorders>
              <w:top w:val="nil"/>
              <w:bottom w:val="nil"/>
            </w:tcBorders>
            <w:vAlign w:val="top"/>
          </w:tcPr>
          <w:p w14:paraId="560983E4">
            <w:pPr>
              <w:rPr>
                <w:rFonts w:ascii="Arial"/>
                <w:sz w:val="21"/>
              </w:rPr>
            </w:pPr>
          </w:p>
        </w:tc>
        <w:tc>
          <w:tcPr>
            <w:tcW w:w="110" w:type="dxa"/>
            <w:tcBorders>
              <w:top w:val="nil"/>
              <w:bottom w:val="nil"/>
            </w:tcBorders>
            <w:vAlign w:val="top"/>
          </w:tcPr>
          <w:p w14:paraId="28260F6F">
            <w:pPr>
              <w:rPr>
                <w:rFonts w:ascii="Arial"/>
                <w:sz w:val="21"/>
              </w:rPr>
            </w:pPr>
          </w:p>
        </w:tc>
        <w:tc>
          <w:tcPr>
            <w:tcW w:w="769" w:type="dxa"/>
            <w:vAlign w:val="top"/>
          </w:tcPr>
          <w:p w14:paraId="5E1ED175">
            <w:pPr>
              <w:spacing w:line="251" w:lineRule="auto"/>
              <w:rPr>
                <w:rFonts w:ascii="Arial"/>
                <w:sz w:val="21"/>
              </w:rPr>
            </w:pPr>
          </w:p>
          <w:p w14:paraId="1F6EF955">
            <w:pPr>
              <w:spacing w:line="251" w:lineRule="auto"/>
              <w:rPr>
                <w:rFonts w:ascii="Arial"/>
                <w:sz w:val="21"/>
              </w:rPr>
            </w:pPr>
          </w:p>
          <w:p w14:paraId="1AAE995B">
            <w:pPr>
              <w:pStyle w:val="6"/>
              <w:spacing w:before="69" w:line="220" w:lineRule="auto"/>
              <w:ind w:left="160"/>
              <w:rPr>
                <w:sz w:val="21"/>
                <w:szCs w:val="21"/>
              </w:rPr>
            </w:pPr>
            <w:r>
              <w:rPr>
                <w:spacing w:val="-3"/>
                <w:sz w:val="21"/>
                <w:szCs w:val="21"/>
              </w:rPr>
              <w:t>生活</w:t>
            </w:r>
          </w:p>
          <w:p w14:paraId="22963BB3">
            <w:pPr>
              <w:pStyle w:val="6"/>
              <w:spacing w:before="19" w:line="219" w:lineRule="auto"/>
              <w:ind w:left="160"/>
              <w:rPr>
                <w:sz w:val="21"/>
                <w:szCs w:val="21"/>
              </w:rPr>
            </w:pPr>
            <w:r>
              <w:rPr>
                <w:spacing w:val="-2"/>
                <w:sz w:val="21"/>
                <w:szCs w:val="21"/>
              </w:rPr>
              <w:t>废水</w:t>
            </w:r>
          </w:p>
        </w:tc>
        <w:tc>
          <w:tcPr>
            <w:tcW w:w="1918" w:type="dxa"/>
            <w:gridSpan w:val="2"/>
            <w:vAlign w:val="top"/>
          </w:tcPr>
          <w:p w14:paraId="6F0C9DB4">
            <w:pPr>
              <w:spacing w:line="471" w:lineRule="auto"/>
              <w:rPr>
                <w:rFonts w:ascii="Arial"/>
                <w:sz w:val="21"/>
              </w:rPr>
            </w:pPr>
          </w:p>
          <w:p w14:paraId="5777012B">
            <w:pPr>
              <w:pStyle w:val="6"/>
              <w:spacing w:before="68" w:line="275" w:lineRule="auto"/>
              <w:ind w:left="421" w:right="107" w:hanging="310"/>
              <w:rPr>
                <w:sz w:val="21"/>
                <w:szCs w:val="21"/>
              </w:rPr>
            </w:pPr>
            <w:r>
              <w:rPr>
                <w:spacing w:val="1"/>
                <w:sz w:val="21"/>
                <w:szCs w:val="21"/>
              </w:rPr>
              <w:t>一体化生活废水处</w:t>
            </w:r>
            <w:r>
              <w:rPr>
                <w:sz w:val="21"/>
                <w:szCs w:val="21"/>
              </w:rPr>
              <w:t xml:space="preserve"> </w:t>
            </w:r>
            <w:r>
              <w:rPr>
                <w:spacing w:val="6"/>
                <w:sz w:val="21"/>
                <w:szCs w:val="21"/>
              </w:rPr>
              <w:t>理站出水口</w:t>
            </w:r>
          </w:p>
        </w:tc>
        <w:tc>
          <w:tcPr>
            <w:tcW w:w="1218" w:type="dxa"/>
            <w:vAlign w:val="top"/>
          </w:tcPr>
          <w:p w14:paraId="2330AAB4">
            <w:pPr>
              <w:pStyle w:val="6"/>
              <w:spacing w:before="71" w:line="243" w:lineRule="auto"/>
              <w:ind w:left="332" w:right="220" w:hanging="149"/>
              <w:rPr>
                <w:sz w:val="21"/>
                <w:szCs w:val="21"/>
              </w:rPr>
            </w:pPr>
            <w:r>
              <w:rPr>
                <w:spacing w:val="-7"/>
                <w:sz w:val="21"/>
                <w:szCs w:val="21"/>
              </w:rPr>
              <w:t>pH、SS、</w:t>
            </w:r>
            <w:r>
              <w:rPr>
                <w:spacing w:val="4"/>
                <w:sz w:val="21"/>
                <w:szCs w:val="21"/>
              </w:rPr>
              <w:t xml:space="preserve"> </w:t>
            </w:r>
            <w:r>
              <w:rPr>
                <w:spacing w:val="-6"/>
                <w:sz w:val="21"/>
                <w:szCs w:val="21"/>
              </w:rPr>
              <w:t>COD、</w:t>
            </w:r>
          </w:p>
          <w:p w14:paraId="1277AE9F">
            <w:pPr>
              <w:pStyle w:val="6"/>
              <w:spacing w:before="1" w:line="182" w:lineRule="auto"/>
              <w:ind w:left="284"/>
              <w:rPr>
                <w:sz w:val="21"/>
                <w:szCs w:val="21"/>
              </w:rPr>
            </w:pPr>
            <w:r>
              <w:rPr>
                <w:spacing w:val="-4"/>
                <w:sz w:val="21"/>
                <w:szCs w:val="21"/>
              </w:rPr>
              <w:t>BODs、</w:t>
            </w:r>
          </w:p>
          <w:p w14:paraId="0254C899">
            <w:pPr>
              <w:pStyle w:val="6"/>
              <w:spacing w:before="39" w:line="219" w:lineRule="auto"/>
              <w:ind w:left="73"/>
              <w:rPr>
                <w:sz w:val="21"/>
                <w:szCs w:val="21"/>
              </w:rPr>
            </w:pPr>
            <w:r>
              <w:rPr>
                <w:sz w:val="21"/>
                <w:szCs w:val="21"/>
              </w:rPr>
              <w:t>NH</w:t>
            </w:r>
            <w:r>
              <w:rPr>
                <w:rFonts w:ascii="Calibri" w:hAnsi="Calibri" w:eastAsia="Calibri" w:cs="Calibri"/>
                <w:spacing w:val="19"/>
                <w:sz w:val="21"/>
                <w:szCs w:val="21"/>
              </w:rPr>
              <w:t>₃</w:t>
            </w:r>
            <w:r>
              <w:rPr>
                <w:spacing w:val="19"/>
                <w:sz w:val="21"/>
                <w:szCs w:val="21"/>
              </w:rPr>
              <w:t>-N、石</w:t>
            </w:r>
          </w:p>
          <w:p w14:paraId="1F6B38F0">
            <w:pPr>
              <w:pStyle w:val="6"/>
              <w:spacing w:before="2" w:line="212" w:lineRule="auto"/>
              <w:ind w:left="73"/>
              <w:rPr>
                <w:sz w:val="21"/>
                <w:szCs w:val="21"/>
              </w:rPr>
            </w:pPr>
            <w:r>
              <w:rPr>
                <w:spacing w:val="1"/>
                <w:sz w:val="21"/>
                <w:szCs w:val="21"/>
              </w:rPr>
              <w:t>油类、动植</w:t>
            </w:r>
          </w:p>
          <w:p w14:paraId="0EC4BC31">
            <w:pPr>
              <w:pStyle w:val="6"/>
              <w:spacing w:line="214" w:lineRule="auto"/>
              <w:ind w:left="393"/>
              <w:rPr>
                <w:sz w:val="21"/>
                <w:szCs w:val="21"/>
              </w:rPr>
            </w:pPr>
            <w:r>
              <w:rPr>
                <w:spacing w:val="11"/>
                <w:sz w:val="21"/>
                <w:szCs w:val="21"/>
              </w:rPr>
              <w:t>物油</w:t>
            </w:r>
          </w:p>
        </w:tc>
        <w:tc>
          <w:tcPr>
            <w:tcW w:w="1159" w:type="dxa"/>
            <w:vAlign w:val="top"/>
          </w:tcPr>
          <w:p w14:paraId="61E33058">
            <w:pPr>
              <w:spacing w:line="320" w:lineRule="auto"/>
              <w:rPr>
                <w:rFonts w:ascii="Arial"/>
                <w:sz w:val="21"/>
              </w:rPr>
            </w:pPr>
          </w:p>
          <w:p w14:paraId="05A31ADE">
            <w:pPr>
              <w:spacing w:line="321" w:lineRule="auto"/>
              <w:rPr>
                <w:rFonts w:ascii="Arial"/>
                <w:sz w:val="21"/>
              </w:rPr>
            </w:pPr>
          </w:p>
          <w:p w14:paraId="455F250B">
            <w:pPr>
              <w:pStyle w:val="6"/>
              <w:spacing w:before="68" w:line="219" w:lineRule="auto"/>
              <w:ind w:left="255"/>
              <w:rPr>
                <w:sz w:val="21"/>
                <w:szCs w:val="21"/>
              </w:rPr>
            </w:pPr>
            <w:r>
              <w:rPr>
                <w:spacing w:val="2"/>
                <w:sz w:val="21"/>
                <w:szCs w:val="21"/>
              </w:rPr>
              <w:t>1次/年</w:t>
            </w:r>
          </w:p>
        </w:tc>
        <w:tc>
          <w:tcPr>
            <w:tcW w:w="2951" w:type="dxa"/>
            <w:gridSpan w:val="2"/>
            <w:vAlign w:val="top"/>
          </w:tcPr>
          <w:p w14:paraId="32F216C8">
            <w:pPr>
              <w:pStyle w:val="6"/>
              <w:spacing w:before="303" w:line="219" w:lineRule="auto"/>
              <w:ind w:left="351"/>
              <w:rPr>
                <w:sz w:val="21"/>
                <w:szCs w:val="21"/>
              </w:rPr>
            </w:pPr>
            <w:r>
              <w:rPr>
                <w:spacing w:val="-2"/>
                <w:sz w:val="21"/>
                <w:szCs w:val="21"/>
              </w:rPr>
              <w:t>《城市污水再生利用城</w:t>
            </w:r>
          </w:p>
          <w:p w14:paraId="26315C5F">
            <w:pPr>
              <w:pStyle w:val="6"/>
              <w:spacing w:before="30" w:line="219" w:lineRule="auto"/>
              <w:ind w:left="766"/>
              <w:rPr>
                <w:sz w:val="21"/>
                <w:szCs w:val="21"/>
              </w:rPr>
            </w:pPr>
            <w:r>
              <w:rPr>
                <w:sz w:val="21"/>
                <w:szCs w:val="21"/>
              </w:rPr>
              <w:t>市杂用水水质》</w:t>
            </w:r>
          </w:p>
          <w:p w14:paraId="32477150">
            <w:pPr>
              <w:pStyle w:val="6"/>
              <w:spacing w:before="20" w:line="219" w:lineRule="auto"/>
              <w:ind w:left="196"/>
              <w:rPr>
                <w:sz w:val="21"/>
                <w:szCs w:val="21"/>
              </w:rPr>
            </w:pPr>
            <w:r>
              <w:rPr>
                <w:sz w:val="21"/>
                <w:szCs w:val="21"/>
              </w:rPr>
              <w:t>(GB/T18920-2020)中“城市</w:t>
            </w:r>
          </w:p>
          <w:p w14:paraId="4C5C2FDC">
            <w:pPr>
              <w:pStyle w:val="6"/>
              <w:spacing w:before="21" w:line="219" w:lineRule="auto"/>
              <w:ind w:left="406"/>
              <w:rPr>
                <w:sz w:val="21"/>
                <w:szCs w:val="21"/>
              </w:rPr>
            </w:pPr>
            <w:r>
              <w:rPr>
                <w:spacing w:val="-1"/>
                <w:sz w:val="21"/>
                <w:szCs w:val="21"/>
              </w:rPr>
              <w:t>绿化、道路清扫”标准</w:t>
            </w:r>
          </w:p>
        </w:tc>
      </w:tr>
      <w:tr w14:paraId="2A3F5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734" w:type="dxa"/>
            <w:vMerge w:val="continue"/>
            <w:tcBorders>
              <w:top w:val="nil"/>
              <w:bottom w:val="nil"/>
            </w:tcBorders>
            <w:vAlign w:val="top"/>
          </w:tcPr>
          <w:p w14:paraId="2586086B">
            <w:pPr>
              <w:rPr>
                <w:rFonts w:ascii="Arial"/>
                <w:sz w:val="21"/>
              </w:rPr>
            </w:pPr>
          </w:p>
        </w:tc>
        <w:tc>
          <w:tcPr>
            <w:tcW w:w="8125" w:type="dxa"/>
            <w:gridSpan w:val="8"/>
            <w:vAlign w:val="top"/>
          </w:tcPr>
          <w:p w14:paraId="465B73BA">
            <w:pPr>
              <w:pStyle w:val="6"/>
              <w:spacing w:before="42" w:line="219" w:lineRule="auto"/>
              <w:ind w:left="64"/>
              <w:rPr>
                <w:sz w:val="23"/>
                <w:szCs w:val="23"/>
              </w:rPr>
            </w:pPr>
            <w:r>
              <w:rPr>
                <w:b/>
                <w:bCs/>
                <w:spacing w:val="-4"/>
                <w:sz w:val="23"/>
                <w:szCs w:val="23"/>
              </w:rPr>
              <w:t>二、环保竣工验收</w:t>
            </w:r>
          </w:p>
          <w:p w14:paraId="386420BE">
            <w:pPr>
              <w:pStyle w:val="6"/>
              <w:spacing w:before="28" w:line="374" w:lineRule="auto"/>
              <w:ind w:left="50" w:right="482" w:firstLine="439"/>
              <w:rPr>
                <w:sz w:val="23"/>
                <w:szCs w:val="23"/>
              </w:rPr>
            </w:pPr>
            <w:r>
              <w:rPr>
                <w:sz w:val="23"/>
                <w:szCs w:val="23"/>
              </w:rPr>
              <w:t>本项目在竣工后，建设单位要及时按《建设项目竣工环境保护验收暂行</w:t>
            </w:r>
            <w:r>
              <w:rPr>
                <w:spacing w:val="10"/>
                <w:sz w:val="23"/>
                <w:szCs w:val="23"/>
              </w:rPr>
              <w:t xml:space="preserve"> </w:t>
            </w:r>
            <w:r>
              <w:rPr>
                <w:sz w:val="23"/>
                <w:szCs w:val="23"/>
              </w:rPr>
              <w:t>办法》(国环规环评〔2017〕4号)、《建设项目竣工环境保护验收技术指南</w:t>
            </w:r>
            <w:r>
              <w:rPr>
                <w:spacing w:val="2"/>
                <w:sz w:val="23"/>
                <w:szCs w:val="23"/>
              </w:rPr>
              <w:t xml:space="preserve">  </w:t>
            </w:r>
            <w:r>
              <w:rPr>
                <w:sz w:val="23"/>
                <w:szCs w:val="23"/>
              </w:rPr>
              <w:t>污染影响类》(生态环境部公告2018年第9号)</w:t>
            </w:r>
            <w:r>
              <w:rPr>
                <w:spacing w:val="-1"/>
                <w:sz w:val="23"/>
                <w:szCs w:val="23"/>
              </w:rPr>
              <w:t>相关要求进行项目竣工环保</w:t>
            </w:r>
          </w:p>
          <w:p w14:paraId="2B273360">
            <w:pPr>
              <w:pStyle w:val="6"/>
              <w:spacing w:before="22" w:line="219" w:lineRule="auto"/>
              <w:ind w:left="91"/>
              <w:rPr>
                <w:sz w:val="23"/>
                <w:szCs w:val="23"/>
              </w:rPr>
            </w:pPr>
            <w:r>
              <w:rPr>
                <w:spacing w:val="-1"/>
                <w:sz w:val="23"/>
                <w:szCs w:val="23"/>
              </w:rPr>
              <w:t>验收。本项目竣工环境保护验收一览表见下表。</w:t>
            </w:r>
          </w:p>
          <w:p w14:paraId="0EB40BF1">
            <w:pPr>
              <w:pStyle w:val="6"/>
              <w:spacing w:before="164" w:line="214" w:lineRule="auto"/>
              <w:ind w:left="2724"/>
              <w:rPr>
                <w:sz w:val="23"/>
                <w:szCs w:val="23"/>
              </w:rPr>
            </w:pPr>
            <w:r>
              <w:rPr>
                <w:b/>
                <w:bCs/>
                <w:spacing w:val="-3"/>
                <w:sz w:val="23"/>
                <w:szCs w:val="23"/>
              </w:rPr>
              <w:t>表5-4</w:t>
            </w:r>
            <w:r>
              <w:rPr>
                <w:spacing w:val="-3"/>
                <w:sz w:val="23"/>
                <w:szCs w:val="23"/>
              </w:rPr>
              <w:t xml:space="preserve">  </w:t>
            </w:r>
            <w:r>
              <w:rPr>
                <w:b/>
                <w:bCs/>
                <w:spacing w:val="-3"/>
                <w:sz w:val="23"/>
                <w:szCs w:val="23"/>
              </w:rPr>
              <w:t>竣工验收一览表</w:t>
            </w:r>
          </w:p>
        </w:tc>
      </w:tr>
      <w:tr w14:paraId="04EE7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4" w:type="dxa"/>
            <w:vMerge w:val="continue"/>
            <w:tcBorders>
              <w:top w:val="nil"/>
              <w:bottom w:val="nil"/>
            </w:tcBorders>
            <w:vAlign w:val="top"/>
          </w:tcPr>
          <w:p w14:paraId="079C2ED2">
            <w:pPr>
              <w:rPr>
                <w:rFonts w:ascii="Arial"/>
                <w:sz w:val="21"/>
              </w:rPr>
            </w:pPr>
          </w:p>
        </w:tc>
        <w:tc>
          <w:tcPr>
            <w:tcW w:w="110" w:type="dxa"/>
            <w:tcBorders>
              <w:bottom w:val="nil"/>
            </w:tcBorders>
            <w:vAlign w:val="top"/>
          </w:tcPr>
          <w:p w14:paraId="5473B82B">
            <w:pPr>
              <w:rPr>
                <w:rFonts w:ascii="Arial"/>
                <w:sz w:val="21"/>
              </w:rPr>
            </w:pPr>
          </w:p>
        </w:tc>
        <w:tc>
          <w:tcPr>
            <w:tcW w:w="769" w:type="dxa"/>
            <w:vAlign w:val="top"/>
          </w:tcPr>
          <w:p w14:paraId="349042D2">
            <w:pPr>
              <w:pStyle w:val="6"/>
              <w:spacing w:before="194" w:line="219" w:lineRule="auto"/>
              <w:ind w:left="144"/>
              <w:rPr>
                <w:sz w:val="23"/>
                <w:szCs w:val="23"/>
              </w:rPr>
            </w:pPr>
            <w:r>
              <w:rPr>
                <w:b/>
                <w:bCs/>
                <w:spacing w:val="3"/>
                <w:sz w:val="23"/>
                <w:szCs w:val="23"/>
              </w:rPr>
              <w:t>类别</w:t>
            </w:r>
          </w:p>
        </w:tc>
        <w:tc>
          <w:tcPr>
            <w:tcW w:w="1129" w:type="dxa"/>
            <w:vAlign w:val="top"/>
          </w:tcPr>
          <w:p w14:paraId="4569CF6D">
            <w:pPr>
              <w:pStyle w:val="6"/>
              <w:spacing w:before="74" w:line="217" w:lineRule="auto"/>
              <w:ind w:left="35"/>
              <w:rPr>
                <w:sz w:val="23"/>
                <w:szCs w:val="23"/>
              </w:rPr>
            </w:pPr>
            <w:r>
              <w:rPr>
                <w:b/>
                <w:bCs/>
                <w:spacing w:val="-1"/>
                <w:sz w:val="23"/>
                <w:szCs w:val="23"/>
              </w:rPr>
              <w:t>污染源/污</w:t>
            </w:r>
          </w:p>
          <w:p w14:paraId="4A4C44C5">
            <w:pPr>
              <w:pStyle w:val="6"/>
              <w:spacing w:line="204" w:lineRule="auto"/>
              <w:ind w:left="325"/>
              <w:rPr>
                <w:sz w:val="23"/>
                <w:szCs w:val="23"/>
              </w:rPr>
            </w:pPr>
            <w:r>
              <w:rPr>
                <w:b/>
                <w:bCs/>
                <w:spacing w:val="-6"/>
                <w:sz w:val="23"/>
                <w:szCs w:val="23"/>
              </w:rPr>
              <w:t>染物</w:t>
            </w:r>
          </w:p>
        </w:tc>
        <w:tc>
          <w:tcPr>
            <w:tcW w:w="3595" w:type="dxa"/>
            <w:gridSpan w:val="4"/>
            <w:vAlign w:val="top"/>
          </w:tcPr>
          <w:p w14:paraId="40E35E77">
            <w:pPr>
              <w:pStyle w:val="6"/>
              <w:spacing w:before="194" w:line="220" w:lineRule="auto"/>
              <w:ind w:left="1336"/>
              <w:rPr>
                <w:sz w:val="23"/>
                <w:szCs w:val="23"/>
              </w:rPr>
            </w:pPr>
            <w:r>
              <w:rPr>
                <w:b/>
                <w:bCs/>
                <w:spacing w:val="-5"/>
                <w:sz w:val="23"/>
                <w:szCs w:val="23"/>
              </w:rPr>
              <w:t>主要措施</w:t>
            </w:r>
          </w:p>
        </w:tc>
        <w:tc>
          <w:tcPr>
            <w:tcW w:w="2522" w:type="dxa"/>
            <w:vAlign w:val="top"/>
          </w:tcPr>
          <w:p w14:paraId="318BAAB9">
            <w:pPr>
              <w:pStyle w:val="6"/>
              <w:spacing w:before="194" w:line="219" w:lineRule="auto"/>
              <w:ind w:left="801"/>
              <w:rPr>
                <w:sz w:val="23"/>
                <w:szCs w:val="23"/>
              </w:rPr>
            </w:pPr>
            <w:r>
              <w:rPr>
                <w:b/>
                <w:bCs/>
                <w:spacing w:val="-4"/>
                <w:sz w:val="23"/>
                <w:szCs w:val="23"/>
              </w:rPr>
              <w:t>验收要求</w:t>
            </w:r>
          </w:p>
        </w:tc>
      </w:tr>
      <w:tr w14:paraId="652D1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4" w:type="dxa"/>
            <w:vMerge w:val="continue"/>
            <w:tcBorders>
              <w:top w:val="nil"/>
              <w:bottom w:val="nil"/>
            </w:tcBorders>
            <w:vAlign w:val="top"/>
          </w:tcPr>
          <w:p w14:paraId="3CEC7629">
            <w:pPr>
              <w:rPr>
                <w:rFonts w:ascii="Arial"/>
                <w:sz w:val="21"/>
              </w:rPr>
            </w:pPr>
          </w:p>
        </w:tc>
        <w:tc>
          <w:tcPr>
            <w:tcW w:w="110" w:type="dxa"/>
            <w:tcBorders>
              <w:top w:val="nil"/>
              <w:bottom w:val="nil"/>
            </w:tcBorders>
            <w:vAlign w:val="top"/>
          </w:tcPr>
          <w:p w14:paraId="51D2AABC">
            <w:pPr>
              <w:rPr>
                <w:rFonts w:ascii="Arial"/>
                <w:sz w:val="21"/>
              </w:rPr>
            </w:pPr>
          </w:p>
        </w:tc>
        <w:tc>
          <w:tcPr>
            <w:tcW w:w="769" w:type="dxa"/>
            <w:vAlign w:val="top"/>
          </w:tcPr>
          <w:p w14:paraId="003F57AA">
            <w:pPr>
              <w:pStyle w:val="6"/>
              <w:spacing w:before="199" w:line="220" w:lineRule="auto"/>
              <w:ind w:left="140"/>
              <w:rPr>
                <w:sz w:val="23"/>
                <w:szCs w:val="23"/>
              </w:rPr>
            </w:pPr>
            <w:r>
              <w:rPr>
                <w:spacing w:val="7"/>
                <w:sz w:val="23"/>
                <w:szCs w:val="23"/>
              </w:rPr>
              <w:t>废气</w:t>
            </w:r>
          </w:p>
        </w:tc>
        <w:tc>
          <w:tcPr>
            <w:tcW w:w="1129" w:type="dxa"/>
            <w:vAlign w:val="top"/>
          </w:tcPr>
          <w:p w14:paraId="73581013">
            <w:pPr>
              <w:pStyle w:val="6"/>
              <w:spacing w:before="199" w:line="220" w:lineRule="auto"/>
              <w:ind w:left="91"/>
              <w:rPr>
                <w:sz w:val="23"/>
                <w:szCs w:val="23"/>
              </w:rPr>
            </w:pPr>
            <w:r>
              <w:rPr>
                <w:spacing w:val="3"/>
                <w:sz w:val="23"/>
                <w:szCs w:val="23"/>
              </w:rPr>
              <w:t>食堂油烟</w:t>
            </w:r>
          </w:p>
        </w:tc>
        <w:tc>
          <w:tcPr>
            <w:tcW w:w="3595" w:type="dxa"/>
            <w:gridSpan w:val="4"/>
            <w:vAlign w:val="top"/>
          </w:tcPr>
          <w:p w14:paraId="176F0996">
            <w:pPr>
              <w:pStyle w:val="6"/>
              <w:spacing w:before="98" w:line="201" w:lineRule="auto"/>
              <w:ind w:left="231" w:hanging="219"/>
              <w:rPr>
                <w:sz w:val="23"/>
                <w:szCs w:val="23"/>
              </w:rPr>
            </w:pPr>
            <w:r>
              <w:rPr>
                <w:spacing w:val="-7"/>
                <w:sz w:val="23"/>
                <w:szCs w:val="23"/>
              </w:rPr>
              <w:t>升压站食堂配套设置抽油烟机，食堂</w:t>
            </w:r>
            <w:r>
              <w:rPr>
                <w:spacing w:val="3"/>
                <w:sz w:val="23"/>
                <w:szCs w:val="23"/>
              </w:rPr>
              <w:t xml:space="preserve"> </w:t>
            </w:r>
            <w:r>
              <w:rPr>
                <w:spacing w:val="-1"/>
                <w:sz w:val="23"/>
                <w:szCs w:val="23"/>
              </w:rPr>
              <w:t>油烟经油烟机抽吸至楼顶排放。</w:t>
            </w:r>
          </w:p>
        </w:tc>
        <w:tc>
          <w:tcPr>
            <w:tcW w:w="2522" w:type="dxa"/>
            <w:vAlign w:val="top"/>
          </w:tcPr>
          <w:p w14:paraId="0F2C991F">
            <w:pPr>
              <w:pStyle w:val="6"/>
              <w:spacing w:before="205" w:line="224" w:lineRule="auto"/>
              <w:ind w:left="1197"/>
              <w:rPr>
                <w:sz w:val="23"/>
                <w:szCs w:val="23"/>
              </w:rPr>
            </w:pPr>
            <w:r>
              <w:rPr>
                <w:sz w:val="23"/>
                <w:szCs w:val="23"/>
              </w:rPr>
              <w:t>/</w:t>
            </w:r>
          </w:p>
        </w:tc>
      </w:tr>
      <w:tr w14:paraId="0808B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4" w:hRule="atLeast"/>
        </w:trPr>
        <w:tc>
          <w:tcPr>
            <w:tcW w:w="734" w:type="dxa"/>
            <w:vMerge w:val="continue"/>
            <w:tcBorders>
              <w:top w:val="nil"/>
            </w:tcBorders>
            <w:vAlign w:val="top"/>
          </w:tcPr>
          <w:p w14:paraId="083BDA3D">
            <w:pPr>
              <w:rPr>
                <w:rFonts w:ascii="Arial"/>
                <w:sz w:val="21"/>
              </w:rPr>
            </w:pPr>
          </w:p>
        </w:tc>
        <w:tc>
          <w:tcPr>
            <w:tcW w:w="110" w:type="dxa"/>
            <w:tcBorders>
              <w:top w:val="nil"/>
            </w:tcBorders>
            <w:vAlign w:val="top"/>
          </w:tcPr>
          <w:p w14:paraId="272A1042">
            <w:pPr>
              <w:rPr>
                <w:rFonts w:ascii="Arial"/>
                <w:sz w:val="21"/>
              </w:rPr>
            </w:pPr>
          </w:p>
        </w:tc>
        <w:tc>
          <w:tcPr>
            <w:tcW w:w="769" w:type="dxa"/>
            <w:vAlign w:val="top"/>
          </w:tcPr>
          <w:p w14:paraId="6ECDE587">
            <w:pPr>
              <w:spacing w:line="256" w:lineRule="auto"/>
              <w:rPr>
                <w:rFonts w:ascii="Arial"/>
                <w:sz w:val="21"/>
              </w:rPr>
            </w:pPr>
          </w:p>
          <w:p w14:paraId="31AF87CD">
            <w:pPr>
              <w:spacing w:line="256" w:lineRule="auto"/>
              <w:rPr>
                <w:rFonts w:ascii="Arial"/>
                <w:sz w:val="21"/>
              </w:rPr>
            </w:pPr>
          </w:p>
          <w:p w14:paraId="0E574B06">
            <w:pPr>
              <w:spacing w:line="257" w:lineRule="auto"/>
              <w:rPr>
                <w:rFonts w:ascii="Arial"/>
                <w:sz w:val="21"/>
              </w:rPr>
            </w:pPr>
          </w:p>
          <w:p w14:paraId="66E12FF2">
            <w:pPr>
              <w:pStyle w:val="6"/>
              <w:spacing w:before="75" w:line="219" w:lineRule="auto"/>
              <w:ind w:left="140"/>
              <w:rPr>
                <w:sz w:val="23"/>
                <w:szCs w:val="23"/>
              </w:rPr>
            </w:pPr>
            <w:r>
              <w:rPr>
                <w:spacing w:val="-3"/>
                <w:sz w:val="23"/>
                <w:szCs w:val="23"/>
              </w:rPr>
              <w:t>废水</w:t>
            </w:r>
          </w:p>
        </w:tc>
        <w:tc>
          <w:tcPr>
            <w:tcW w:w="1129" w:type="dxa"/>
            <w:vAlign w:val="top"/>
          </w:tcPr>
          <w:p w14:paraId="4F8CD162">
            <w:pPr>
              <w:spacing w:line="256" w:lineRule="auto"/>
              <w:rPr>
                <w:rFonts w:ascii="Arial"/>
                <w:sz w:val="21"/>
              </w:rPr>
            </w:pPr>
          </w:p>
          <w:p w14:paraId="401F4EA4">
            <w:pPr>
              <w:spacing w:line="256" w:lineRule="auto"/>
              <w:rPr>
                <w:rFonts w:ascii="Arial"/>
                <w:sz w:val="21"/>
              </w:rPr>
            </w:pPr>
          </w:p>
          <w:p w14:paraId="1A943D43">
            <w:pPr>
              <w:spacing w:line="257" w:lineRule="auto"/>
              <w:rPr>
                <w:rFonts w:ascii="Arial"/>
                <w:sz w:val="21"/>
              </w:rPr>
            </w:pPr>
          </w:p>
          <w:p w14:paraId="6F1394FB">
            <w:pPr>
              <w:pStyle w:val="6"/>
              <w:spacing w:before="75" w:line="219" w:lineRule="auto"/>
              <w:ind w:left="91"/>
              <w:rPr>
                <w:sz w:val="23"/>
                <w:szCs w:val="23"/>
              </w:rPr>
            </w:pPr>
            <w:r>
              <w:rPr>
                <w:spacing w:val="2"/>
                <w:sz w:val="23"/>
                <w:szCs w:val="23"/>
              </w:rPr>
              <w:t>生活污水</w:t>
            </w:r>
          </w:p>
        </w:tc>
        <w:tc>
          <w:tcPr>
            <w:tcW w:w="3595" w:type="dxa"/>
            <w:gridSpan w:val="4"/>
            <w:vAlign w:val="top"/>
          </w:tcPr>
          <w:p w14:paraId="22361843">
            <w:pPr>
              <w:pStyle w:val="6"/>
              <w:spacing w:before="39" w:line="219" w:lineRule="auto"/>
              <w:ind w:left="62"/>
              <w:rPr>
                <w:sz w:val="23"/>
                <w:szCs w:val="23"/>
              </w:rPr>
            </w:pPr>
            <w:r>
              <w:rPr>
                <w:sz w:val="23"/>
                <w:szCs w:val="23"/>
              </w:rPr>
              <w:t>生活污水经隔油池(食堂废水)、化</w:t>
            </w:r>
          </w:p>
          <w:p w14:paraId="45A3BCBC">
            <w:pPr>
              <w:pStyle w:val="6"/>
              <w:spacing w:before="16" w:line="217" w:lineRule="auto"/>
              <w:jc w:val="right"/>
              <w:rPr>
                <w:sz w:val="23"/>
                <w:szCs w:val="23"/>
              </w:rPr>
            </w:pPr>
            <w:r>
              <w:rPr>
                <w:spacing w:val="-16"/>
                <w:sz w:val="23"/>
                <w:szCs w:val="23"/>
              </w:rPr>
              <w:t>粪池预</w:t>
            </w:r>
            <w:r>
              <w:rPr>
                <w:spacing w:val="-15"/>
                <w:sz w:val="23"/>
                <w:szCs w:val="23"/>
              </w:rPr>
              <w:t>处理后进入项目拟建一体化</w:t>
            </w:r>
            <w:r>
              <w:rPr>
                <w:spacing w:val="-12"/>
                <w:sz w:val="23"/>
                <w:szCs w:val="23"/>
              </w:rPr>
              <w:t>污</w:t>
            </w:r>
          </w:p>
          <w:p w14:paraId="2B258B9C">
            <w:pPr>
              <w:pStyle w:val="6"/>
              <w:spacing w:line="217" w:lineRule="auto"/>
              <w:ind w:left="233"/>
              <w:rPr>
                <w:sz w:val="23"/>
                <w:szCs w:val="23"/>
              </w:rPr>
            </w:pPr>
            <w:r>
              <w:rPr>
                <w:sz w:val="23"/>
                <w:szCs w:val="23"/>
              </w:rPr>
              <w:t>水处理设备进行处理、不外排。</w:t>
            </w:r>
          </w:p>
          <w:p w14:paraId="0479DC5E">
            <w:pPr>
              <w:pStyle w:val="6"/>
              <w:spacing w:line="220" w:lineRule="auto"/>
              <w:jc w:val="right"/>
              <w:rPr>
                <w:sz w:val="23"/>
                <w:szCs w:val="23"/>
              </w:rPr>
            </w:pPr>
            <w:r>
              <w:rPr>
                <w:spacing w:val="-12"/>
                <w:sz w:val="23"/>
                <w:szCs w:val="23"/>
              </w:rPr>
              <w:t>其</w:t>
            </w:r>
            <w:r>
              <w:rPr>
                <w:spacing w:val="-11"/>
                <w:sz w:val="23"/>
                <w:szCs w:val="23"/>
              </w:rPr>
              <w:t>中要求隔油池容积不小于0.2m³;</w:t>
            </w:r>
            <w:r>
              <w:rPr>
                <w:spacing w:val="-10"/>
                <w:sz w:val="23"/>
                <w:szCs w:val="23"/>
              </w:rPr>
              <w:t>化</w:t>
            </w:r>
          </w:p>
          <w:p w14:paraId="529EA8F9">
            <w:pPr>
              <w:pStyle w:val="6"/>
              <w:spacing w:before="15" w:line="200" w:lineRule="auto"/>
              <w:ind w:left="2"/>
              <w:rPr>
                <w:sz w:val="23"/>
                <w:szCs w:val="23"/>
              </w:rPr>
            </w:pPr>
            <w:r>
              <w:rPr>
                <w:spacing w:val="7"/>
                <w:sz w:val="23"/>
                <w:szCs w:val="23"/>
              </w:rPr>
              <w:t>粪池容积不小于1m³;一体化污水处</w:t>
            </w:r>
          </w:p>
          <w:p w14:paraId="6BB1772A">
            <w:pPr>
              <w:pStyle w:val="6"/>
              <w:spacing w:line="214" w:lineRule="auto"/>
              <w:ind w:left="2"/>
              <w:rPr>
                <w:sz w:val="23"/>
                <w:szCs w:val="23"/>
              </w:rPr>
            </w:pPr>
            <w:r>
              <w:rPr>
                <w:sz w:val="23"/>
                <w:szCs w:val="23"/>
              </w:rPr>
              <w:t>理设备采用“预处理+AO”工艺，处</w:t>
            </w:r>
          </w:p>
          <w:p w14:paraId="4457B654">
            <w:pPr>
              <w:pStyle w:val="6"/>
              <w:spacing w:line="183" w:lineRule="auto"/>
              <w:ind w:left="182"/>
              <w:rPr>
                <w:sz w:val="23"/>
                <w:szCs w:val="23"/>
              </w:rPr>
            </w:pPr>
            <w:r>
              <w:rPr>
                <w:spacing w:val="12"/>
                <w:sz w:val="23"/>
                <w:szCs w:val="23"/>
              </w:rPr>
              <w:t>理规模2m³/d,中水储存池4m³。</w:t>
            </w:r>
          </w:p>
        </w:tc>
        <w:tc>
          <w:tcPr>
            <w:tcW w:w="2522" w:type="dxa"/>
            <w:vAlign w:val="top"/>
          </w:tcPr>
          <w:p w14:paraId="2A9222E1">
            <w:pPr>
              <w:spacing w:line="372" w:lineRule="auto"/>
              <w:rPr>
                <w:rFonts w:ascii="Arial"/>
                <w:sz w:val="21"/>
              </w:rPr>
            </w:pPr>
          </w:p>
          <w:p w14:paraId="3C36F385">
            <w:pPr>
              <w:pStyle w:val="6"/>
              <w:spacing w:before="75" w:line="219" w:lineRule="auto"/>
              <w:jc w:val="right"/>
              <w:rPr>
                <w:sz w:val="23"/>
                <w:szCs w:val="23"/>
              </w:rPr>
            </w:pPr>
            <w:r>
              <w:rPr>
                <w:spacing w:val="-12"/>
                <w:sz w:val="23"/>
                <w:szCs w:val="23"/>
              </w:rPr>
              <w:t>《城市污水再生利用城市</w:t>
            </w:r>
          </w:p>
          <w:p w14:paraId="76699F2E">
            <w:pPr>
              <w:pStyle w:val="6"/>
              <w:spacing w:before="17" w:line="219" w:lineRule="auto"/>
              <w:ind w:left="617"/>
              <w:rPr>
                <w:sz w:val="23"/>
                <w:szCs w:val="23"/>
              </w:rPr>
            </w:pPr>
            <w:r>
              <w:rPr>
                <w:sz w:val="23"/>
                <w:szCs w:val="23"/>
              </w:rPr>
              <w:t>杂用水水质》</w:t>
            </w:r>
          </w:p>
          <w:p w14:paraId="3F2434AF">
            <w:pPr>
              <w:pStyle w:val="6"/>
              <w:spacing w:before="6" w:line="209" w:lineRule="auto"/>
              <w:ind w:left="107"/>
              <w:rPr>
                <w:sz w:val="23"/>
                <w:szCs w:val="23"/>
              </w:rPr>
            </w:pPr>
            <w:r>
              <w:rPr>
                <w:sz w:val="23"/>
                <w:szCs w:val="23"/>
              </w:rPr>
              <w:t>(GB/T18920-2020)中城</w:t>
            </w:r>
          </w:p>
          <w:p w14:paraId="11E8EDCE">
            <w:pPr>
              <w:pStyle w:val="6"/>
              <w:spacing w:line="219" w:lineRule="auto"/>
              <w:ind w:left="448"/>
              <w:rPr>
                <w:sz w:val="23"/>
                <w:szCs w:val="23"/>
              </w:rPr>
            </w:pPr>
            <w:r>
              <w:rPr>
                <w:spacing w:val="1"/>
                <w:sz w:val="23"/>
                <w:szCs w:val="23"/>
              </w:rPr>
              <w:t>市绿化用水标准</w:t>
            </w:r>
          </w:p>
        </w:tc>
      </w:tr>
    </w:tbl>
    <w:p w14:paraId="22AB6C5F">
      <w:pPr>
        <w:pStyle w:val="2"/>
      </w:pPr>
    </w:p>
    <w:p w14:paraId="22CF55AF">
      <w:pPr>
        <w:sectPr>
          <w:footerReference r:id="rId130" w:type="default"/>
          <w:pgSz w:w="11910" w:h="16840"/>
          <w:pgMar w:top="1431" w:right="1594" w:bottom="1255" w:left="1445" w:header="0" w:footer="1093" w:gutter="0"/>
          <w:cols w:space="720" w:num="1"/>
        </w:sectPr>
      </w:pPr>
    </w:p>
    <w:p w14:paraId="0087FFC6">
      <w:pPr>
        <w:spacing w:line="93" w:lineRule="exact"/>
      </w:pPr>
    </w:p>
    <w:tbl>
      <w:tblPr>
        <w:tblStyle w:val="5"/>
        <w:tblW w:w="89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100"/>
        <w:gridCol w:w="369"/>
        <w:gridCol w:w="400"/>
        <w:gridCol w:w="240"/>
        <w:gridCol w:w="869"/>
        <w:gridCol w:w="349"/>
        <w:gridCol w:w="3246"/>
        <w:gridCol w:w="270"/>
        <w:gridCol w:w="1149"/>
        <w:gridCol w:w="1099"/>
        <w:gridCol w:w="135"/>
      </w:tblGrid>
      <w:tr w14:paraId="6A00A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754" w:type="dxa"/>
            <w:vMerge w:val="restart"/>
            <w:tcBorders>
              <w:bottom w:val="nil"/>
            </w:tcBorders>
            <w:vAlign w:val="top"/>
          </w:tcPr>
          <w:p w14:paraId="6E713D86">
            <w:pPr>
              <w:rPr>
                <w:rFonts w:ascii="Arial"/>
                <w:sz w:val="21"/>
              </w:rPr>
            </w:pPr>
          </w:p>
        </w:tc>
        <w:tc>
          <w:tcPr>
            <w:tcW w:w="100" w:type="dxa"/>
            <w:tcBorders>
              <w:bottom w:val="nil"/>
            </w:tcBorders>
            <w:shd w:val="clear" w:color="auto" w:fill="FFFFFF"/>
            <w:vAlign w:val="top"/>
          </w:tcPr>
          <w:p w14:paraId="47EB051A">
            <w:pPr>
              <w:rPr>
                <w:rFonts w:ascii="Arial"/>
                <w:sz w:val="21"/>
              </w:rPr>
            </w:pPr>
          </w:p>
        </w:tc>
        <w:tc>
          <w:tcPr>
            <w:tcW w:w="769" w:type="dxa"/>
            <w:gridSpan w:val="2"/>
            <w:vAlign w:val="top"/>
          </w:tcPr>
          <w:p w14:paraId="4AE95EFD">
            <w:pPr>
              <w:rPr>
                <w:rFonts w:ascii="Arial"/>
                <w:sz w:val="21"/>
              </w:rPr>
            </w:pPr>
          </w:p>
        </w:tc>
        <w:tc>
          <w:tcPr>
            <w:tcW w:w="1109" w:type="dxa"/>
            <w:gridSpan w:val="2"/>
            <w:vAlign w:val="top"/>
          </w:tcPr>
          <w:p w14:paraId="58BB64CE">
            <w:pPr>
              <w:spacing w:line="252" w:lineRule="auto"/>
              <w:rPr>
                <w:rFonts w:ascii="Arial"/>
                <w:sz w:val="21"/>
              </w:rPr>
            </w:pPr>
          </w:p>
          <w:p w14:paraId="06A56759">
            <w:pPr>
              <w:pStyle w:val="6"/>
              <w:spacing w:before="68" w:line="219" w:lineRule="auto"/>
              <w:ind w:left="121"/>
              <w:rPr>
                <w:sz w:val="21"/>
                <w:szCs w:val="21"/>
              </w:rPr>
            </w:pPr>
            <w:r>
              <w:rPr>
                <w:spacing w:val="-2"/>
                <w:sz w:val="21"/>
                <w:szCs w:val="21"/>
              </w:rPr>
              <w:t>光伏组件</w:t>
            </w:r>
          </w:p>
          <w:p w14:paraId="5E78F753">
            <w:pPr>
              <w:pStyle w:val="6"/>
              <w:spacing w:before="32" w:line="219" w:lineRule="auto"/>
              <w:ind w:left="121"/>
              <w:rPr>
                <w:sz w:val="21"/>
                <w:szCs w:val="21"/>
              </w:rPr>
            </w:pPr>
            <w:r>
              <w:rPr>
                <w:spacing w:val="-2"/>
                <w:sz w:val="21"/>
                <w:szCs w:val="21"/>
              </w:rPr>
              <w:t>清洗废水</w:t>
            </w:r>
          </w:p>
        </w:tc>
        <w:tc>
          <w:tcPr>
            <w:tcW w:w="3595" w:type="dxa"/>
            <w:gridSpan w:val="2"/>
            <w:vAlign w:val="top"/>
          </w:tcPr>
          <w:p w14:paraId="2A8465A9">
            <w:pPr>
              <w:pStyle w:val="6"/>
              <w:spacing w:before="52" w:line="219" w:lineRule="auto"/>
              <w:ind w:left="112"/>
              <w:rPr>
                <w:sz w:val="21"/>
                <w:szCs w:val="21"/>
              </w:rPr>
            </w:pPr>
            <w:r>
              <w:rPr>
                <w:spacing w:val="-1"/>
                <w:sz w:val="21"/>
                <w:szCs w:val="21"/>
              </w:rPr>
              <w:t>光伏电池板清洗废水直接顺着流在光</w:t>
            </w:r>
          </w:p>
          <w:p w14:paraId="6E5ADC94">
            <w:pPr>
              <w:pStyle w:val="6"/>
              <w:spacing w:before="30" w:line="219" w:lineRule="auto"/>
              <w:ind w:left="112"/>
              <w:rPr>
                <w:sz w:val="21"/>
                <w:szCs w:val="21"/>
              </w:rPr>
            </w:pPr>
            <w:r>
              <w:rPr>
                <w:sz w:val="21"/>
                <w:szCs w:val="21"/>
              </w:rPr>
              <w:t>伏板下面的农作物上，作为农作物灌</w:t>
            </w:r>
          </w:p>
          <w:p w14:paraId="372352E3">
            <w:pPr>
              <w:pStyle w:val="6"/>
              <w:spacing w:before="32" w:line="219" w:lineRule="auto"/>
              <w:ind w:left="112"/>
              <w:rPr>
                <w:sz w:val="21"/>
                <w:szCs w:val="21"/>
              </w:rPr>
            </w:pPr>
            <w:r>
              <w:rPr>
                <w:spacing w:val="-1"/>
                <w:sz w:val="21"/>
                <w:szCs w:val="21"/>
              </w:rPr>
              <w:t>溉补充水，不外排，清洗时间选择在</w:t>
            </w:r>
          </w:p>
          <w:p w14:paraId="4BFAF1C9">
            <w:pPr>
              <w:pStyle w:val="6"/>
              <w:spacing w:before="10" w:line="219" w:lineRule="auto"/>
              <w:ind w:left="682"/>
              <w:rPr>
                <w:sz w:val="21"/>
                <w:szCs w:val="21"/>
              </w:rPr>
            </w:pPr>
            <w:r>
              <w:rPr>
                <w:sz w:val="21"/>
                <w:szCs w:val="21"/>
              </w:rPr>
              <w:t>农作物可浇灌期间进行。</w:t>
            </w:r>
          </w:p>
        </w:tc>
        <w:tc>
          <w:tcPr>
            <w:tcW w:w="2518" w:type="dxa"/>
            <w:gridSpan w:val="3"/>
            <w:vAlign w:val="top"/>
          </w:tcPr>
          <w:p w14:paraId="24549AF4">
            <w:pPr>
              <w:spacing w:line="398" w:lineRule="auto"/>
              <w:rPr>
                <w:rFonts w:ascii="Arial"/>
                <w:sz w:val="21"/>
              </w:rPr>
            </w:pPr>
          </w:p>
          <w:p w14:paraId="294AD9AF">
            <w:pPr>
              <w:pStyle w:val="6"/>
              <w:spacing w:before="69" w:line="224" w:lineRule="auto"/>
              <w:ind w:left="1197"/>
              <w:rPr>
                <w:sz w:val="21"/>
                <w:szCs w:val="21"/>
              </w:rPr>
            </w:pPr>
            <w:r>
              <w:rPr>
                <w:sz w:val="21"/>
                <w:szCs w:val="21"/>
              </w:rPr>
              <w:t>/</w:t>
            </w:r>
          </w:p>
        </w:tc>
        <w:tc>
          <w:tcPr>
            <w:tcW w:w="135" w:type="dxa"/>
            <w:tcBorders>
              <w:bottom w:val="nil"/>
            </w:tcBorders>
            <w:vAlign w:val="top"/>
          </w:tcPr>
          <w:p w14:paraId="005616FD">
            <w:pPr>
              <w:rPr>
                <w:rFonts w:ascii="Arial"/>
                <w:sz w:val="21"/>
              </w:rPr>
            </w:pPr>
          </w:p>
        </w:tc>
      </w:tr>
      <w:tr w14:paraId="25488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54" w:type="dxa"/>
            <w:vMerge w:val="continue"/>
            <w:tcBorders>
              <w:top w:val="nil"/>
              <w:bottom w:val="nil"/>
            </w:tcBorders>
            <w:vAlign w:val="top"/>
          </w:tcPr>
          <w:p w14:paraId="5E7F736E">
            <w:pPr>
              <w:rPr>
                <w:rFonts w:ascii="Arial"/>
                <w:sz w:val="21"/>
              </w:rPr>
            </w:pPr>
          </w:p>
        </w:tc>
        <w:tc>
          <w:tcPr>
            <w:tcW w:w="100" w:type="dxa"/>
            <w:tcBorders>
              <w:top w:val="nil"/>
              <w:bottom w:val="nil"/>
            </w:tcBorders>
            <w:shd w:val="clear" w:color="auto" w:fill="FFFFFF"/>
            <w:vAlign w:val="top"/>
          </w:tcPr>
          <w:p w14:paraId="29625489">
            <w:pPr>
              <w:rPr>
                <w:rFonts w:ascii="Arial"/>
                <w:sz w:val="21"/>
              </w:rPr>
            </w:pPr>
          </w:p>
        </w:tc>
        <w:tc>
          <w:tcPr>
            <w:tcW w:w="769" w:type="dxa"/>
            <w:gridSpan w:val="2"/>
            <w:vAlign w:val="top"/>
          </w:tcPr>
          <w:p w14:paraId="486543AC">
            <w:pPr>
              <w:pStyle w:val="6"/>
              <w:spacing w:before="200" w:line="220" w:lineRule="auto"/>
              <w:ind w:left="160"/>
              <w:rPr>
                <w:sz w:val="21"/>
                <w:szCs w:val="21"/>
              </w:rPr>
            </w:pPr>
            <w:r>
              <w:rPr>
                <w:spacing w:val="6"/>
                <w:sz w:val="21"/>
                <w:szCs w:val="21"/>
              </w:rPr>
              <w:t>噪声</w:t>
            </w:r>
          </w:p>
        </w:tc>
        <w:tc>
          <w:tcPr>
            <w:tcW w:w="1109" w:type="dxa"/>
            <w:gridSpan w:val="2"/>
            <w:vAlign w:val="top"/>
          </w:tcPr>
          <w:p w14:paraId="6AE933A8">
            <w:pPr>
              <w:pStyle w:val="6"/>
              <w:spacing w:before="70" w:line="220" w:lineRule="auto"/>
              <w:ind w:left="121"/>
              <w:rPr>
                <w:sz w:val="21"/>
                <w:szCs w:val="21"/>
              </w:rPr>
            </w:pPr>
            <w:r>
              <w:rPr>
                <w:spacing w:val="2"/>
                <w:sz w:val="21"/>
                <w:szCs w:val="21"/>
              </w:rPr>
              <w:t>设备运行</w:t>
            </w:r>
          </w:p>
          <w:p w14:paraId="4DBCA93D">
            <w:pPr>
              <w:pStyle w:val="6"/>
              <w:spacing w:before="29" w:line="219" w:lineRule="auto"/>
              <w:ind w:left="331"/>
              <w:rPr>
                <w:sz w:val="21"/>
                <w:szCs w:val="21"/>
              </w:rPr>
            </w:pPr>
            <w:r>
              <w:rPr>
                <w:spacing w:val="6"/>
                <w:sz w:val="21"/>
                <w:szCs w:val="21"/>
              </w:rPr>
              <w:t>噪声</w:t>
            </w:r>
          </w:p>
        </w:tc>
        <w:tc>
          <w:tcPr>
            <w:tcW w:w="3595" w:type="dxa"/>
            <w:gridSpan w:val="2"/>
            <w:vAlign w:val="top"/>
          </w:tcPr>
          <w:p w14:paraId="3432BEFA">
            <w:pPr>
              <w:pStyle w:val="6"/>
              <w:spacing w:before="200" w:line="220" w:lineRule="auto"/>
              <w:ind w:left="212"/>
              <w:rPr>
                <w:sz w:val="21"/>
                <w:szCs w:val="21"/>
              </w:rPr>
            </w:pPr>
            <w:r>
              <w:rPr>
                <w:spacing w:val="-1"/>
                <w:sz w:val="21"/>
                <w:szCs w:val="21"/>
              </w:rPr>
              <w:t>基础减振、建筑物隔声、距离衰减</w:t>
            </w:r>
          </w:p>
        </w:tc>
        <w:tc>
          <w:tcPr>
            <w:tcW w:w="2518" w:type="dxa"/>
            <w:gridSpan w:val="3"/>
            <w:vAlign w:val="top"/>
          </w:tcPr>
          <w:p w14:paraId="77DD50B9">
            <w:pPr>
              <w:pStyle w:val="6"/>
              <w:spacing w:before="71" w:line="232" w:lineRule="auto"/>
              <w:ind w:left="566" w:right="149" w:hanging="524"/>
              <w:rPr>
                <w:sz w:val="21"/>
                <w:szCs w:val="21"/>
              </w:rPr>
            </w:pPr>
            <w:r>
              <w:rPr>
                <w:sz w:val="21"/>
                <w:szCs w:val="21"/>
              </w:rPr>
              <w:t>《工业企业厂界环境噪声</w:t>
            </w:r>
            <w:r>
              <w:rPr>
                <w:spacing w:val="4"/>
                <w:sz w:val="21"/>
                <w:szCs w:val="21"/>
              </w:rPr>
              <w:t xml:space="preserve"> </w:t>
            </w:r>
            <w:r>
              <w:rPr>
                <w:spacing w:val="2"/>
                <w:sz w:val="21"/>
                <w:szCs w:val="21"/>
              </w:rPr>
              <w:t>排放标准》1类</w:t>
            </w:r>
          </w:p>
        </w:tc>
        <w:tc>
          <w:tcPr>
            <w:tcW w:w="135" w:type="dxa"/>
            <w:tcBorders>
              <w:top w:val="nil"/>
              <w:bottom w:val="nil"/>
            </w:tcBorders>
            <w:vAlign w:val="top"/>
          </w:tcPr>
          <w:p w14:paraId="1E038B71">
            <w:pPr>
              <w:rPr>
                <w:rFonts w:ascii="Arial"/>
                <w:sz w:val="21"/>
              </w:rPr>
            </w:pPr>
          </w:p>
        </w:tc>
      </w:tr>
      <w:tr w14:paraId="4F2A6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trPr>
        <w:tc>
          <w:tcPr>
            <w:tcW w:w="754" w:type="dxa"/>
            <w:vMerge w:val="continue"/>
            <w:tcBorders>
              <w:top w:val="nil"/>
              <w:bottom w:val="nil"/>
            </w:tcBorders>
            <w:vAlign w:val="top"/>
          </w:tcPr>
          <w:p w14:paraId="5A93727D">
            <w:pPr>
              <w:rPr>
                <w:rFonts w:ascii="Arial"/>
                <w:sz w:val="21"/>
              </w:rPr>
            </w:pPr>
          </w:p>
        </w:tc>
        <w:tc>
          <w:tcPr>
            <w:tcW w:w="100" w:type="dxa"/>
            <w:tcBorders>
              <w:top w:val="nil"/>
              <w:bottom w:val="nil"/>
            </w:tcBorders>
            <w:shd w:val="clear" w:color="auto" w:fill="FFFFFF"/>
            <w:vAlign w:val="top"/>
          </w:tcPr>
          <w:p w14:paraId="328A7BC9">
            <w:pPr>
              <w:rPr>
                <w:rFonts w:ascii="Arial"/>
                <w:sz w:val="21"/>
              </w:rPr>
            </w:pPr>
          </w:p>
        </w:tc>
        <w:tc>
          <w:tcPr>
            <w:tcW w:w="769" w:type="dxa"/>
            <w:gridSpan w:val="2"/>
            <w:vMerge w:val="restart"/>
            <w:tcBorders>
              <w:bottom w:val="nil"/>
            </w:tcBorders>
            <w:vAlign w:val="top"/>
          </w:tcPr>
          <w:p w14:paraId="11962887">
            <w:pPr>
              <w:spacing w:line="273" w:lineRule="auto"/>
              <w:rPr>
                <w:rFonts w:ascii="Arial"/>
                <w:sz w:val="21"/>
              </w:rPr>
            </w:pPr>
          </w:p>
          <w:p w14:paraId="7881D9EF">
            <w:pPr>
              <w:spacing w:line="273" w:lineRule="auto"/>
              <w:rPr>
                <w:rFonts w:ascii="Arial"/>
                <w:sz w:val="21"/>
              </w:rPr>
            </w:pPr>
          </w:p>
          <w:p w14:paraId="79FD2AEE">
            <w:pPr>
              <w:spacing w:line="273" w:lineRule="auto"/>
              <w:rPr>
                <w:rFonts w:ascii="Arial"/>
                <w:sz w:val="21"/>
              </w:rPr>
            </w:pPr>
          </w:p>
          <w:p w14:paraId="27055D61">
            <w:pPr>
              <w:spacing w:line="273" w:lineRule="auto"/>
              <w:rPr>
                <w:rFonts w:ascii="Arial"/>
                <w:sz w:val="21"/>
              </w:rPr>
            </w:pPr>
          </w:p>
          <w:p w14:paraId="770D238A">
            <w:pPr>
              <w:spacing w:line="273" w:lineRule="auto"/>
              <w:rPr>
                <w:rFonts w:ascii="Arial"/>
                <w:sz w:val="21"/>
              </w:rPr>
            </w:pPr>
          </w:p>
          <w:p w14:paraId="198565AB">
            <w:pPr>
              <w:spacing w:line="273" w:lineRule="auto"/>
              <w:rPr>
                <w:rFonts w:ascii="Arial"/>
                <w:sz w:val="21"/>
              </w:rPr>
            </w:pPr>
          </w:p>
          <w:p w14:paraId="75DF61CE">
            <w:pPr>
              <w:spacing w:line="273" w:lineRule="auto"/>
              <w:rPr>
                <w:rFonts w:ascii="Arial"/>
                <w:sz w:val="21"/>
              </w:rPr>
            </w:pPr>
          </w:p>
          <w:p w14:paraId="68C7D8A2">
            <w:pPr>
              <w:pStyle w:val="6"/>
              <w:spacing w:before="68" w:line="220" w:lineRule="auto"/>
              <w:ind w:left="160"/>
              <w:rPr>
                <w:sz w:val="21"/>
                <w:szCs w:val="21"/>
              </w:rPr>
            </w:pPr>
            <w:r>
              <w:rPr>
                <w:spacing w:val="5"/>
                <w:sz w:val="21"/>
                <w:szCs w:val="21"/>
              </w:rPr>
              <w:t>固废</w:t>
            </w:r>
          </w:p>
        </w:tc>
        <w:tc>
          <w:tcPr>
            <w:tcW w:w="1109" w:type="dxa"/>
            <w:gridSpan w:val="2"/>
            <w:vAlign w:val="top"/>
          </w:tcPr>
          <w:p w14:paraId="41BC51F7">
            <w:pPr>
              <w:spacing w:line="301" w:lineRule="auto"/>
              <w:rPr>
                <w:rFonts w:ascii="Arial"/>
                <w:sz w:val="21"/>
              </w:rPr>
            </w:pPr>
          </w:p>
          <w:p w14:paraId="1A5FB437">
            <w:pPr>
              <w:pStyle w:val="6"/>
              <w:spacing w:before="68" w:line="220" w:lineRule="auto"/>
              <w:ind w:left="121"/>
              <w:rPr>
                <w:sz w:val="21"/>
                <w:szCs w:val="21"/>
              </w:rPr>
            </w:pPr>
            <w:r>
              <w:rPr>
                <w:spacing w:val="5"/>
                <w:sz w:val="21"/>
                <w:szCs w:val="21"/>
              </w:rPr>
              <w:t>废旧太阳</w:t>
            </w:r>
          </w:p>
          <w:p w14:paraId="4E67C719">
            <w:pPr>
              <w:pStyle w:val="6"/>
              <w:spacing w:before="17" w:line="219" w:lineRule="auto"/>
              <w:ind w:left="121"/>
              <w:rPr>
                <w:sz w:val="21"/>
                <w:szCs w:val="21"/>
              </w:rPr>
            </w:pPr>
            <w:r>
              <w:rPr>
                <w:spacing w:val="2"/>
                <w:sz w:val="21"/>
                <w:szCs w:val="21"/>
              </w:rPr>
              <w:t>能电池板</w:t>
            </w:r>
          </w:p>
        </w:tc>
        <w:tc>
          <w:tcPr>
            <w:tcW w:w="3595" w:type="dxa"/>
            <w:gridSpan w:val="2"/>
            <w:vAlign w:val="top"/>
          </w:tcPr>
          <w:p w14:paraId="7AD3F164">
            <w:pPr>
              <w:pStyle w:val="6"/>
              <w:spacing w:before="100" w:line="219" w:lineRule="auto"/>
              <w:ind w:left="162"/>
              <w:rPr>
                <w:sz w:val="21"/>
                <w:szCs w:val="21"/>
              </w:rPr>
            </w:pPr>
            <w:r>
              <w:rPr>
                <w:spacing w:val="-1"/>
                <w:sz w:val="21"/>
                <w:szCs w:val="21"/>
              </w:rPr>
              <w:t>收集后暂存于一般固体废物暂存间，</w:t>
            </w:r>
          </w:p>
          <w:p w14:paraId="448AA792">
            <w:pPr>
              <w:pStyle w:val="6"/>
              <w:spacing w:before="40" w:line="219" w:lineRule="auto"/>
              <w:ind w:left="112"/>
              <w:rPr>
                <w:sz w:val="21"/>
                <w:szCs w:val="21"/>
              </w:rPr>
            </w:pPr>
            <w:r>
              <w:rPr>
                <w:sz w:val="21"/>
                <w:szCs w:val="21"/>
              </w:rPr>
              <w:t>由厂家回收，循环利用，禁止随意堆</w:t>
            </w:r>
          </w:p>
          <w:p w14:paraId="01120828">
            <w:pPr>
              <w:pStyle w:val="6"/>
              <w:spacing w:before="9" w:line="219" w:lineRule="auto"/>
              <w:jc w:val="right"/>
              <w:rPr>
                <w:sz w:val="21"/>
                <w:szCs w:val="21"/>
              </w:rPr>
            </w:pPr>
            <w:r>
              <w:rPr>
                <w:spacing w:val="6"/>
                <w:sz w:val="21"/>
                <w:szCs w:val="21"/>
              </w:rPr>
              <w:t>存，升压站拟设置1间占地面积为20m²</w:t>
            </w:r>
          </w:p>
          <w:p w14:paraId="36D65AD9">
            <w:pPr>
              <w:pStyle w:val="6"/>
              <w:spacing w:before="12" w:line="219" w:lineRule="auto"/>
              <w:ind w:left="742"/>
              <w:rPr>
                <w:sz w:val="21"/>
                <w:szCs w:val="21"/>
              </w:rPr>
            </w:pPr>
            <w:r>
              <w:rPr>
                <w:spacing w:val="2"/>
                <w:sz w:val="21"/>
                <w:szCs w:val="21"/>
              </w:rPr>
              <w:t>的一般固体废物暂存间</w:t>
            </w:r>
          </w:p>
        </w:tc>
        <w:tc>
          <w:tcPr>
            <w:tcW w:w="2518" w:type="dxa"/>
            <w:gridSpan w:val="3"/>
            <w:vMerge w:val="restart"/>
            <w:tcBorders>
              <w:bottom w:val="nil"/>
            </w:tcBorders>
            <w:vAlign w:val="top"/>
          </w:tcPr>
          <w:p w14:paraId="161A3235">
            <w:pPr>
              <w:spacing w:line="272" w:lineRule="auto"/>
              <w:rPr>
                <w:rFonts w:ascii="Arial"/>
                <w:sz w:val="21"/>
              </w:rPr>
            </w:pPr>
          </w:p>
          <w:p w14:paraId="6E531F8A">
            <w:pPr>
              <w:spacing w:line="273" w:lineRule="auto"/>
              <w:rPr>
                <w:rFonts w:ascii="Arial"/>
                <w:sz w:val="21"/>
              </w:rPr>
            </w:pPr>
          </w:p>
          <w:p w14:paraId="0AEB3156">
            <w:pPr>
              <w:spacing w:line="273" w:lineRule="auto"/>
              <w:rPr>
                <w:rFonts w:ascii="Arial"/>
                <w:sz w:val="21"/>
              </w:rPr>
            </w:pPr>
          </w:p>
          <w:p w14:paraId="0F45CCF1">
            <w:pPr>
              <w:spacing w:line="273" w:lineRule="auto"/>
              <w:rPr>
                <w:rFonts w:ascii="Arial"/>
                <w:sz w:val="21"/>
              </w:rPr>
            </w:pPr>
          </w:p>
          <w:p w14:paraId="6C9CEA66">
            <w:pPr>
              <w:spacing w:line="273" w:lineRule="auto"/>
              <w:rPr>
                <w:rFonts w:ascii="Arial"/>
                <w:sz w:val="21"/>
              </w:rPr>
            </w:pPr>
          </w:p>
          <w:p w14:paraId="1322CBE3">
            <w:pPr>
              <w:spacing w:line="273" w:lineRule="auto"/>
              <w:rPr>
                <w:rFonts w:ascii="Arial"/>
                <w:sz w:val="21"/>
              </w:rPr>
            </w:pPr>
          </w:p>
          <w:p w14:paraId="7EDAAA17">
            <w:pPr>
              <w:spacing w:line="273" w:lineRule="auto"/>
              <w:rPr>
                <w:rFonts w:ascii="Arial"/>
                <w:sz w:val="21"/>
              </w:rPr>
            </w:pPr>
          </w:p>
          <w:p w14:paraId="7328D4E3">
            <w:pPr>
              <w:pStyle w:val="6"/>
              <w:spacing w:before="68" w:line="219" w:lineRule="auto"/>
              <w:ind w:left="517"/>
              <w:rPr>
                <w:sz w:val="21"/>
                <w:szCs w:val="21"/>
              </w:rPr>
            </w:pPr>
            <w:r>
              <w:rPr>
                <w:sz w:val="21"/>
                <w:szCs w:val="21"/>
              </w:rPr>
              <w:t>收集处置率100%</w:t>
            </w:r>
          </w:p>
        </w:tc>
        <w:tc>
          <w:tcPr>
            <w:tcW w:w="135" w:type="dxa"/>
            <w:tcBorders>
              <w:top w:val="nil"/>
              <w:bottom w:val="nil"/>
            </w:tcBorders>
            <w:vAlign w:val="top"/>
          </w:tcPr>
          <w:p w14:paraId="2F6ED70C">
            <w:pPr>
              <w:rPr>
                <w:rFonts w:ascii="Arial"/>
                <w:sz w:val="21"/>
              </w:rPr>
            </w:pPr>
          </w:p>
        </w:tc>
      </w:tr>
      <w:tr w14:paraId="72198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754" w:type="dxa"/>
            <w:vMerge w:val="continue"/>
            <w:tcBorders>
              <w:top w:val="nil"/>
              <w:bottom w:val="nil"/>
            </w:tcBorders>
            <w:vAlign w:val="top"/>
          </w:tcPr>
          <w:p w14:paraId="5ACC6F72">
            <w:pPr>
              <w:rPr>
                <w:rFonts w:ascii="Arial"/>
                <w:sz w:val="21"/>
              </w:rPr>
            </w:pPr>
          </w:p>
        </w:tc>
        <w:tc>
          <w:tcPr>
            <w:tcW w:w="100" w:type="dxa"/>
            <w:tcBorders>
              <w:top w:val="nil"/>
              <w:bottom w:val="nil"/>
            </w:tcBorders>
            <w:shd w:val="clear" w:color="auto" w:fill="FFFFFF"/>
            <w:vAlign w:val="top"/>
          </w:tcPr>
          <w:p w14:paraId="6BAFDA6D">
            <w:pPr>
              <w:rPr>
                <w:rFonts w:ascii="Arial"/>
                <w:sz w:val="21"/>
              </w:rPr>
            </w:pPr>
          </w:p>
        </w:tc>
        <w:tc>
          <w:tcPr>
            <w:tcW w:w="769" w:type="dxa"/>
            <w:gridSpan w:val="2"/>
            <w:vMerge w:val="continue"/>
            <w:tcBorders>
              <w:top w:val="nil"/>
              <w:bottom w:val="nil"/>
            </w:tcBorders>
            <w:vAlign w:val="top"/>
          </w:tcPr>
          <w:p w14:paraId="08E9645A">
            <w:pPr>
              <w:rPr>
                <w:rFonts w:ascii="Arial"/>
                <w:sz w:val="21"/>
              </w:rPr>
            </w:pPr>
          </w:p>
        </w:tc>
        <w:tc>
          <w:tcPr>
            <w:tcW w:w="1109" w:type="dxa"/>
            <w:gridSpan w:val="2"/>
            <w:vAlign w:val="top"/>
          </w:tcPr>
          <w:p w14:paraId="62B31DAD">
            <w:pPr>
              <w:pStyle w:val="6"/>
              <w:spacing w:before="217" w:line="220" w:lineRule="auto"/>
              <w:ind w:left="121"/>
              <w:rPr>
                <w:sz w:val="21"/>
                <w:szCs w:val="21"/>
              </w:rPr>
            </w:pPr>
            <w:r>
              <w:rPr>
                <w:spacing w:val="-2"/>
                <w:sz w:val="21"/>
                <w:szCs w:val="21"/>
              </w:rPr>
              <w:t>生活垃圾</w:t>
            </w:r>
          </w:p>
        </w:tc>
        <w:tc>
          <w:tcPr>
            <w:tcW w:w="3595" w:type="dxa"/>
            <w:gridSpan w:val="2"/>
            <w:vAlign w:val="top"/>
          </w:tcPr>
          <w:p w14:paraId="427F737E">
            <w:pPr>
              <w:pStyle w:val="6"/>
              <w:spacing w:before="65" w:line="233" w:lineRule="auto"/>
              <w:ind w:left="631" w:right="67" w:hanging="469"/>
              <w:rPr>
                <w:sz w:val="21"/>
                <w:szCs w:val="21"/>
              </w:rPr>
            </w:pPr>
            <w:r>
              <w:rPr>
                <w:spacing w:val="-1"/>
                <w:sz w:val="21"/>
                <w:szCs w:val="21"/>
              </w:rPr>
              <w:t>收集后，运至附近村子垃圾暂存点，</w:t>
            </w:r>
            <w:r>
              <w:rPr>
                <w:spacing w:val="9"/>
                <w:sz w:val="21"/>
                <w:szCs w:val="21"/>
              </w:rPr>
              <w:t xml:space="preserve"> </w:t>
            </w:r>
            <w:r>
              <w:rPr>
                <w:sz w:val="21"/>
                <w:szCs w:val="21"/>
              </w:rPr>
              <w:t>由当地环卫部门及时清运</w:t>
            </w:r>
          </w:p>
        </w:tc>
        <w:tc>
          <w:tcPr>
            <w:tcW w:w="2518" w:type="dxa"/>
            <w:gridSpan w:val="3"/>
            <w:vMerge w:val="continue"/>
            <w:tcBorders>
              <w:top w:val="nil"/>
              <w:bottom w:val="nil"/>
            </w:tcBorders>
            <w:vAlign w:val="top"/>
          </w:tcPr>
          <w:p w14:paraId="2DA25336">
            <w:pPr>
              <w:rPr>
                <w:rFonts w:ascii="Arial"/>
                <w:sz w:val="21"/>
              </w:rPr>
            </w:pPr>
          </w:p>
        </w:tc>
        <w:tc>
          <w:tcPr>
            <w:tcW w:w="135" w:type="dxa"/>
            <w:tcBorders>
              <w:top w:val="nil"/>
              <w:bottom w:val="nil"/>
            </w:tcBorders>
            <w:vAlign w:val="top"/>
          </w:tcPr>
          <w:p w14:paraId="60D02D8C">
            <w:pPr>
              <w:rPr>
                <w:rFonts w:ascii="Arial"/>
                <w:sz w:val="21"/>
              </w:rPr>
            </w:pPr>
          </w:p>
        </w:tc>
      </w:tr>
      <w:tr w14:paraId="758CA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754" w:type="dxa"/>
            <w:vMerge w:val="continue"/>
            <w:tcBorders>
              <w:top w:val="nil"/>
              <w:bottom w:val="nil"/>
            </w:tcBorders>
            <w:vAlign w:val="top"/>
          </w:tcPr>
          <w:p w14:paraId="4F2A401D">
            <w:pPr>
              <w:rPr>
                <w:rFonts w:ascii="Arial"/>
                <w:sz w:val="21"/>
              </w:rPr>
            </w:pPr>
          </w:p>
        </w:tc>
        <w:tc>
          <w:tcPr>
            <w:tcW w:w="100" w:type="dxa"/>
            <w:tcBorders>
              <w:top w:val="nil"/>
              <w:bottom w:val="nil"/>
            </w:tcBorders>
            <w:shd w:val="clear" w:color="auto" w:fill="FFFFFF"/>
            <w:vAlign w:val="top"/>
          </w:tcPr>
          <w:p w14:paraId="55C92291">
            <w:pPr>
              <w:rPr>
                <w:rFonts w:ascii="Arial"/>
                <w:sz w:val="21"/>
              </w:rPr>
            </w:pPr>
          </w:p>
        </w:tc>
        <w:tc>
          <w:tcPr>
            <w:tcW w:w="769" w:type="dxa"/>
            <w:gridSpan w:val="2"/>
            <w:vMerge w:val="continue"/>
            <w:tcBorders>
              <w:top w:val="nil"/>
              <w:bottom w:val="nil"/>
            </w:tcBorders>
            <w:vAlign w:val="top"/>
          </w:tcPr>
          <w:p w14:paraId="37A0369B">
            <w:pPr>
              <w:rPr>
                <w:rFonts w:ascii="Arial"/>
                <w:sz w:val="21"/>
              </w:rPr>
            </w:pPr>
          </w:p>
        </w:tc>
        <w:tc>
          <w:tcPr>
            <w:tcW w:w="1109" w:type="dxa"/>
            <w:gridSpan w:val="2"/>
            <w:vAlign w:val="top"/>
          </w:tcPr>
          <w:p w14:paraId="02A7E714">
            <w:pPr>
              <w:spacing w:line="293" w:lineRule="auto"/>
              <w:rPr>
                <w:rFonts w:ascii="Arial"/>
                <w:sz w:val="21"/>
              </w:rPr>
            </w:pPr>
          </w:p>
          <w:p w14:paraId="717430D7">
            <w:pPr>
              <w:pStyle w:val="6"/>
              <w:spacing w:before="68" w:line="221" w:lineRule="auto"/>
              <w:ind w:left="331"/>
              <w:rPr>
                <w:sz w:val="21"/>
                <w:szCs w:val="21"/>
              </w:rPr>
            </w:pPr>
            <w:r>
              <w:rPr>
                <w:spacing w:val="5"/>
                <w:sz w:val="21"/>
                <w:szCs w:val="21"/>
              </w:rPr>
              <w:t>污泥</w:t>
            </w:r>
          </w:p>
        </w:tc>
        <w:tc>
          <w:tcPr>
            <w:tcW w:w="3595" w:type="dxa"/>
            <w:gridSpan w:val="2"/>
            <w:vAlign w:val="top"/>
          </w:tcPr>
          <w:p w14:paraId="2B446774">
            <w:pPr>
              <w:pStyle w:val="6"/>
              <w:spacing w:before="80" w:line="219" w:lineRule="auto"/>
              <w:ind w:left="112"/>
              <w:rPr>
                <w:sz w:val="21"/>
                <w:szCs w:val="21"/>
              </w:rPr>
            </w:pPr>
            <w:r>
              <w:rPr>
                <w:spacing w:val="-1"/>
                <w:sz w:val="21"/>
                <w:szCs w:val="21"/>
              </w:rPr>
              <w:t>化粪池及一体化污水处理设备运行污</w:t>
            </w:r>
          </w:p>
          <w:p w14:paraId="215999BF">
            <w:pPr>
              <w:pStyle w:val="6"/>
              <w:spacing w:before="30" w:line="219" w:lineRule="auto"/>
              <w:ind w:left="112"/>
              <w:rPr>
                <w:sz w:val="21"/>
                <w:szCs w:val="21"/>
              </w:rPr>
            </w:pPr>
            <w:r>
              <w:rPr>
                <w:spacing w:val="-1"/>
                <w:sz w:val="21"/>
                <w:szCs w:val="21"/>
              </w:rPr>
              <w:t>泥，经清掏消毒后用作区域农用地绿</w:t>
            </w:r>
          </w:p>
          <w:p w14:paraId="6E7582F6">
            <w:pPr>
              <w:pStyle w:val="6"/>
              <w:spacing w:before="29" w:line="199" w:lineRule="auto"/>
              <w:ind w:left="842"/>
              <w:rPr>
                <w:sz w:val="21"/>
                <w:szCs w:val="21"/>
              </w:rPr>
            </w:pPr>
            <w:r>
              <w:rPr>
                <w:spacing w:val="-1"/>
                <w:sz w:val="21"/>
                <w:szCs w:val="21"/>
              </w:rPr>
              <w:t>化施肥，不对外排放</w:t>
            </w:r>
          </w:p>
        </w:tc>
        <w:tc>
          <w:tcPr>
            <w:tcW w:w="2518" w:type="dxa"/>
            <w:gridSpan w:val="3"/>
            <w:vMerge w:val="continue"/>
            <w:tcBorders>
              <w:top w:val="nil"/>
              <w:bottom w:val="nil"/>
            </w:tcBorders>
            <w:vAlign w:val="top"/>
          </w:tcPr>
          <w:p w14:paraId="79B4DF2B">
            <w:pPr>
              <w:rPr>
                <w:rFonts w:ascii="Arial"/>
                <w:sz w:val="21"/>
              </w:rPr>
            </w:pPr>
          </w:p>
        </w:tc>
        <w:tc>
          <w:tcPr>
            <w:tcW w:w="135" w:type="dxa"/>
            <w:tcBorders>
              <w:top w:val="nil"/>
              <w:bottom w:val="nil"/>
            </w:tcBorders>
            <w:vAlign w:val="top"/>
          </w:tcPr>
          <w:p w14:paraId="26C13BB7">
            <w:pPr>
              <w:rPr>
                <w:rFonts w:ascii="Arial"/>
                <w:sz w:val="21"/>
              </w:rPr>
            </w:pPr>
          </w:p>
        </w:tc>
      </w:tr>
      <w:tr w14:paraId="68B38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0" w:hRule="atLeast"/>
        </w:trPr>
        <w:tc>
          <w:tcPr>
            <w:tcW w:w="754" w:type="dxa"/>
            <w:vMerge w:val="continue"/>
            <w:tcBorders>
              <w:top w:val="nil"/>
              <w:bottom w:val="nil"/>
            </w:tcBorders>
            <w:vAlign w:val="top"/>
          </w:tcPr>
          <w:p w14:paraId="0DD15845">
            <w:pPr>
              <w:rPr>
                <w:rFonts w:ascii="Arial"/>
                <w:sz w:val="21"/>
              </w:rPr>
            </w:pPr>
          </w:p>
        </w:tc>
        <w:tc>
          <w:tcPr>
            <w:tcW w:w="100" w:type="dxa"/>
            <w:tcBorders>
              <w:top w:val="nil"/>
              <w:bottom w:val="nil"/>
            </w:tcBorders>
            <w:shd w:val="clear" w:color="auto" w:fill="FFFFFF"/>
            <w:vAlign w:val="top"/>
          </w:tcPr>
          <w:p w14:paraId="196DBC56">
            <w:pPr>
              <w:rPr>
                <w:rFonts w:ascii="Arial"/>
                <w:sz w:val="21"/>
              </w:rPr>
            </w:pPr>
          </w:p>
        </w:tc>
        <w:tc>
          <w:tcPr>
            <w:tcW w:w="769" w:type="dxa"/>
            <w:gridSpan w:val="2"/>
            <w:vMerge w:val="continue"/>
            <w:tcBorders>
              <w:top w:val="nil"/>
            </w:tcBorders>
            <w:vAlign w:val="top"/>
          </w:tcPr>
          <w:p w14:paraId="45AA6A50">
            <w:pPr>
              <w:rPr>
                <w:rFonts w:ascii="Arial"/>
                <w:sz w:val="21"/>
              </w:rPr>
            </w:pPr>
          </w:p>
        </w:tc>
        <w:tc>
          <w:tcPr>
            <w:tcW w:w="1109" w:type="dxa"/>
            <w:gridSpan w:val="2"/>
            <w:vAlign w:val="top"/>
          </w:tcPr>
          <w:p w14:paraId="100ADA0F">
            <w:pPr>
              <w:spacing w:line="291" w:lineRule="auto"/>
              <w:rPr>
                <w:rFonts w:ascii="Arial"/>
                <w:sz w:val="21"/>
              </w:rPr>
            </w:pPr>
          </w:p>
          <w:p w14:paraId="17ACC376">
            <w:pPr>
              <w:spacing w:line="292" w:lineRule="auto"/>
              <w:rPr>
                <w:rFonts w:ascii="Arial"/>
                <w:sz w:val="21"/>
              </w:rPr>
            </w:pPr>
          </w:p>
          <w:p w14:paraId="56DEDFC3">
            <w:pPr>
              <w:pStyle w:val="6"/>
              <w:spacing w:before="68" w:line="220" w:lineRule="auto"/>
              <w:ind w:left="121"/>
              <w:rPr>
                <w:sz w:val="21"/>
                <w:szCs w:val="21"/>
              </w:rPr>
            </w:pPr>
            <w:r>
              <w:rPr>
                <w:spacing w:val="2"/>
                <w:sz w:val="21"/>
                <w:szCs w:val="21"/>
              </w:rPr>
              <w:t>危险废物</w:t>
            </w:r>
          </w:p>
        </w:tc>
        <w:tc>
          <w:tcPr>
            <w:tcW w:w="3595" w:type="dxa"/>
            <w:gridSpan w:val="2"/>
            <w:vAlign w:val="top"/>
          </w:tcPr>
          <w:p w14:paraId="6AEFE4C7">
            <w:pPr>
              <w:pStyle w:val="6"/>
              <w:spacing w:before="114" w:line="219" w:lineRule="auto"/>
              <w:ind w:left="112"/>
              <w:rPr>
                <w:sz w:val="21"/>
                <w:szCs w:val="21"/>
              </w:rPr>
            </w:pPr>
            <w:r>
              <w:rPr>
                <w:spacing w:val="-1"/>
                <w:sz w:val="21"/>
                <w:szCs w:val="21"/>
              </w:rPr>
              <w:t>检修废油、废变压油经收集后路暂存</w:t>
            </w:r>
          </w:p>
          <w:p w14:paraId="45BC88FE">
            <w:pPr>
              <w:pStyle w:val="6"/>
              <w:spacing w:before="40" w:line="219" w:lineRule="auto"/>
              <w:ind w:left="112"/>
              <w:rPr>
                <w:sz w:val="21"/>
                <w:szCs w:val="21"/>
              </w:rPr>
            </w:pPr>
            <w:r>
              <w:rPr>
                <w:sz w:val="21"/>
                <w:szCs w:val="21"/>
              </w:rPr>
              <w:t>于危险废物暂存间，委托有资质的单</w:t>
            </w:r>
          </w:p>
          <w:p w14:paraId="25F68137">
            <w:pPr>
              <w:pStyle w:val="6"/>
              <w:spacing w:before="10" w:line="219" w:lineRule="auto"/>
              <w:ind w:left="112"/>
              <w:rPr>
                <w:sz w:val="21"/>
                <w:szCs w:val="21"/>
              </w:rPr>
            </w:pPr>
            <w:r>
              <w:rPr>
                <w:spacing w:val="-1"/>
                <w:sz w:val="21"/>
                <w:szCs w:val="21"/>
              </w:rPr>
              <w:t>位进行处置，禁止随意堆放；升压站</w:t>
            </w:r>
          </w:p>
          <w:p w14:paraId="4D92A1C3">
            <w:pPr>
              <w:pStyle w:val="6"/>
              <w:spacing w:line="218" w:lineRule="auto"/>
              <w:ind w:left="52"/>
              <w:rPr>
                <w:sz w:val="21"/>
                <w:szCs w:val="21"/>
              </w:rPr>
            </w:pPr>
            <w:r>
              <w:rPr>
                <w:spacing w:val="6"/>
                <w:sz w:val="21"/>
                <w:szCs w:val="21"/>
              </w:rPr>
              <w:t>拟设置一间占地面积不69.3m²的危险</w:t>
            </w:r>
          </w:p>
          <w:p w14:paraId="0EA83ACE">
            <w:pPr>
              <w:pStyle w:val="6"/>
              <w:spacing w:before="33" w:line="219" w:lineRule="auto"/>
              <w:ind w:left="1262"/>
              <w:rPr>
                <w:sz w:val="21"/>
                <w:szCs w:val="21"/>
              </w:rPr>
            </w:pPr>
            <w:r>
              <w:rPr>
                <w:spacing w:val="4"/>
                <w:sz w:val="21"/>
                <w:szCs w:val="21"/>
              </w:rPr>
              <w:t>废物暂存间</w:t>
            </w:r>
          </w:p>
        </w:tc>
        <w:tc>
          <w:tcPr>
            <w:tcW w:w="2518" w:type="dxa"/>
            <w:gridSpan w:val="3"/>
            <w:vMerge w:val="continue"/>
            <w:tcBorders>
              <w:top w:val="nil"/>
            </w:tcBorders>
            <w:vAlign w:val="top"/>
          </w:tcPr>
          <w:p w14:paraId="10F40123">
            <w:pPr>
              <w:rPr>
                <w:rFonts w:ascii="Arial"/>
                <w:sz w:val="21"/>
              </w:rPr>
            </w:pPr>
          </w:p>
        </w:tc>
        <w:tc>
          <w:tcPr>
            <w:tcW w:w="135" w:type="dxa"/>
            <w:tcBorders>
              <w:top w:val="nil"/>
              <w:bottom w:val="nil"/>
            </w:tcBorders>
            <w:vAlign w:val="top"/>
          </w:tcPr>
          <w:p w14:paraId="1BC0C966">
            <w:pPr>
              <w:rPr>
                <w:rFonts w:ascii="Arial"/>
                <w:sz w:val="21"/>
              </w:rPr>
            </w:pPr>
          </w:p>
        </w:tc>
      </w:tr>
      <w:tr w14:paraId="6CF4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754" w:type="dxa"/>
            <w:vMerge w:val="continue"/>
            <w:tcBorders>
              <w:top w:val="nil"/>
              <w:bottom w:val="nil"/>
            </w:tcBorders>
            <w:vAlign w:val="top"/>
          </w:tcPr>
          <w:p w14:paraId="628B08AA">
            <w:pPr>
              <w:rPr>
                <w:rFonts w:ascii="Arial"/>
                <w:sz w:val="21"/>
              </w:rPr>
            </w:pPr>
          </w:p>
        </w:tc>
        <w:tc>
          <w:tcPr>
            <w:tcW w:w="100" w:type="dxa"/>
            <w:tcBorders>
              <w:top w:val="nil"/>
              <w:bottom w:val="nil"/>
            </w:tcBorders>
            <w:shd w:val="clear" w:color="auto" w:fill="FFFFFF"/>
            <w:vAlign w:val="top"/>
          </w:tcPr>
          <w:p w14:paraId="67D6E055">
            <w:pPr>
              <w:rPr>
                <w:rFonts w:ascii="Arial"/>
                <w:sz w:val="21"/>
              </w:rPr>
            </w:pPr>
          </w:p>
        </w:tc>
        <w:tc>
          <w:tcPr>
            <w:tcW w:w="769" w:type="dxa"/>
            <w:gridSpan w:val="2"/>
            <w:vMerge w:val="restart"/>
            <w:tcBorders>
              <w:bottom w:val="nil"/>
            </w:tcBorders>
            <w:vAlign w:val="top"/>
          </w:tcPr>
          <w:p w14:paraId="65E3EA90">
            <w:pPr>
              <w:spacing w:line="444" w:lineRule="auto"/>
              <w:rPr>
                <w:rFonts w:ascii="Arial"/>
                <w:sz w:val="21"/>
              </w:rPr>
            </w:pPr>
          </w:p>
          <w:p w14:paraId="3F2954D5">
            <w:pPr>
              <w:pStyle w:val="6"/>
              <w:spacing w:before="68" w:line="220" w:lineRule="auto"/>
              <w:ind w:left="160"/>
              <w:rPr>
                <w:sz w:val="21"/>
                <w:szCs w:val="21"/>
              </w:rPr>
            </w:pPr>
            <w:r>
              <w:rPr>
                <w:spacing w:val="-3"/>
                <w:sz w:val="21"/>
                <w:szCs w:val="21"/>
              </w:rPr>
              <w:t>环境</w:t>
            </w:r>
          </w:p>
          <w:p w14:paraId="4204AFA7">
            <w:pPr>
              <w:pStyle w:val="6"/>
              <w:spacing w:before="19" w:line="220" w:lineRule="auto"/>
              <w:ind w:left="160"/>
              <w:rPr>
                <w:sz w:val="21"/>
                <w:szCs w:val="21"/>
              </w:rPr>
            </w:pPr>
            <w:r>
              <w:rPr>
                <w:spacing w:val="-3"/>
                <w:sz w:val="21"/>
                <w:szCs w:val="21"/>
              </w:rPr>
              <w:t>风险</w:t>
            </w:r>
          </w:p>
        </w:tc>
        <w:tc>
          <w:tcPr>
            <w:tcW w:w="1109" w:type="dxa"/>
            <w:gridSpan w:val="2"/>
            <w:vAlign w:val="top"/>
          </w:tcPr>
          <w:p w14:paraId="01CAFE8B">
            <w:pPr>
              <w:pStyle w:val="6"/>
              <w:spacing w:before="75" w:line="221" w:lineRule="auto"/>
              <w:ind w:left="121"/>
              <w:rPr>
                <w:sz w:val="21"/>
                <w:szCs w:val="21"/>
              </w:rPr>
            </w:pPr>
            <w:r>
              <w:rPr>
                <w:spacing w:val="2"/>
                <w:sz w:val="21"/>
                <w:szCs w:val="21"/>
              </w:rPr>
              <w:t>升压站主</w:t>
            </w:r>
          </w:p>
          <w:p w14:paraId="35C67D53">
            <w:pPr>
              <w:pStyle w:val="6"/>
              <w:spacing w:before="28" w:line="221" w:lineRule="auto"/>
              <w:ind w:left="121"/>
              <w:rPr>
                <w:sz w:val="21"/>
                <w:szCs w:val="21"/>
              </w:rPr>
            </w:pPr>
            <w:r>
              <w:rPr>
                <w:spacing w:val="-2"/>
                <w:sz w:val="21"/>
                <w:szCs w:val="21"/>
              </w:rPr>
              <w:t>变变压器</w:t>
            </w:r>
          </w:p>
          <w:p w14:paraId="3B1310F9">
            <w:pPr>
              <w:pStyle w:val="6"/>
              <w:spacing w:before="22" w:line="214" w:lineRule="auto"/>
              <w:ind w:left="441"/>
              <w:rPr>
                <w:sz w:val="21"/>
                <w:szCs w:val="21"/>
              </w:rPr>
            </w:pPr>
            <w:r>
              <w:rPr>
                <w:sz w:val="21"/>
                <w:szCs w:val="21"/>
              </w:rPr>
              <w:t>油</w:t>
            </w:r>
          </w:p>
        </w:tc>
        <w:tc>
          <w:tcPr>
            <w:tcW w:w="3595" w:type="dxa"/>
            <w:gridSpan w:val="2"/>
            <w:vAlign w:val="top"/>
          </w:tcPr>
          <w:p w14:paraId="204FA7BA">
            <w:pPr>
              <w:pStyle w:val="6"/>
              <w:spacing w:before="214" w:line="235" w:lineRule="auto"/>
              <w:ind w:left="212" w:right="212" w:firstLine="109"/>
              <w:rPr>
                <w:sz w:val="21"/>
                <w:szCs w:val="21"/>
              </w:rPr>
            </w:pPr>
            <w:r>
              <w:rPr>
                <w:sz w:val="21"/>
                <w:szCs w:val="21"/>
              </w:rPr>
              <w:t>升压站配套设置1个集油坑(容积</w:t>
            </w:r>
            <w:r>
              <w:rPr>
                <w:spacing w:val="6"/>
                <w:sz w:val="21"/>
                <w:szCs w:val="21"/>
              </w:rPr>
              <w:t xml:space="preserve">  </w:t>
            </w:r>
            <w:r>
              <w:rPr>
                <w:spacing w:val="11"/>
                <w:sz w:val="21"/>
                <w:szCs w:val="21"/>
              </w:rPr>
              <w:t>10m³),一个容积45m³的事故油池</w:t>
            </w:r>
          </w:p>
        </w:tc>
        <w:tc>
          <w:tcPr>
            <w:tcW w:w="2518" w:type="dxa"/>
            <w:gridSpan w:val="3"/>
            <w:vMerge w:val="restart"/>
            <w:tcBorders>
              <w:bottom w:val="nil"/>
            </w:tcBorders>
            <w:vAlign w:val="top"/>
          </w:tcPr>
          <w:p w14:paraId="6581489C">
            <w:pPr>
              <w:spacing w:line="443" w:lineRule="auto"/>
              <w:rPr>
                <w:rFonts w:ascii="Arial"/>
                <w:sz w:val="21"/>
              </w:rPr>
            </w:pPr>
          </w:p>
          <w:p w14:paraId="616AE51A">
            <w:pPr>
              <w:pStyle w:val="6"/>
              <w:spacing w:before="68" w:line="248" w:lineRule="auto"/>
              <w:ind w:left="306" w:right="90" w:hanging="209"/>
              <w:rPr>
                <w:sz w:val="21"/>
                <w:szCs w:val="21"/>
              </w:rPr>
            </w:pPr>
            <w:r>
              <w:rPr>
                <w:sz w:val="21"/>
                <w:szCs w:val="21"/>
              </w:rPr>
              <w:t>意外事故渗漏时造成地表</w:t>
            </w:r>
            <w:r>
              <w:rPr>
                <w:spacing w:val="8"/>
                <w:sz w:val="21"/>
                <w:szCs w:val="21"/>
              </w:rPr>
              <w:t xml:space="preserve"> </w:t>
            </w:r>
            <w:r>
              <w:rPr>
                <w:spacing w:val="-2"/>
                <w:sz w:val="21"/>
                <w:szCs w:val="21"/>
              </w:rPr>
              <w:t>水地下水及土壤污染</w:t>
            </w:r>
          </w:p>
        </w:tc>
        <w:tc>
          <w:tcPr>
            <w:tcW w:w="135" w:type="dxa"/>
            <w:tcBorders>
              <w:top w:val="nil"/>
              <w:bottom w:val="nil"/>
            </w:tcBorders>
            <w:vAlign w:val="top"/>
          </w:tcPr>
          <w:p w14:paraId="122D9FDE">
            <w:pPr>
              <w:rPr>
                <w:rFonts w:ascii="Arial"/>
                <w:sz w:val="21"/>
              </w:rPr>
            </w:pPr>
          </w:p>
        </w:tc>
      </w:tr>
      <w:tr w14:paraId="1F1AB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754" w:type="dxa"/>
            <w:vMerge w:val="continue"/>
            <w:tcBorders>
              <w:top w:val="nil"/>
              <w:bottom w:val="nil"/>
            </w:tcBorders>
            <w:vAlign w:val="top"/>
          </w:tcPr>
          <w:p w14:paraId="2140839D">
            <w:pPr>
              <w:rPr>
                <w:rFonts w:ascii="Arial"/>
                <w:sz w:val="21"/>
              </w:rPr>
            </w:pPr>
          </w:p>
        </w:tc>
        <w:tc>
          <w:tcPr>
            <w:tcW w:w="100" w:type="dxa"/>
            <w:tcBorders>
              <w:top w:val="nil"/>
              <w:bottom w:val="nil"/>
            </w:tcBorders>
            <w:shd w:val="clear" w:color="auto" w:fill="FFFFFF"/>
            <w:vAlign w:val="top"/>
          </w:tcPr>
          <w:p w14:paraId="17DCBB5D">
            <w:pPr>
              <w:rPr>
                <w:rFonts w:ascii="Arial"/>
                <w:sz w:val="21"/>
              </w:rPr>
            </w:pPr>
          </w:p>
        </w:tc>
        <w:tc>
          <w:tcPr>
            <w:tcW w:w="769" w:type="dxa"/>
            <w:gridSpan w:val="2"/>
            <w:vMerge w:val="continue"/>
            <w:tcBorders>
              <w:top w:val="nil"/>
            </w:tcBorders>
            <w:vAlign w:val="top"/>
          </w:tcPr>
          <w:p w14:paraId="788305CD">
            <w:pPr>
              <w:rPr>
                <w:rFonts w:ascii="Arial"/>
                <w:sz w:val="21"/>
              </w:rPr>
            </w:pPr>
          </w:p>
        </w:tc>
        <w:tc>
          <w:tcPr>
            <w:tcW w:w="1109" w:type="dxa"/>
            <w:gridSpan w:val="2"/>
            <w:vAlign w:val="top"/>
          </w:tcPr>
          <w:p w14:paraId="20AEC18B">
            <w:pPr>
              <w:pStyle w:val="6"/>
              <w:spacing w:before="82" w:line="220" w:lineRule="auto"/>
              <w:ind w:left="121"/>
              <w:rPr>
                <w:sz w:val="21"/>
                <w:szCs w:val="21"/>
              </w:rPr>
            </w:pPr>
            <w:r>
              <w:rPr>
                <w:spacing w:val="-2"/>
                <w:sz w:val="21"/>
                <w:szCs w:val="21"/>
              </w:rPr>
              <w:t>箱式变压</w:t>
            </w:r>
          </w:p>
          <w:p w14:paraId="5E16891C">
            <w:pPr>
              <w:pStyle w:val="6"/>
              <w:spacing w:before="24" w:line="219" w:lineRule="auto"/>
              <w:ind w:left="441"/>
              <w:rPr>
                <w:sz w:val="21"/>
                <w:szCs w:val="21"/>
              </w:rPr>
            </w:pPr>
            <w:r>
              <w:rPr>
                <w:sz w:val="21"/>
                <w:szCs w:val="21"/>
              </w:rPr>
              <w:t>油</w:t>
            </w:r>
          </w:p>
        </w:tc>
        <w:tc>
          <w:tcPr>
            <w:tcW w:w="3595" w:type="dxa"/>
            <w:gridSpan w:val="2"/>
            <w:vAlign w:val="top"/>
          </w:tcPr>
          <w:p w14:paraId="0141BA23">
            <w:pPr>
              <w:pStyle w:val="6"/>
              <w:spacing w:before="100" w:line="222" w:lineRule="auto"/>
              <w:ind w:left="321" w:right="89" w:hanging="209"/>
              <w:rPr>
                <w:sz w:val="21"/>
                <w:szCs w:val="21"/>
              </w:rPr>
            </w:pPr>
            <w:r>
              <w:rPr>
                <w:spacing w:val="1"/>
                <w:sz w:val="21"/>
                <w:szCs w:val="21"/>
              </w:rPr>
              <w:t>各箱变配套设置集油坑，共51个集油</w:t>
            </w:r>
            <w:r>
              <w:rPr>
                <w:spacing w:val="4"/>
                <w:sz w:val="21"/>
                <w:szCs w:val="21"/>
              </w:rPr>
              <w:t xml:space="preserve"> </w:t>
            </w:r>
            <w:r>
              <w:rPr>
                <w:spacing w:val="10"/>
                <w:sz w:val="21"/>
                <w:szCs w:val="21"/>
              </w:rPr>
              <w:t>坑，每个集油坑容积不小于1m³</w:t>
            </w:r>
          </w:p>
        </w:tc>
        <w:tc>
          <w:tcPr>
            <w:tcW w:w="2518" w:type="dxa"/>
            <w:gridSpan w:val="3"/>
            <w:vMerge w:val="continue"/>
            <w:tcBorders>
              <w:top w:val="nil"/>
            </w:tcBorders>
            <w:vAlign w:val="top"/>
          </w:tcPr>
          <w:p w14:paraId="2142DD0A">
            <w:pPr>
              <w:rPr>
                <w:rFonts w:ascii="Arial"/>
                <w:sz w:val="21"/>
              </w:rPr>
            </w:pPr>
          </w:p>
        </w:tc>
        <w:tc>
          <w:tcPr>
            <w:tcW w:w="135" w:type="dxa"/>
            <w:tcBorders>
              <w:top w:val="nil"/>
              <w:bottom w:val="nil"/>
            </w:tcBorders>
            <w:vAlign w:val="top"/>
          </w:tcPr>
          <w:p w14:paraId="587E0AA4">
            <w:pPr>
              <w:rPr>
                <w:rFonts w:ascii="Arial"/>
                <w:sz w:val="21"/>
              </w:rPr>
            </w:pPr>
          </w:p>
        </w:tc>
      </w:tr>
      <w:tr w14:paraId="315B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754" w:type="dxa"/>
            <w:vMerge w:val="continue"/>
            <w:tcBorders>
              <w:top w:val="nil"/>
            </w:tcBorders>
            <w:vAlign w:val="top"/>
          </w:tcPr>
          <w:p w14:paraId="1F17359A">
            <w:pPr>
              <w:rPr>
                <w:rFonts w:ascii="Arial"/>
                <w:sz w:val="21"/>
              </w:rPr>
            </w:pPr>
          </w:p>
        </w:tc>
        <w:tc>
          <w:tcPr>
            <w:tcW w:w="100" w:type="dxa"/>
            <w:tcBorders>
              <w:top w:val="nil"/>
            </w:tcBorders>
            <w:shd w:val="clear" w:color="auto" w:fill="FFFFFF"/>
            <w:vAlign w:val="top"/>
          </w:tcPr>
          <w:p w14:paraId="059A13A9">
            <w:pPr>
              <w:rPr>
                <w:rFonts w:ascii="Arial"/>
                <w:sz w:val="21"/>
              </w:rPr>
            </w:pPr>
          </w:p>
        </w:tc>
        <w:tc>
          <w:tcPr>
            <w:tcW w:w="769" w:type="dxa"/>
            <w:gridSpan w:val="2"/>
            <w:vAlign w:val="top"/>
          </w:tcPr>
          <w:p w14:paraId="78611BB3">
            <w:pPr>
              <w:spacing w:line="311" w:lineRule="auto"/>
              <w:rPr>
                <w:rFonts w:ascii="Arial"/>
                <w:sz w:val="21"/>
              </w:rPr>
            </w:pPr>
          </w:p>
          <w:p w14:paraId="0AF6DEF4">
            <w:pPr>
              <w:pStyle w:val="6"/>
              <w:spacing w:before="68" w:line="224" w:lineRule="auto"/>
              <w:ind w:left="160"/>
              <w:rPr>
                <w:sz w:val="21"/>
                <w:szCs w:val="21"/>
              </w:rPr>
            </w:pPr>
            <w:r>
              <w:rPr>
                <w:spacing w:val="5"/>
                <w:sz w:val="21"/>
                <w:szCs w:val="21"/>
              </w:rPr>
              <w:t>生态</w:t>
            </w:r>
          </w:p>
        </w:tc>
        <w:tc>
          <w:tcPr>
            <w:tcW w:w="1109" w:type="dxa"/>
            <w:gridSpan w:val="2"/>
            <w:vAlign w:val="top"/>
          </w:tcPr>
          <w:p w14:paraId="1DF77AF8">
            <w:pPr>
              <w:pStyle w:val="6"/>
              <w:spacing w:before="96" w:line="242" w:lineRule="auto"/>
              <w:ind w:left="121" w:right="127" w:firstLine="110"/>
              <w:rPr>
                <w:sz w:val="21"/>
                <w:szCs w:val="21"/>
              </w:rPr>
            </w:pPr>
            <w:r>
              <w:rPr>
                <w:spacing w:val="-4"/>
                <w:sz w:val="21"/>
                <w:szCs w:val="21"/>
              </w:rPr>
              <w:t>植被恢</w:t>
            </w:r>
            <w:r>
              <w:rPr>
                <w:sz w:val="21"/>
                <w:szCs w:val="21"/>
              </w:rPr>
              <w:t xml:space="preserve">  </w:t>
            </w:r>
            <w:r>
              <w:rPr>
                <w:spacing w:val="2"/>
                <w:sz w:val="21"/>
                <w:szCs w:val="21"/>
              </w:rPr>
              <w:t>复、覆土</w:t>
            </w:r>
          </w:p>
          <w:p w14:paraId="2DB7907B">
            <w:pPr>
              <w:pStyle w:val="6"/>
              <w:spacing w:line="220" w:lineRule="auto"/>
              <w:ind w:left="331"/>
              <w:rPr>
                <w:sz w:val="21"/>
                <w:szCs w:val="21"/>
              </w:rPr>
            </w:pPr>
            <w:r>
              <w:rPr>
                <w:spacing w:val="-3"/>
                <w:sz w:val="21"/>
                <w:szCs w:val="21"/>
              </w:rPr>
              <w:t>绿化</w:t>
            </w:r>
          </w:p>
        </w:tc>
        <w:tc>
          <w:tcPr>
            <w:tcW w:w="6113" w:type="dxa"/>
            <w:gridSpan w:val="5"/>
            <w:vAlign w:val="top"/>
          </w:tcPr>
          <w:p w14:paraId="3B8A59F4">
            <w:pPr>
              <w:spacing w:line="305" w:lineRule="auto"/>
              <w:rPr>
                <w:rFonts w:ascii="Arial"/>
                <w:sz w:val="21"/>
              </w:rPr>
            </w:pPr>
          </w:p>
          <w:p w14:paraId="67D32F79">
            <w:pPr>
              <w:pStyle w:val="6"/>
              <w:spacing w:before="68" w:line="219" w:lineRule="auto"/>
              <w:ind w:left="322"/>
              <w:rPr>
                <w:sz w:val="21"/>
                <w:szCs w:val="21"/>
              </w:rPr>
            </w:pPr>
            <w:r>
              <w:rPr>
                <w:sz w:val="21"/>
                <w:szCs w:val="21"/>
              </w:rPr>
              <w:t>临时表土堆场进行覆土植被，临时占地植被恢复、管理区绿化</w:t>
            </w:r>
          </w:p>
        </w:tc>
        <w:tc>
          <w:tcPr>
            <w:tcW w:w="135" w:type="dxa"/>
            <w:tcBorders>
              <w:top w:val="nil"/>
            </w:tcBorders>
            <w:vAlign w:val="top"/>
          </w:tcPr>
          <w:p w14:paraId="32C6A2AE">
            <w:pPr>
              <w:rPr>
                <w:rFonts w:ascii="Arial"/>
                <w:sz w:val="21"/>
              </w:rPr>
            </w:pPr>
          </w:p>
        </w:tc>
      </w:tr>
      <w:tr w14:paraId="6B65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8" w:hRule="atLeast"/>
        </w:trPr>
        <w:tc>
          <w:tcPr>
            <w:tcW w:w="754" w:type="dxa"/>
            <w:vMerge w:val="restart"/>
            <w:tcBorders>
              <w:bottom w:val="nil"/>
            </w:tcBorders>
            <w:vAlign w:val="top"/>
          </w:tcPr>
          <w:p w14:paraId="07421DA9">
            <w:pPr>
              <w:spacing w:line="257" w:lineRule="auto"/>
              <w:rPr>
                <w:rFonts w:ascii="Arial"/>
                <w:sz w:val="21"/>
              </w:rPr>
            </w:pPr>
          </w:p>
          <w:p w14:paraId="02235A99">
            <w:pPr>
              <w:spacing w:line="257" w:lineRule="auto"/>
              <w:rPr>
                <w:rFonts w:ascii="Arial"/>
                <w:sz w:val="21"/>
              </w:rPr>
            </w:pPr>
          </w:p>
          <w:p w14:paraId="4227A8E0">
            <w:pPr>
              <w:spacing w:line="257" w:lineRule="auto"/>
              <w:rPr>
                <w:rFonts w:ascii="Arial"/>
                <w:sz w:val="21"/>
              </w:rPr>
            </w:pPr>
          </w:p>
          <w:p w14:paraId="48459B8B">
            <w:pPr>
              <w:spacing w:line="257" w:lineRule="auto"/>
              <w:rPr>
                <w:rFonts w:ascii="Arial"/>
                <w:sz w:val="21"/>
              </w:rPr>
            </w:pPr>
          </w:p>
          <w:p w14:paraId="309EFE20">
            <w:pPr>
              <w:spacing w:line="257" w:lineRule="auto"/>
              <w:rPr>
                <w:rFonts w:ascii="Arial"/>
                <w:sz w:val="21"/>
              </w:rPr>
            </w:pPr>
          </w:p>
          <w:p w14:paraId="2750D44A">
            <w:pPr>
              <w:spacing w:line="257" w:lineRule="auto"/>
              <w:rPr>
                <w:rFonts w:ascii="Arial"/>
                <w:sz w:val="21"/>
              </w:rPr>
            </w:pPr>
          </w:p>
          <w:p w14:paraId="760F2963">
            <w:pPr>
              <w:spacing w:line="257" w:lineRule="auto"/>
              <w:rPr>
                <w:rFonts w:ascii="Arial"/>
                <w:sz w:val="21"/>
              </w:rPr>
            </w:pPr>
          </w:p>
          <w:p w14:paraId="1276A50D">
            <w:pPr>
              <w:spacing w:line="257" w:lineRule="auto"/>
              <w:rPr>
                <w:rFonts w:ascii="Arial"/>
                <w:sz w:val="21"/>
              </w:rPr>
            </w:pPr>
          </w:p>
          <w:p w14:paraId="43F12AAB">
            <w:pPr>
              <w:pStyle w:val="6"/>
              <w:spacing w:before="69" w:line="266" w:lineRule="auto"/>
              <w:ind w:left="154" w:right="153"/>
              <w:rPr>
                <w:sz w:val="21"/>
                <w:szCs w:val="21"/>
              </w:rPr>
            </w:pPr>
            <w:r>
              <w:rPr>
                <w:spacing w:val="-5"/>
                <w:sz w:val="21"/>
                <w:szCs w:val="21"/>
              </w:rPr>
              <w:t>环保</w:t>
            </w:r>
            <w:r>
              <w:rPr>
                <w:sz w:val="21"/>
                <w:szCs w:val="21"/>
              </w:rPr>
              <w:t xml:space="preserve"> </w:t>
            </w:r>
            <w:r>
              <w:rPr>
                <w:spacing w:val="7"/>
                <w:sz w:val="21"/>
                <w:szCs w:val="21"/>
              </w:rPr>
              <w:t>投资</w:t>
            </w:r>
          </w:p>
        </w:tc>
        <w:tc>
          <w:tcPr>
            <w:tcW w:w="8226" w:type="dxa"/>
            <w:gridSpan w:val="11"/>
            <w:vAlign w:val="top"/>
          </w:tcPr>
          <w:p w14:paraId="79502E1A">
            <w:pPr>
              <w:pStyle w:val="6"/>
              <w:spacing w:before="166" w:line="219" w:lineRule="auto"/>
              <w:ind w:left="590"/>
              <w:rPr>
                <w:sz w:val="21"/>
                <w:szCs w:val="21"/>
              </w:rPr>
            </w:pPr>
            <w:r>
              <w:rPr>
                <w:spacing w:val="3"/>
                <w:sz w:val="21"/>
                <w:szCs w:val="21"/>
              </w:rPr>
              <w:t>项目环保设施投资主要用于废气治理、废水治理、噪声防治、固废治理、</w:t>
            </w:r>
          </w:p>
          <w:p w14:paraId="541BFD68">
            <w:pPr>
              <w:pStyle w:val="6"/>
              <w:spacing w:before="191" w:line="411" w:lineRule="auto"/>
              <w:ind w:left="81"/>
              <w:rPr>
                <w:sz w:val="21"/>
                <w:szCs w:val="21"/>
              </w:rPr>
            </w:pPr>
            <w:r>
              <w:rPr>
                <w:spacing w:val="26"/>
                <w:sz w:val="21"/>
                <w:szCs w:val="21"/>
              </w:rPr>
              <w:t>生态恢复等，环保投资729</w:t>
            </w:r>
            <w:r>
              <w:rPr>
                <w:spacing w:val="-55"/>
                <w:sz w:val="21"/>
                <w:szCs w:val="21"/>
              </w:rPr>
              <w:t xml:space="preserve"> </w:t>
            </w:r>
            <w:r>
              <w:rPr>
                <w:spacing w:val="26"/>
                <w:sz w:val="21"/>
                <w:szCs w:val="21"/>
              </w:rPr>
              <w:t>.95万元，总投资57180万元，占总投资的1</w:t>
            </w:r>
            <w:r>
              <w:rPr>
                <w:spacing w:val="-60"/>
                <w:sz w:val="21"/>
                <w:szCs w:val="21"/>
              </w:rPr>
              <w:t xml:space="preserve"> </w:t>
            </w:r>
            <w:r>
              <w:rPr>
                <w:spacing w:val="26"/>
                <w:sz w:val="21"/>
                <w:szCs w:val="21"/>
              </w:rPr>
              <w:t>.</w:t>
            </w:r>
            <w:r>
              <w:rPr>
                <w:spacing w:val="-63"/>
                <w:sz w:val="21"/>
                <w:szCs w:val="21"/>
              </w:rPr>
              <w:t xml:space="preserve"> </w:t>
            </w:r>
            <w:r>
              <w:rPr>
                <w:spacing w:val="26"/>
                <w:sz w:val="21"/>
                <w:szCs w:val="21"/>
              </w:rPr>
              <w:t>28%。</w:t>
            </w:r>
            <w:r>
              <w:rPr>
                <w:sz w:val="21"/>
                <w:szCs w:val="21"/>
              </w:rPr>
              <w:t xml:space="preserve"> </w:t>
            </w:r>
            <w:r>
              <w:rPr>
                <w:spacing w:val="-1"/>
                <w:sz w:val="21"/>
                <w:szCs w:val="21"/>
              </w:rPr>
              <w:t>环保投资明细见下表：</w:t>
            </w:r>
          </w:p>
          <w:p w14:paraId="6BE1EF84">
            <w:pPr>
              <w:pStyle w:val="6"/>
              <w:spacing w:before="1" w:line="217" w:lineRule="auto"/>
              <w:ind w:left="2663"/>
              <w:rPr>
                <w:sz w:val="21"/>
                <w:szCs w:val="21"/>
              </w:rPr>
            </w:pPr>
            <w:r>
              <w:rPr>
                <w:b/>
                <w:bCs/>
                <w:spacing w:val="18"/>
                <w:sz w:val="21"/>
                <w:szCs w:val="21"/>
              </w:rPr>
              <w:t>表5</w:t>
            </w:r>
            <w:r>
              <w:rPr>
                <w:spacing w:val="-56"/>
                <w:sz w:val="21"/>
                <w:szCs w:val="21"/>
              </w:rPr>
              <w:t xml:space="preserve"> </w:t>
            </w:r>
            <w:r>
              <w:rPr>
                <w:b/>
                <w:bCs/>
                <w:spacing w:val="18"/>
                <w:sz w:val="21"/>
                <w:szCs w:val="21"/>
              </w:rPr>
              <w:t>-</w:t>
            </w:r>
            <w:r>
              <w:rPr>
                <w:spacing w:val="-53"/>
                <w:sz w:val="21"/>
                <w:szCs w:val="21"/>
              </w:rPr>
              <w:t xml:space="preserve"> </w:t>
            </w:r>
            <w:r>
              <w:rPr>
                <w:b/>
                <w:bCs/>
                <w:spacing w:val="18"/>
                <w:sz w:val="21"/>
                <w:szCs w:val="21"/>
              </w:rPr>
              <w:t>5环保投资估算</w:t>
            </w:r>
            <w:r>
              <w:rPr>
                <w:spacing w:val="-53"/>
                <w:sz w:val="21"/>
                <w:szCs w:val="21"/>
              </w:rPr>
              <w:t xml:space="preserve"> </w:t>
            </w:r>
            <w:r>
              <w:rPr>
                <w:b/>
                <w:bCs/>
                <w:spacing w:val="18"/>
                <w:sz w:val="21"/>
                <w:szCs w:val="21"/>
              </w:rPr>
              <w:t>一</w:t>
            </w:r>
            <w:r>
              <w:rPr>
                <w:spacing w:val="-53"/>
                <w:sz w:val="21"/>
                <w:szCs w:val="21"/>
              </w:rPr>
              <w:t xml:space="preserve"> </w:t>
            </w:r>
            <w:r>
              <w:rPr>
                <w:b/>
                <w:bCs/>
                <w:spacing w:val="18"/>
                <w:sz w:val="21"/>
                <w:szCs w:val="21"/>
              </w:rPr>
              <w:t>览表</w:t>
            </w:r>
          </w:p>
        </w:tc>
      </w:tr>
      <w:tr w14:paraId="284AF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54" w:type="dxa"/>
            <w:vMerge w:val="continue"/>
            <w:tcBorders>
              <w:top w:val="nil"/>
              <w:bottom w:val="nil"/>
            </w:tcBorders>
            <w:vAlign w:val="top"/>
          </w:tcPr>
          <w:p w14:paraId="0BB46C5C">
            <w:pPr>
              <w:rPr>
                <w:rFonts w:ascii="Arial"/>
                <w:sz w:val="21"/>
              </w:rPr>
            </w:pPr>
          </w:p>
        </w:tc>
        <w:tc>
          <w:tcPr>
            <w:tcW w:w="100" w:type="dxa"/>
            <w:tcBorders>
              <w:bottom w:val="nil"/>
            </w:tcBorders>
            <w:shd w:val="clear" w:color="auto" w:fill="FFFFFF"/>
            <w:vAlign w:val="top"/>
          </w:tcPr>
          <w:p w14:paraId="4F5DB149">
            <w:pPr>
              <w:rPr>
                <w:rFonts w:ascii="Arial"/>
                <w:sz w:val="21"/>
              </w:rPr>
            </w:pPr>
          </w:p>
        </w:tc>
        <w:tc>
          <w:tcPr>
            <w:tcW w:w="369" w:type="dxa"/>
            <w:textDirection w:val="tbRlV"/>
            <w:vAlign w:val="top"/>
          </w:tcPr>
          <w:p w14:paraId="0B623BC9">
            <w:pPr>
              <w:pStyle w:val="6"/>
              <w:spacing w:before="90" w:line="199" w:lineRule="auto"/>
              <w:jc w:val="right"/>
              <w:rPr>
                <w:sz w:val="21"/>
                <w:szCs w:val="21"/>
              </w:rPr>
            </w:pPr>
            <w:r>
              <w:rPr>
                <w:b/>
                <w:bCs/>
                <w:spacing w:val="-9"/>
                <w:sz w:val="21"/>
                <w:szCs w:val="21"/>
              </w:rPr>
              <w:t>序</w:t>
            </w:r>
            <w:r>
              <w:rPr>
                <w:spacing w:val="27"/>
                <w:sz w:val="21"/>
                <w:szCs w:val="21"/>
              </w:rPr>
              <w:t xml:space="preserve"> </w:t>
            </w:r>
            <w:r>
              <w:rPr>
                <w:b/>
                <w:bCs/>
                <w:spacing w:val="-9"/>
                <w:sz w:val="21"/>
                <w:szCs w:val="21"/>
              </w:rPr>
              <w:t>号</w:t>
            </w:r>
          </w:p>
        </w:tc>
        <w:tc>
          <w:tcPr>
            <w:tcW w:w="640" w:type="dxa"/>
            <w:gridSpan w:val="2"/>
            <w:vAlign w:val="top"/>
          </w:tcPr>
          <w:p w14:paraId="2E1BB71D">
            <w:pPr>
              <w:pStyle w:val="6"/>
              <w:spacing w:before="26" w:line="221" w:lineRule="auto"/>
              <w:ind w:left="202" w:hanging="188"/>
              <w:rPr>
                <w:sz w:val="21"/>
                <w:szCs w:val="21"/>
              </w:rPr>
            </w:pPr>
            <w:r>
              <w:rPr>
                <w:b/>
                <w:bCs/>
                <w:spacing w:val="-8"/>
                <w:sz w:val="21"/>
                <w:szCs w:val="21"/>
              </w:rPr>
              <w:t>污染类</w:t>
            </w:r>
            <w:r>
              <w:rPr>
                <w:spacing w:val="1"/>
                <w:sz w:val="21"/>
                <w:szCs w:val="21"/>
              </w:rPr>
              <w:t xml:space="preserve"> </w:t>
            </w:r>
            <w:r>
              <w:rPr>
                <w:b/>
                <w:bCs/>
                <w:spacing w:val="-3"/>
                <w:sz w:val="21"/>
                <w:szCs w:val="21"/>
              </w:rPr>
              <w:t>型</w:t>
            </w:r>
          </w:p>
        </w:tc>
        <w:tc>
          <w:tcPr>
            <w:tcW w:w="4734" w:type="dxa"/>
            <w:gridSpan w:val="4"/>
            <w:vAlign w:val="top"/>
          </w:tcPr>
          <w:p w14:paraId="21551F54">
            <w:pPr>
              <w:pStyle w:val="6"/>
              <w:spacing w:before="176" w:line="220" w:lineRule="auto"/>
              <w:ind w:left="1734"/>
              <w:rPr>
                <w:sz w:val="21"/>
                <w:szCs w:val="21"/>
              </w:rPr>
            </w:pPr>
            <w:r>
              <w:rPr>
                <w:b/>
                <w:bCs/>
                <w:spacing w:val="-4"/>
                <w:sz w:val="21"/>
                <w:szCs w:val="21"/>
              </w:rPr>
              <w:t>污染防治措施</w:t>
            </w:r>
          </w:p>
        </w:tc>
        <w:tc>
          <w:tcPr>
            <w:tcW w:w="1149" w:type="dxa"/>
            <w:vAlign w:val="top"/>
          </w:tcPr>
          <w:p w14:paraId="399880BB">
            <w:pPr>
              <w:pStyle w:val="6"/>
              <w:spacing w:before="26" w:line="221" w:lineRule="auto"/>
              <w:ind w:left="150" w:right="47" w:hanging="100"/>
              <w:rPr>
                <w:sz w:val="21"/>
                <w:szCs w:val="21"/>
              </w:rPr>
            </w:pPr>
            <w:r>
              <w:rPr>
                <w:b/>
                <w:bCs/>
                <w:spacing w:val="-5"/>
                <w:sz w:val="21"/>
                <w:szCs w:val="21"/>
              </w:rPr>
              <w:t>技术方案提</w:t>
            </w:r>
            <w:r>
              <w:rPr>
                <w:spacing w:val="3"/>
                <w:sz w:val="21"/>
                <w:szCs w:val="21"/>
              </w:rPr>
              <w:t xml:space="preserve"> </w:t>
            </w:r>
            <w:r>
              <w:rPr>
                <w:b/>
                <w:bCs/>
                <w:sz w:val="21"/>
                <w:szCs w:val="21"/>
              </w:rPr>
              <w:t>出的投资</w:t>
            </w:r>
          </w:p>
        </w:tc>
        <w:tc>
          <w:tcPr>
            <w:tcW w:w="1099" w:type="dxa"/>
            <w:vAlign w:val="top"/>
          </w:tcPr>
          <w:p w14:paraId="6D4D5E99">
            <w:pPr>
              <w:pStyle w:val="6"/>
              <w:spacing w:before="26" w:line="221" w:lineRule="auto"/>
              <w:ind w:left="131" w:right="25" w:hanging="110"/>
              <w:rPr>
                <w:sz w:val="21"/>
                <w:szCs w:val="21"/>
              </w:rPr>
            </w:pPr>
            <w:r>
              <w:rPr>
                <w:b/>
                <w:bCs/>
                <w:spacing w:val="-4"/>
                <w:sz w:val="21"/>
                <w:szCs w:val="21"/>
              </w:rPr>
              <w:t>环评提出的</w:t>
            </w:r>
            <w:r>
              <w:rPr>
                <w:sz w:val="21"/>
                <w:szCs w:val="21"/>
              </w:rPr>
              <w:t xml:space="preserve"> </w:t>
            </w:r>
            <w:r>
              <w:rPr>
                <w:b/>
                <w:bCs/>
                <w:spacing w:val="-4"/>
                <w:sz w:val="21"/>
                <w:szCs w:val="21"/>
              </w:rPr>
              <w:t>环保投资</w:t>
            </w:r>
          </w:p>
        </w:tc>
        <w:tc>
          <w:tcPr>
            <w:tcW w:w="135" w:type="dxa"/>
            <w:tcBorders>
              <w:bottom w:val="nil"/>
            </w:tcBorders>
            <w:vAlign w:val="top"/>
          </w:tcPr>
          <w:p w14:paraId="3BC8BBA6">
            <w:pPr>
              <w:rPr>
                <w:rFonts w:ascii="Arial"/>
                <w:sz w:val="21"/>
              </w:rPr>
            </w:pPr>
          </w:p>
        </w:tc>
      </w:tr>
      <w:tr w14:paraId="5F9DA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Merge w:val="continue"/>
            <w:tcBorders>
              <w:top w:val="nil"/>
              <w:bottom w:val="nil"/>
            </w:tcBorders>
            <w:vAlign w:val="top"/>
          </w:tcPr>
          <w:p w14:paraId="119D15CC">
            <w:pPr>
              <w:rPr>
                <w:rFonts w:ascii="Arial"/>
                <w:sz w:val="21"/>
              </w:rPr>
            </w:pPr>
          </w:p>
        </w:tc>
        <w:tc>
          <w:tcPr>
            <w:tcW w:w="100" w:type="dxa"/>
            <w:tcBorders>
              <w:top w:val="nil"/>
              <w:bottom w:val="nil"/>
            </w:tcBorders>
            <w:shd w:val="clear" w:color="auto" w:fill="FFFFFF"/>
            <w:vAlign w:val="top"/>
          </w:tcPr>
          <w:p w14:paraId="04D41AB1">
            <w:pPr>
              <w:rPr>
                <w:rFonts w:ascii="Arial"/>
                <w:sz w:val="21"/>
              </w:rPr>
            </w:pPr>
          </w:p>
        </w:tc>
        <w:tc>
          <w:tcPr>
            <w:tcW w:w="369" w:type="dxa"/>
            <w:vAlign w:val="top"/>
          </w:tcPr>
          <w:p w14:paraId="085E4208">
            <w:pPr>
              <w:pStyle w:val="6"/>
              <w:spacing w:before="139" w:line="111" w:lineRule="exact"/>
              <w:ind w:left="70"/>
              <w:rPr>
                <w:sz w:val="21"/>
                <w:szCs w:val="21"/>
              </w:rPr>
            </w:pPr>
            <w:r>
              <w:rPr>
                <w:position w:val="-6"/>
                <w:sz w:val="21"/>
                <w:szCs w:val="21"/>
              </w:rPr>
              <w:t>一</w:t>
            </w:r>
          </w:p>
        </w:tc>
        <w:tc>
          <w:tcPr>
            <w:tcW w:w="7622" w:type="dxa"/>
            <w:gridSpan w:val="8"/>
            <w:vAlign w:val="top"/>
          </w:tcPr>
          <w:p w14:paraId="038917C3">
            <w:pPr>
              <w:pStyle w:val="6"/>
              <w:spacing w:before="37" w:line="187" w:lineRule="auto"/>
              <w:ind w:left="3174"/>
              <w:rPr>
                <w:sz w:val="21"/>
                <w:szCs w:val="21"/>
              </w:rPr>
            </w:pPr>
            <w:r>
              <w:rPr>
                <w:b/>
                <w:bCs/>
                <w:spacing w:val="-4"/>
                <w:sz w:val="21"/>
                <w:szCs w:val="21"/>
              </w:rPr>
              <w:t>施工期环保资</w:t>
            </w:r>
          </w:p>
        </w:tc>
        <w:tc>
          <w:tcPr>
            <w:tcW w:w="135" w:type="dxa"/>
            <w:tcBorders>
              <w:top w:val="nil"/>
              <w:bottom w:val="nil"/>
            </w:tcBorders>
            <w:vAlign w:val="top"/>
          </w:tcPr>
          <w:p w14:paraId="34C99238">
            <w:pPr>
              <w:rPr>
                <w:rFonts w:ascii="Arial"/>
                <w:sz w:val="21"/>
              </w:rPr>
            </w:pPr>
          </w:p>
        </w:tc>
      </w:tr>
      <w:tr w14:paraId="745FA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54" w:type="dxa"/>
            <w:vMerge w:val="continue"/>
            <w:tcBorders>
              <w:top w:val="nil"/>
              <w:bottom w:val="nil"/>
            </w:tcBorders>
            <w:vAlign w:val="top"/>
          </w:tcPr>
          <w:p w14:paraId="41FB1690">
            <w:pPr>
              <w:rPr>
                <w:rFonts w:ascii="Arial"/>
                <w:sz w:val="21"/>
              </w:rPr>
            </w:pPr>
          </w:p>
        </w:tc>
        <w:tc>
          <w:tcPr>
            <w:tcW w:w="100" w:type="dxa"/>
            <w:tcBorders>
              <w:top w:val="nil"/>
              <w:bottom w:val="nil"/>
            </w:tcBorders>
            <w:shd w:val="clear" w:color="auto" w:fill="FFFFFF"/>
            <w:vAlign w:val="top"/>
          </w:tcPr>
          <w:p w14:paraId="1EF317FA">
            <w:pPr>
              <w:rPr>
                <w:rFonts w:ascii="Arial"/>
                <w:sz w:val="21"/>
              </w:rPr>
            </w:pPr>
          </w:p>
        </w:tc>
        <w:tc>
          <w:tcPr>
            <w:tcW w:w="369" w:type="dxa"/>
            <w:vAlign w:val="top"/>
          </w:tcPr>
          <w:p w14:paraId="5CDFB36B">
            <w:pPr>
              <w:pStyle w:val="6"/>
              <w:spacing w:before="70" w:line="175" w:lineRule="auto"/>
              <w:ind w:left="120"/>
              <w:rPr>
                <w:sz w:val="21"/>
                <w:szCs w:val="21"/>
              </w:rPr>
            </w:pPr>
            <w:r>
              <w:rPr>
                <w:sz w:val="21"/>
                <w:szCs w:val="21"/>
              </w:rPr>
              <w:t>1</w:t>
            </w:r>
          </w:p>
        </w:tc>
        <w:tc>
          <w:tcPr>
            <w:tcW w:w="640" w:type="dxa"/>
            <w:gridSpan w:val="2"/>
            <w:vAlign w:val="top"/>
          </w:tcPr>
          <w:p w14:paraId="22E554A2">
            <w:pPr>
              <w:pStyle w:val="6"/>
              <w:spacing w:before="50" w:line="193" w:lineRule="auto"/>
              <w:ind w:left="101"/>
              <w:rPr>
                <w:sz w:val="21"/>
                <w:szCs w:val="21"/>
              </w:rPr>
            </w:pPr>
            <w:r>
              <w:rPr>
                <w:spacing w:val="6"/>
                <w:sz w:val="21"/>
                <w:szCs w:val="21"/>
              </w:rPr>
              <w:t>废气</w:t>
            </w:r>
          </w:p>
        </w:tc>
        <w:tc>
          <w:tcPr>
            <w:tcW w:w="4734" w:type="dxa"/>
            <w:gridSpan w:val="4"/>
            <w:vAlign w:val="top"/>
          </w:tcPr>
          <w:p w14:paraId="3024F4BB">
            <w:pPr>
              <w:pStyle w:val="6"/>
              <w:spacing w:before="48" w:line="195" w:lineRule="auto"/>
              <w:ind w:left="1101"/>
              <w:rPr>
                <w:sz w:val="21"/>
                <w:szCs w:val="21"/>
              </w:rPr>
            </w:pPr>
            <w:r>
              <w:rPr>
                <w:sz w:val="21"/>
                <w:szCs w:val="21"/>
              </w:rPr>
              <w:t>洒水降尘、建筑材料覆盖等</w:t>
            </w:r>
          </w:p>
        </w:tc>
        <w:tc>
          <w:tcPr>
            <w:tcW w:w="1149" w:type="dxa"/>
            <w:vAlign w:val="top"/>
          </w:tcPr>
          <w:p w14:paraId="1A4FA0C4">
            <w:pPr>
              <w:pStyle w:val="6"/>
              <w:spacing w:before="55" w:line="189" w:lineRule="auto"/>
              <w:ind w:left="517"/>
              <w:rPr>
                <w:sz w:val="21"/>
                <w:szCs w:val="21"/>
              </w:rPr>
            </w:pPr>
            <w:r>
              <w:rPr>
                <w:sz w:val="21"/>
                <w:szCs w:val="21"/>
              </w:rPr>
              <w:t>/</w:t>
            </w:r>
          </w:p>
        </w:tc>
        <w:tc>
          <w:tcPr>
            <w:tcW w:w="1099" w:type="dxa"/>
            <w:vAlign w:val="top"/>
          </w:tcPr>
          <w:p w14:paraId="3E5BEBDC">
            <w:pPr>
              <w:pStyle w:val="6"/>
              <w:spacing w:before="70" w:line="175" w:lineRule="auto"/>
              <w:ind w:left="488"/>
              <w:rPr>
                <w:sz w:val="21"/>
                <w:szCs w:val="21"/>
              </w:rPr>
            </w:pPr>
            <w:r>
              <w:rPr>
                <w:sz w:val="21"/>
                <w:szCs w:val="21"/>
              </w:rPr>
              <w:t>3</w:t>
            </w:r>
          </w:p>
        </w:tc>
        <w:tc>
          <w:tcPr>
            <w:tcW w:w="135" w:type="dxa"/>
            <w:tcBorders>
              <w:top w:val="nil"/>
              <w:bottom w:val="nil"/>
            </w:tcBorders>
            <w:vAlign w:val="top"/>
          </w:tcPr>
          <w:p w14:paraId="10690F76">
            <w:pPr>
              <w:rPr>
                <w:rFonts w:ascii="Arial"/>
                <w:sz w:val="21"/>
              </w:rPr>
            </w:pPr>
          </w:p>
        </w:tc>
      </w:tr>
      <w:tr w14:paraId="7D45E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54" w:type="dxa"/>
            <w:vMerge w:val="continue"/>
            <w:tcBorders>
              <w:top w:val="nil"/>
              <w:bottom w:val="nil"/>
            </w:tcBorders>
            <w:vAlign w:val="top"/>
          </w:tcPr>
          <w:p w14:paraId="2986F9FF">
            <w:pPr>
              <w:rPr>
                <w:rFonts w:ascii="Arial"/>
                <w:sz w:val="21"/>
              </w:rPr>
            </w:pPr>
          </w:p>
        </w:tc>
        <w:tc>
          <w:tcPr>
            <w:tcW w:w="100" w:type="dxa"/>
            <w:tcBorders>
              <w:top w:val="nil"/>
              <w:bottom w:val="nil"/>
            </w:tcBorders>
            <w:shd w:val="clear" w:color="auto" w:fill="FFFFFF"/>
            <w:vAlign w:val="top"/>
          </w:tcPr>
          <w:p w14:paraId="35870344">
            <w:pPr>
              <w:rPr>
                <w:rFonts w:ascii="Arial"/>
                <w:sz w:val="21"/>
              </w:rPr>
            </w:pPr>
          </w:p>
        </w:tc>
        <w:tc>
          <w:tcPr>
            <w:tcW w:w="369" w:type="dxa"/>
            <w:vAlign w:val="top"/>
          </w:tcPr>
          <w:p w14:paraId="1F51CCA1">
            <w:pPr>
              <w:pStyle w:val="6"/>
              <w:spacing w:before="70" w:line="175" w:lineRule="auto"/>
              <w:ind w:left="120"/>
              <w:rPr>
                <w:sz w:val="21"/>
                <w:szCs w:val="21"/>
              </w:rPr>
            </w:pPr>
            <w:r>
              <w:rPr>
                <w:sz w:val="21"/>
                <w:szCs w:val="21"/>
              </w:rPr>
              <w:t>2</w:t>
            </w:r>
          </w:p>
        </w:tc>
        <w:tc>
          <w:tcPr>
            <w:tcW w:w="640" w:type="dxa"/>
            <w:gridSpan w:val="2"/>
            <w:vAlign w:val="top"/>
          </w:tcPr>
          <w:p w14:paraId="354F3ABA">
            <w:pPr>
              <w:pStyle w:val="6"/>
              <w:spacing w:before="49" w:line="194" w:lineRule="auto"/>
              <w:ind w:left="101"/>
              <w:rPr>
                <w:sz w:val="21"/>
                <w:szCs w:val="21"/>
              </w:rPr>
            </w:pPr>
            <w:r>
              <w:rPr>
                <w:spacing w:val="-2"/>
                <w:sz w:val="21"/>
                <w:szCs w:val="21"/>
              </w:rPr>
              <w:t>废水</w:t>
            </w:r>
          </w:p>
        </w:tc>
        <w:tc>
          <w:tcPr>
            <w:tcW w:w="4734" w:type="dxa"/>
            <w:gridSpan w:val="4"/>
            <w:vAlign w:val="top"/>
          </w:tcPr>
          <w:p w14:paraId="41EB80E1">
            <w:pPr>
              <w:pStyle w:val="6"/>
              <w:spacing w:before="49" w:line="194" w:lineRule="auto"/>
              <w:ind w:left="151"/>
              <w:rPr>
                <w:sz w:val="21"/>
                <w:szCs w:val="21"/>
              </w:rPr>
            </w:pPr>
            <w:r>
              <w:rPr>
                <w:sz w:val="21"/>
                <w:szCs w:val="21"/>
              </w:rPr>
              <w:t>临时沉淀池、临时截排水沟、旱厕、废水沉淀池</w:t>
            </w:r>
          </w:p>
        </w:tc>
        <w:tc>
          <w:tcPr>
            <w:tcW w:w="1149" w:type="dxa"/>
            <w:vAlign w:val="top"/>
          </w:tcPr>
          <w:p w14:paraId="66CE5DF7">
            <w:pPr>
              <w:pStyle w:val="6"/>
              <w:spacing w:before="70" w:line="175" w:lineRule="auto"/>
              <w:ind w:left="407"/>
              <w:rPr>
                <w:sz w:val="21"/>
                <w:szCs w:val="21"/>
              </w:rPr>
            </w:pPr>
            <w:r>
              <w:rPr>
                <w:spacing w:val="-3"/>
                <w:sz w:val="21"/>
                <w:szCs w:val="21"/>
              </w:rPr>
              <w:t>3.5</w:t>
            </w:r>
          </w:p>
        </w:tc>
        <w:tc>
          <w:tcPr>
            <w:tcW w:w="1099" w:type="dxa"/>
            <w:vAlign w:val="top"/>
          </w:tcPr>
          <w:p w14:paraId="09A3C146">
            <w:pPr>
              <w:pStyle w:val="6"/>
              <w:spacing w:before="169" w:line="101" w:lineRule="exact"/>
              <w:ind w:left="438"/>
              <w:rPr>
                <w:sz w:val="21"/>
                <w:szCs w:val="21"/>
              </w:rPr>
            </w:pPr>
            <w:r>
              <w:rPr>
                <w:spacing w:val="-2"/>
                <w:position w:val="-5"/>
                <w:sz w:val="21"/>
                <w:szCs w:val="21"/>
              </w:rPr>
              <w:t>--</w:t>
            </w:r>
          </w:p>
        </w:tc>
        <w:tc>
          <w:tcPr>
            <w:tcW w:w="135" w:type="dxa"/>
            <w:tcBorders>
              <w:top w:val="nil"/>
              <w:bottom w:val="nil"/>
            </w:tcBorders>
            <w:vAlign w:val="top"/>
          </w:tcPr>
          <w:p w14:paraId="1AD0720C">
            <w:pPr>
              <w:rPr>
                <w:rFonts w:ascii="Arial"/>
                <w:sz w:val="21"/>
              </w:rPr>
            </w:pPr>
          </w:p>
        </w:tc>
      </w:tr>
      <w:tr w14:paraId="2F7C1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Merge w:val="continue"/>
            <w:tcBorders>
              <w:top w:val="nil"/>
              <w:bottom w:val="nil"/>
            </w:tcBorders>
            <w:vAlign w:val="top"/>
          </w:tcPr>
          <w:p w14:paraId="44181383">
            <w:pPr>
              <w:rPr>
                <w:rFonts w:ascii="Arial"/>
                <w:sz w:val="21"/>
              </w:rPr>
            </w:pPr>
          </w:p>
        </w:tc>
        <w:tc>
          <w:tcPr>
            <w:tcW w:w="100" w:type="dxa"/>
            <w:tcBorders>
              <w:top w:val="nil"/>
              <w:bottom w:val="nil"/>
            </w:tcBorders>
            <w:shd w:val="clear" w:color="auto" w:fill="FFFFFF"/>
            <w:vAlign w:val="top"/>
          </w:tcPr>
          <w:p w14:paraId="62BA5C03">
            <w:pPr>
              <w:rPr>
                <w:rFonts w:ascii="Arial"/>
                <w:sz w:val="21"/>
              </w:rPr>
            </w:pPr>
          </w:p>
        </w:tc>
        <w:tc>
          <w:tcPr>
            <w:tcW w:w="369" w:type="dxa"/>
            <w:vAlign w:val="top"/>
          </w:tcPr>
          <w:p w14:paraId="0BB23D14">
            <w:pPr>
              <w:pStyle w:val="6"/>
              <w:spacing w:before="60" w:line="167" w:lineRule="auto"/>
              <w:ind w:left="120"/>
              <w:rPr>
                <w:sz w:val="21"/>
                <w:szCs w:val="21"/>
              </w:rPr>
            </w:pPr>
            <w:r>
              <w:rPr>
                <w:sz w:val="21"/>
                <w:szCs w:val="21"/>
              </w:rPr>
              <w:t>3</w:t>
            </w:r>
          </w:p>
        </w:tc>
        <w:tc>
          <w:tcPr>
            <w:tcW w:w="640" w:type="dxa"/>
            <w:gridSpan w:val="2"/>
            <w:vAlign w:val="top"/>
          </w:tcPr>
          <w:p w14:paraId="4082F1A5">
            <w:pPr>
              <w:pStyle w:val="6"/>
              <w:spacing w:before="40" w:line="184" w:lineRule="auto"/>
              <w:ind w:left="101"/>
              <w:rPr>
                <w:sz w:val="21"/>
                <w:szCs w:val="21"/>
              </w:rPr>
            </w:pPr>
            <w:r>
              <w:rPr>
                <w:spacing w:val="6"/>
                <w:sz w:val="21"/>
                <w:szCs w:val="21"/>
              </w:rPr>
              <w:t>噪声</w:t>
            </w:r>
          </w:p>
        </w:tc>
        <w:tc>
          <w:tcPr>
            <w:tcW w:w="4734" w:type="dxa"/>
            <w:gridSpan w:val="4"/>
            <w:vAlign w:val="top"/>
          </w:tcPr>
          <w:p w14:paraId="746DA5D7">
            <w:pPr>
              <w:pStyle w:val="6"/>
              <w:spacing w:before="38" w:line="186" w:lineRule="auto"/>
              <w:ind w:left="572"/>
              <w:rPr>
                <w:sz w:val="21"/>
                <w:szCs w:val="21"/>
              </w:rPr>
            </w:pPr>
            <w:r>
              <w:rPr>
                <w:spacing w:val="1"/>
                <w:sz w:val="21"/>
                <w:szCs w:val="21"/>
              </w:rPr>
              <w:t>选用低噪施工设施，合理布置施工时间</w:t>
            </w:r>
          </w:p>
        </w:tc>
        <w:tc>
          <w:tcPr>
            <w:tcW w:w="1149" w:type="dxa"/>
            <w:vAlign w:val="top"/>
          </w:tcPr>
          <w:p w14:paraId="1C02CD11">
            <w:pPr>
              <w:pStyle w:val="6"/>
              <w:spacing w:before="45" w:line="180" w:lineRule="auto"/>
              <w:ind w:left="517"/>
              <w:rPr>
                <w:sz w:val="21"/>
                <w:szCs w:val="21"/>
              </w:rPr>
            </w:pPr>
            <w:r>
              <w:rPr>
                <w:sz w:val="21"/>
                <w:szCs w:val="21"/>
              </w:rPr>
              <w:t>/</w:t>
            </w:r>
          </w:p>
        </w:tc>
        <w:tc>
          <w:tcPr>
            <w:tcW w:w="1099" w:type="dxa"/>
            <w:vAlign w:val="top"/>
          </w:tcPr>
          <w:p w14:paraId="07F60BC6">
            <w:pPr>
              <w:pStyle w:val="6"/>
              <w:spacing w:before="149" w:line="101" w:lineRule="exact"/>
              <w:ind w:left="438"/>
              <w:rPr>
                <w:sz w:val="21"/>
                <w:szCs w:val="21"/>
              </w:rPr>
            </w:pPr>
            <w:r>
              <w:rPr>
                <w:spacing w:val="-2"/>
                <w:position w:val="-5"/>
                <w:sz w:val="21"/>
                <w:szCs w:val="21"/>
              </w:rPr>
              <w:t>--</w:t>
            </w:r>
          </w:p>
        </w:tc>
        <w:tc>
          <w:tcPr>
            <w:tcW w:w="135" w:type="dxa"/>
            <w:tcBorders>
              <w:top w:val="nil"/>
              <w:bottom w:val="nil"/>
            </w:tcBorders>
            <w:vAlign w:val="top"/>
          </w:tcPr>
          <w:p w14:paraId="3424E0A5">
            <w:pPr>
              <w:rPr>
                <w:rFonts w:ascii="Arial"/>
                <w:sz w:val="21"/>
              </w:rPr>
            </w:pPr>
          </w:p>
        </w:tc>
      </w:tr>
      <w:tr w14:paraId="2625D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54" w:type="dxa"/>
            <w:vMerge w:val="continue"/>
            <w:tcBorders>
              <w:top w:val="nil"/>
              <w:bottom w:val="nil"/>
            </w:tcBorders>
            <w:vAlign w:val="top"/>
          </w:tcPr>
          <w:p w14:paraId="106C12FC">
            <w:pPr>
              <w:rPr>
                <w:rFonts w:ascii="Arial"/>
                <w:sz w:val="21"/>
              </w:rPr>
            </w:pPr>
          </w:p>
        </w:tc>
        <w:tc>
          <w:tcPr>
            <w:tcW w:w="100" w:type="dxa"/>
            <w:tcBorders>
              <w:top w:val="nil"/>
              <w:bottom w:val="nil"/>
            </w:tcBorders>
            <w:shd w:val="clear" w:color="auto" w:fill="FFFFFF"/>
            <w:vAlign w:val="top"/>
          </w:tcPr>
          <w:p w14:paraId="6199341B">
            <w:pPr>
              <w:rPr>
                <w:rFonts w:ascii="Arial"/>
                <w:sz w:val="21"/>
              </w:rPr>
            </w:pPr>
          </w:p>
        </w:tc>
        <w:tc>
          <w:tcPr>
            <w:tcW w:w="369" w:type="dxa"/>
            <w:vAlign w:val="top"/>
          </w:tcPr>
          <w:p w14:paraId="2FE6C749">
            <w:pPr>
              <w:pStyle w:val="6"/>
              <w:spacing w:before="70" w:line="175" w:lineRule="auto"/>
              <w:ind w:left="120"/>
              <w:rPr>
                <w:sz w:val="21"/>
                <w:szCs w:val="21"/>
              </w:rPr>
            </w:pPr>
            <w:r>
              <w:rPr>
                <w:sz w:val="21"/>
                <w:szCs w:val="21"/>
              </w:rPr>
              <w:t>4</w:t>
            </w:r>
          </w:p>
        </w:tc>
        <w:tc>
          <w:tcPr>
            <w:tcW w:w="640" w:type="dxa"/>
            <w:gridSpan w:val="2"/>
            <w:vAlign w:val="top"/>
          </w:tcPr>
          <w:p w14:paraId="16D8A67F">
            <w:pPr>
              <w:pStyle w:val="6"/>
              <w:spacing w:before="55" w:line="189" w:lineRule="auto"/>
              <w:ind w:left="101"/>
              <w:rPr>
                <w:sz w:val="21"/>
                <w:szCs w:val="21"/>
              </w:rPr>
            </w:pPr>
            <w:r>
              <w:rPr>
                <w:spacing w:val="5"/>
                <w:sz w:val="21"/>
                <w:szCs w:val="21"/>
              </w:rPr>
              <w:t>生态</w:t>
            </w:r>
          </w:p>
        </w:tc>
        <w:tc>
          <w:tcPr>
            <w:tcW w:w="4734" w:type="dxa"/>
            <w:gridSpan w:val="4"/>
            <w:vAlign w:val="top"/>
          </w:tcPr>
          <w:p w14:paraId="0EB2F03A">
            <w:pPr>
              <w:pStyle w:val="6"/>
              <w:spacing w:before="49" w:line="194" w:lineRule="auto"/>
              <w:ind w:left="471"/>
              <w:rPr>
                <w:sz w:val="21"/>
                <w:szCs w:val="21"/>
              </w:rPr>
            </w:pPr>
            <w:r>
              <w:rPr>
                <w:spacing w:val="1"/>
                <w:sz w:val="21"/>
                <w:szCs w:val="21"/>
              </w:rPr>
              <w:t>弃土场截排水沟，挡土墙等水土保持费用</w:t>
            </w:r>
          </w:p>
        </w:tc>
        <w:tc>
          <w:tcPr>
            <w:tcW w:w="1149" w:type="dxa"/>
            <w:vAlign w:val="top"/>
          </w:tcPr>
          <w:p w14:paraId="33BCBA5D">
            <w:pPr>
              <w:pStyle w:val="6"/>
              <w:spacing w:before="70" w:line="175" w:lineRule="auto"/>
              <w:ind w:left="407"/>
              <w:rPr>
                <w:sz w:val="21"/>
                <w:szCs w:val="21"/>
              </w:rPr>
            </w:pPr>
            <w:r>
              <w:rPr>
                <w:spacing w:val="-3"/>
                <w:sz w:val="21"/>
                <w:szCs w:val="21"/>
              </w:rPr>
              <w:t>250</w:t>
            </w:r>
          </w:p>
        </w:tc>
        <w:tc>
          <w:tcPr>
            <w:tcW w:w="1099" w:type="dxa"/>
            <w:vAlign w:val="top"/>
          </w:tcPr>
          <w:p w14:paraId="71D293A3">
            <w:pPr>
              <w:rPr>
                <w:rFonts w:ascii="Arial"/>
                <w:sz w:val="21"/>
              </w:rPr>
            </w:pPr>
          </w:p>
        </w:tc>
        <w:tc>
          <w:tcPr>
            <w:tcW w:w="135" w:type="dxa"/>
            <w:tcBorders>
              <w:top w:val="nil"/>
              <w:bottom w:val="nil"/>
            </w:tcBorders>
            <w:vAlign w:val="top"/>
          </w:tcPr>
          <w:p w14:paraId="22E5915F">
            <w:pPr>
              <w:rPr>
                <w:rFonts w:ascii="Arial"/>
                <w:sz w:val="21"/>
              </w:rPr>
            </w:pPr>
          </w:p>
        </w:tc>
      </w:tr>
      <w:tr w14:paraId="30AFA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Merge w:val="continue"/>
            <w:tcBorders>
              <w:top w:val="nil"/>
              <w:bottom w:val="nil"/>
            </w:tcBorders>
            <w:vAlign w:val="top"/>
          </w:tcPr>
          <w:p w14:paraId="6E2E6BFA">
            <w:pPr>
              <w:rPr>
                <w:rFonts w:ascii="Arial"/>
                <w:sz w:val="21"/>
              </w:rPr>
            </w:pPr>
          </w:p>
        </w:tc>
        <w:tc>
          <w:tcPr>
            <w:tcW w:w="100" w:type="dxa"/>
            <w:tcBorders>
              <w:top w:val="nil"/>
              <w:bottom w:val="nil"/>
            </w:tcBorders>
            <w:shd w:val="clear" w:color="auto" w:fill="FFFFFF"/>
            <w:vAlign w:val="top"/>
          </w:tcPr>
          <w:p w14:paraId="54E65CBC">
            <w:pPr>
              <w:rPr>
                <w:rFonts w:ascii="Arial"/>
                <w:sz w:val="21"/>
              </w:rPr>
            </w:pPr>
          </w:p>
        </w:tc>
        <w:tc>
          <w:tcPr>
            <w:tcW w:w="5743" w:type="dxa"/>
            <w:gridSpan w:val="7"/>
            <w:vAlign w:val="top"/>
          </w:tcPr>
          <w:p w14:paraId="26DAB8CE">
            <w:pPr>
              <w:pStyle w:val="6"/>
              <w:spacing w:before="40" w:line="184" w:lineRule="auto"/>
              <w:ind w:left="2661"/>
              <w:rPr>
                <w:sz w:val="21"/>
                <w:szCs w:val="21"/>
              </w:rPr>
            </w:pPr>
            <w:r>
              <w:rPr>
                <w:spacing w:val="4"/>
                <w:sz w:val="21"/>
                <w:szCs w:val="21"/>
              </w:rPr>
              <w:t>小计</w:t>
            </w:r>
          </w:p>
        </w:tc>
        <w:tc>
          <w:tcPr>
            <w:tcW w:w="1149" w:type="dxa"/>
            <w:vAlign w:val="top"/>
          </w:tcPr>
          <w:p w14:paraId="3DE082DF">
            <w:pPr>
              <w:pStyle w:val="6"/>
              <w:spacing w:before="57" w:line="169" w:lineRule="auto"/>
              <w:ind w:left="310"/>
              <w:rPr>
                <w:sz w:val="21"/>
                <w:szCs w:val="21"/>
              </w:rPr>
            </w:pPr>
            <w:r>
              <w:rPr>
                <w:b/>
                <w:bCs/>
                <w:spacing w:val="-4"/>
                <w:sz w:val="21"/>
                <w:szCs w:val="21"/>
              </w:rPr>
              <w:t>253.5</w:t>
            </w:r>
          </w:p>
        </w:tc>
        <w:tc>
          <w:tcPr>
            <w:tcW w:w="1099" w:type="dxa"/>
            <w:vAlign w:val="top"/>
          </w:tcPr>
          <w:p w14:paraId="255C4733">
            <w:pPr>
              <w:pStyle w:val="6"/>
              <w:spacing w:before="58" w:line="168" w:lineRule="auto"/>
              <w:ind w:left="491"/>
              <w:rPr>
                <w:sz w:val="21"/>
                <w:szCs w:val="21"/>
              </w:rPr>
            </w:pPr>
            <w:r>
              <w:rPr>
                <w:b/>
                <w:bCs/>
                <w:spacing w:val="-3"/>
                <w:sz w:val="21"/>
                <w:szCs w:val="21"/>
              </w:rPr>
              <w:t>3</w:t>
            </w:r>
          </w:p>
        </w:tc>
        <w:tc>
          <w:tcPr>
            <w:tcW w:w="135" w:type="dxa"/>
            <w:tcBorders>
              <w:top w:val="nil"/>
              <w:bottom w:val="nil"/>
            </w:tcBorders>
            <w:vAlign w:val="top"/>
          </w:tcPr>
          <w:p w14:paraId="3B866DE2">
            <w:pPr>
              <w:rPr>
                <w:rFonts w:ascii="Arial"/>
                <w:sz w:val="21"/>
              </w:rPr>
            </w:pPr>
          </w:p>
        </w:tc>
      </w:tr>
      <w:tr w14:paraId="71AAD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54" w:type="dxa"/>
            <w:vMerge w:val="continue"/>
            <w:tcBorders>
              <w:top w:val="nil"/>
              <w:bottom w:val="nil"/>
            </w:tcBorders>
            <w:vAlign w:val="top"/>
          </w:tcPr>
          <w:p w14:paraId="43F153DB">
            <w:pPr>
              <w:rPr>
                <w:rFonts w:ascii="Arial"/>
                <w:sz w:val="21"/>
              </w:rPr>
            </w:pPr>
          </w:p>
        </w:tc>
        <w:tc>
          <w:tcPr>
            <w:tcW w:w="100" w:type="dxa"/>
            <w:tcBorders>
              <w:top w:val="nil"/>
              <w:bottom w:val="nil"/>
            </w:tcBorders>
            <w:shd w:val="clear" w:color="auto" w:fill="FFFFFF"/>
            <w:vAlign w:val="top"/>
          </w:tcPr>
          <w:p w14:paraId="3083B800">
            <w:pPr>
              <w:rPr>
                <w:rFonts w:ascii="Arial"/>
                <w:sz w:val="21"/>
              </w:rPr>
            </w:pPr>
          </w:p>
        </w:tc>
        <w:tc>
          <w:tcPr>
            <w:tcW w:w="369" w:type="dxa"/>
            <w:vAlign w:val="top"/>
          </w:tcPr>
          <w:p w14:paraId="546E588A">
            <w:pPr>
              <w:pStyle w:val="6"/>
              <w:spacing w:before="109" w:line="161" w:lineRule="exact"/>
              <w:ind w:left="70"/>
              <w:rPr>
                <w:sz w:val="21"/>
                <w:szCs w:val="21"/>
              </w:rPr>
            </w:pPr>
            <w:r>
              <w:rPr>
                <w:position w:val="-2"/>
                <w:sz w:val="21"/>
                <w:szCs w:val="21"/>
              </w:rPr>
              <w:t>二</w:t>
            </w:r>
          </w:p>
        </w:tc>
        <w:tc>
          <w:tcPr>
            <w:tcW w:w="7622" w:type="dxa"/>
            <w:gridSpan w:val="8"/>
            <w:vAlign w:val="top"/>
          </w:tcPr>
          <w:p w14:paraId="3077F057">
            <w:pPr>
              <w:pStyle w:val="6"/>
              <w:spacing w:before="47" w:line="196" w:lineRule="auto"/>
              <w:ind w:left="3174"/>
              <w:rPr>
                <w:sz w:val="21"/>
                <w:szCs w:val="21"/>
              </w:rPr>
            </w:pPr>
            <w:r>
              <w:rPr>
                <w:b/>
                <w:bCs/>
                <w:spacing w:val="-4"/>
                <w:sz w:val="21"/>
                <w:szCs w:val="21"/>
              </w:rPr>
              <w:t>运营期环保资</w:t>
            </w:r>
          </w:p>
        </w:tc>
        <w:tc>
          <w:tcPr>
            <w:tcW w:w="135" w:type="dxa"/>
            <w:tcBorders>
              <w:top w:val="nil"/>
              <w:bottom w:val="nil"/>
            </w:tcBorders>
            <w:vAlign w:val="top"/>
          </w:tcPr>
          <w:p w14:paraId="5F929EE3">
            <w:pPr>
              <w:rPr>
                <w:rFonts w:ascii="Arial"/>
                <w:sz w:val="21"/>
              </w:rPr>
            </w:pPr>
          </w:p>
        </w:tc>
      </w:tr>
      <w:tr w14:paraId="76BAA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754" w:type="dxa"/>
            <w:vMerge w:val="continue"/>
            <w:tcBorders>
              <w:top w:val="nil"/>
            </w:tcBorders>
            <w:vAlign w:val="top"/>
          </w:tcPr>
          <w:p w14:paraId="52ABD789">
            <w:pPr>
              <w:rPr>
                <w:rFonts w:ascii="Arial"/>
                <w:sz w:val="21"/>
              </w:rPr>
            </w:pPr>
          </w:p>
        </w:tc>
        <w:tc>
          <w:tcPr>
            <w:tcW w:w="100" w:type="dxa"/>
            <w:tcBorders>
              <w:top w:val="nil"/>
            </w:tcBorders>
            <w:shd w:val="clear" w:color="auto" w:fill="FFFFFF"/>
            <w:vAlign w:val="top"/>
          </w:tcPr>
          <w:p w14:paraId="1643D915">
            <w:pPr>
              <w:rPr>
                <w:rFonts w:ascii="Arial"/>
                <w:sz w:val="21"/>
              </w:rPr>
            </w:pPr>
          </w:p>
        </w:tc>
        <w:tc>
          <w:tcPr>
            <w:tcW w:w="369" w:type="dxa"/>
            <w:vAlign w:val="top"/>
          </w:tcPr>
          <w:p w14:paraId="1674E15A">
            <w:pPr>
              <w:pStyle w:val="6"/>
              <w:spacing w:before="160" w:line="241" w:lineRule="auto"/>
              <w:ind w:left="120"/>
              <w:rPr>
                <w:sz w:val="21"/>
                <w:szCs w:val="21"/>
              </w:rPr>
            </w:pPr>
            <w:r>
              <w:rPr>
                <w:sz w:val="21"/>
                <w:szCs w:val="21"/>
              </w:rPr>
              <w:t>1</w:t>
            </w:r>
          </w:p>
        </w:tc>
        <w:tc>
          <w:tcPr>
            <w:tcW w:w="640" w:type="dxa"/>
            <w:gridSpan w:val="2"/>
            <w:vAlign w:val="top"/>
          </w:tcPr>
          <w:p w14:paraId="7A4BFC20">
            <w:pPr>
              <w:pStyle w:val="6"/>
              <w:spacing w:before="139" w:line="219" w:lineRule="auto"/>
              <w:ind w:left="101"/>
              <w:rPr>
                <w:sz w:val="21"/>
                <w:szCs w:val="21"/>
              </w:rPr>
            </w:pPr>
            <w:r>
              <w:rPr>
                <w:spacing w:val="-2"/>
                <w:sz w:val="21"/>
                <w:szCs w:val="21"/>
              </w:rPr>
              <w:t>废水</w:t>
            </w:r>
          </w:p>
        </w:tc>
        <w:tc>
          <w:tcPr>
            <w:tcW w:w="1218" w:type="dxa"/>
            <w:gridSpan w:val="2"/>
            <w:vAlign w:val="top"/>
          </w:tcPr>
          <w:p w14:paraId="22EF22C8">
            <w:pPr>
              <w:pStyle w:val="6"/>
              <w:spacing w:before="139" w:line="219" w:lineRule="auto"/>
              <w:ind w:left="291"/>
              <w:rPr>
                <w:sz w:val="21"/>
                <w:szCs w:val="21"/>
              </w:rPr>
            </w:pPr>
            <w:r>
              <w:rPr>
                <w:spacing w:val="-3"/>
                <w:sz w:val="21"/>
                <w:szCs w:val="21"/>
              </w:rPr>
              <w:t>化粪池</w:t>
            </w:r>
          </w:p>
        </w:tc>
        <w:tc>
          <w:tcPr>
            <w:tcW w:w="3516" w:type="dxa"/>
            <w:gridSpan w:val="2"/>
            <w:vAlign w:val="top"/>
          </w:tcPr>
          <w:p w14:paraId="10E50A34">
            <w:pPr>
              <w:pStyle w:val="6"/>
              <w:spacing w:before="140" w:line="220" w:lineRule="auto"/>
              <w:ind w:left="753"/>
              <w:rPr>
                <w:sz w:val="21"/>
                <w:szCs w:val="21"/>
              </w:rPr>
            </w:pPr>
            <w:r>
              <w:rPr>
                <w:spacing w:val="13"/>
                <w:sz w:val="21"/>
                <w:szCs w:val="21"/>
              </w:rPr>
              <w:t>1座，容积不小于1m³</w:t>
            </w:r>
          </w:p>
        </w:tc>
        <w:tc>
          <w:tcPr>
            <w:tcW w:w="1149" w:type="dxa"/>
            <w:vAlign w:val="top"/>
          </w:tcPr>
          <w:p w14:paraId="24DD5551">
            <w:pPr>
              <w:pStyle w:val="6"/>
              <w:spacing w:before="160" w:line="239" w:lineRule="auto"/>
              <w:ind w:left="407"/>
              <w:rPr>
                <w:sz w:val="21"/>
                <w:szCs w:val="21"/>
              </w:rPr>
            </w:pPr>
            <w:r>
              <w:rPr>
                <w:spacing w:val="-6"/>
                <w:sz w:val="21"/>
                <w:szCs w:val="21"/>
              </w:rPr>
              <w:t>1.5</w:t>
            </w:r>
          </w:p>
        </w:tc>
        <w:tc>
          <w:tcPr>
            <w:tcW w:w="1099" w:type="dxa"/>
            <w:vAlign w:val="top"/>
          </w:tcPr>
          <w:p w14:paraId="0341BBF8">
            <w:pPr>
              <w:pStyle w:val="6"/>
              <w:spacing w:before="145" w:line="224" w:lineRule="auto"/>
              <w:ind w:left="488"/>
              <w:rPr>
                <w:sz w:val="21"/>
                <w:szCs w:val="21"/>
              </w:rPr>
            </w:pPr>
            <w:r>
              <w:rPr>
                <w:sz w:val="21"/>
                <w:szCs w:val="21"/>
              </w:rPr>
              <w:t>/</w:t>
            </w:r>
          </w:p>
        </w:tc>
        <w:tc>
          <w:tcPr>
            <w:tcW w:w="135" w:type="dxa"/>
            <w:tcBorders>
              <w:top w:val="nil"/>
            </w:tcBorders>
            <w:vAlign w:val="top"/>
          </w:tcPr>
          <w:p w14:paraId="27D6AE86">
            <w:pPr>
              <w:rPr>
                <w:rFonts w:ascii="Arial"/>
                <w:sz w:val="21"/>
              </w:rPr>
            </w:pPr>
          </w:p>
        </w:tc>
      </w:tr>
    </w:tbl>
    <w:p w14:paraId="5A70C78A">
      <w:pPr>
        <w:pStyle w:val="2"/>
      </w:pPr>
    </w:p>
    <w:p w14:paraId="1D6A15B5">
      <w:pPr>
        <w:sectPr>
          <w:footerReference r:id="rId131" w:type="default"/>
          <w:pgSz w:w="11910" w:h="16840"/>
          <w:pgMar w:top="1431" w:right="1484" w:bottom="1269" w:left="1435" w:header="0" w:footer="1089" w:gutter="0"/>
          <w:cols w:space="720" w:num="1"/>
        </w:sectPr>
      </w:pPr>
    </w:p>
    <w:p w14:paraId="7918B623">
      <w:pPr>
        <w:spacing w:line="93" w:lineRule="exact"/>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110"/>
        <w:gridCol w:w="359"/>
        <w:gridCol w:w="649"/>
        <w:gridCol w:w="1199"/>
        <w:gridCol w:w="3536"/>
        <w:gridCol w:w="1139"/>
        <w:gridCol w:w="1119"/>
        <w:gridCol w:w="115"/>
      </w:tblGrid>
      <w:tr w14:paraId="2E21F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744" w:type="dxa"/>
            <w:vMerge w:val="restart"/>
            <w:tcBorders>
              <w:bottom w:val="nil"/>
            </w:tcBorders>
            <w:vAlign w:val="top"/>
          </w:tcPr>
          <w:p w14:paraId="7FA19589">
            <w:pPr>
              <w:rPr>
                <w:rFonts w:ascii="Arial"/>
                <w:sz w:val="21"/>
              </w:rPr>
            </w:pPr>
          </w:p>
        </w:tc>
        <w:tc>
          <w:tcPr>
            <w:tcW w:w="110" w:type="dxa"/>
            <w:tcBorders>
              <w:bottom w:val="nil"/>
            </w:tcBorders>
            <w:vAlign w:val="top"/>
          </w:tcPr>
          <w:p w14:paraId="7E3B00AD">
            <w:pPr>
              <w:rPr>
                <w:rFonts w:ascii="Arial"/>
                <w:sz w:val="21"/>
              </w:rPr>
            </w:pPr>
          </w:p>
        </w:tc>
        <w:tc>
          <w:tcPr>
            <w:tcW w:w="359" w:type="dxa"/>
            <w:vAlign w:val="top"/>
          </w:tcPr>
          <w:p w14:paraId="4B71BEE0">
            <w:pPr>
              <w:pStyle w:val="6"/>
              <w:spacing w:before="164" w:line="241" w:lineRule="auto"/>
              <w:ind w:left="110"/>
              <w:rPr>
                <w:sz w:val="21"/>
                <w:szCs w:val="21"/>
              </w:rPr>
            </w:pPr>
            <w:r>
              <w:rPr>
                <w:sz w:val="21"/>
                <w:szCs w:val="21"/>
              </w:rPr>
              <w:t>2</w:t>
            </w:r>
          </w:p>
        </w:tc>
        <w:tc>
          <w:tcPr>
            <w:tcW w:w="649" w:type="dxa"/>
            <w:vMerge w:val="restart"/>
            <w:tcBorders>
              <w:bottom w:val="nil"/>
            </w:tcBorders>
            <w:vAlign w:val="top"/>
          </w:tcPr>
          <w:p w14:paraId="691B6F1B">
            <w:pPr>
              <w:rPr>
                <w:rFonts w:ascii="Arial"/>
                <w:sz w:val="21"/>
              </w:rPr>
            </w:pPr>
          </w:p>
        </w:tc>
        <w:tc>
          <w:tcPr>
            <w:tcW w:w="1199" w:type="dxa"/>
            <w:vAlign w:val="top"/>
          </w:tcPr>
          <w:p w14:paraId="7DE6C68B">
            <w:pPr>
              <w:pStyle w:val="6"/>
              <w:spacing w:before="144" w:line="220" w:lineRule="auto"/>
              <w:ind w:left="63"/>
              <w:rPr>
                <w:sz w:val="21"/>
                <w:szCs w:val="21"/>
              </w:rPr>
            </w:pPr>
            <w:r>
              <w:rPr>
                <w:spacing w:val="-2"/>
                <w:sz w:val="21"/>
                <w:szCs w:val="21"/>
              </w:rPr>
              <w:t>食堂隔油池</w:t>
            </w:r>
          </w:p>
        </w:tc>
        <w:tc>
          <w:tcPr>
            <w:tcW w:w="3536" w:type="dxa"/>
            <w:vAlign w:val="top"/>
          </w:tcPr>
          <w:p w14:paraId="00E5E8D9">
            <w:pPr>
              <w:pStyle w:val="6"/>
              <w:spacing w:before="144" w:line="220" w:lineRule="auto"/>
              <w:ind w:left="653"/>
              <w:rPr>
                <w:sz w:val="21"/>
                <w:szCs w:val="21"/>
              </w:rPr>
            </w:pPr>
            <w:r>
              <w:rPr>
                <w:spacing w:val="12"/>
                <w:sz w:val="21"/>
                <w:szCs w:val="21"/>
              </w:rPr>
              <w:t>1座，容积不小于0.2m³</w:t>
            </w:r>
          </w:p>
        </w:tc>
        <w:tc>
          <w:tcPr>
            <w:tcW w:w="1139" w:type="dxa"/>
            <w:vAlign w:val="top"/>
          </w:tcPr>
          <w:p w14:paraId="7DEBF49C">
            <w:pPr>
              <w:pStyle w:val="6"/>
              <w:spacing w:before="164" w:line="239" w:lineRule="auto"/>
              <w:ind w:left="407"/>
              <w:rPr>
                <w:sz w:val="21"/>
                <w:szCs w:val="21"/>
              </w:rPr>
            </w:pPr>
            <w:r>
              <w:rPr>
                <w:spacing w:val="-3"/>
                <w:sz w:val="21"/>
                <w:szCs w:val="21"/>
              </w:rPr>
              <w:t>0.5</w:t>
            </w:r>
          </w:p>
        </w:tc>
        <w:tc>
          <w:tcPr>
            <w:tcW w:w="1119" w:type="dxa"/>
            <w:vAlign w:val="top"/>
          </w:tcPr>
          <w:p w14:paraId="1C9FDEE1">
            <w:pPr>
              <w:rPr>
                <w:rFonts w:ascii="Arial"/>
                <w:sz w:val="21"/>
              </w:rPr>
            </w:pPr>
          </w:p>
        </w:tc>
        <w:tc>
          <w:tcPr>
            <w:tcW w:w="115" w:type="dxa"/>
            <w:tcBorders>
              <w:bottom w:val="nil"/>
            </w:tcBorders>
            <w:vAlign w:val="top"/>
          </w:tcPr>
          <w:p w14:paraId="23BCFA0A">
            <w:pPr>
              <w:rPr>
                <w:rFonts w:ascii="Arial"/>
                <w:sz w:val="21"/>
              </w:rPr>
            </w:pPr>
          </w:p>
        </w:tc>
      </w:tr>
      <w:tr w14:paraId="710A5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44" w:type="dxa"/>
            <w:vMerge w:val="continue"/>
            <w:tcBorders>
              <w:top w:val="nil"/>
              <w:bottom w:val="nil"/>
            </w:tcBorders>
            <w:vAlign w:val="top"/>
          </w:tcPr>
          <w:p w14:paraId="149A2353">
            <w:pPr>
              <w:rPr>
                <w:rFonts w:ascii="Arial"/>
                <w:sz w:val="21"/>
              </w:rPr>
            </w:pPr>
          </w:p>
        </w:tc>
        <w:tc>
          <w:tcPr>
            <w:tcW w:w="110" w:type="dxa"/>
            <w:tcBorders>
              <w:top w:val="nil"/>
              <w:bottom w:val="nil"/>
            </w:tcBorders>
            <w:vAlign w:val="top"/>
          </w:tcPr>
          <w:p w14:paraId="6A0A3E8D">
            <w:pPr>
              <w:rPr>
                <w:rFonts w:ascii="Arial"/>
                <w:sz w:val="21"/>
              </w:rPr>
            </w:pPr>
          </w:p>
        </w:tc>
        <w:tc>
          <w:tcPr>
            <w:tcW w:w="359" w:type="dxa"/>
            <w:vAlign w:val="top"/>
          </w:tcPr>
          <w:p w14:paraId="51A3571F">
            <w:pPr>
              <w:pStyle w:val="6"/>
              <w:spacing w:before="190"/>
              <w:ind w:left="110"/>
              <w:rPr>
                <w:sz w:val="21"/>
                <w:szCs w:val="21"/>
              </w:rPr>
            </w:pPr>
            <w:r>
              <w:rPr>
                <w:sz w:val="21"/>
                <w:szCs w:val="21"/>
              </w:rPr>
              <w:t>3</w:t>
            </w:r>
          </w:p>
        </w:tc>
        <w:tc>
          <w:tcPr>
            <w:tcW w:w="649" w:type="dxa"/>
            <w:vMerge w:val="continue"/>
            <w:tcBorders>
              <w:top w:val="nil"/>
              <w:bottom w:val="nil"/>
            </w:tcBorders>
            <w:vAlign w:val="top"/>
          </w:tcPr>
          <w:p w14:paraId="3BF8B26F">
            <w:pPr>
              <w:rPr>
                <w:rFonts w:ascii="Arial"/>
                <w:sz w:val="21"/>
              </w:rPr>
            </w:pPr>
          </w:p>
        </w:tc>
        <w:tc>
          <w:tcPr>
            <w:tcW w:w="1199" w:type="dxa"/>
            <w:vAlign w:val="top"/>
          </w:tcPr>
          <w:p w14:paraId="0E29A8CE">
            <w:pPr>
              <w:pStyle w:val="6"/>
              <w:spacing w:before="38" w:line="220" w:lineRule="auto"/>
              <w:ind w:left="172" w:right="66" w:hanging="109"/>
              <w:rPr>
                <w:sz w:val="21"/>
                <w:szCs w:val="21"/>
              </w:rPr>
            </w:pPr>
            <w:r>
              <w:rPr>
                <w:spacing w:val="1"/>
                <w:sz w:val="21"/>
                <w:szCs w:val="21"/>
              </w:rPr>
              <w:t>一体化污水</w:t>
            </w:r>
            <w:r>
              <w:rPr>
                <w:spacing w:val="3"/>
                <w:sz w:val="21"/>
                <w:szCs w:val="21"/>
              </w:rPr>
              <w:t xml:space="preserve"> </w:t>
            </w:r>
            <w:r>
              <w:rPr>
                <w:spacing w:val="2"/>
                <w:sz w:val="21"/>
                <w:szCs w:val="21"/>
              </w:rPr>
              <w:t>处理设备</w:t>
            </w:r>
          </w:p>
        </w:tc>
        <w:tc>
          <w:tcPr>
            <w:tcW w:w="3536" w:type="dxa"/>
            <w:vAlign w:val="top"/>
          </w:tcPr>
          <w:p w14:paraId="7CD4FB45">
            <w:pPr>
              <w:pStyle w:val="6"/>
              <w:spacing w:before="36" w:line="216" w:lineRule="auto"/>
              <w:ind w:left="83"/>
              <w:rPr>
                <w:sz w:val="21"/>
                <w:szCs w:val="21"/>
              </w:rPr>
            </w:pPr>
            <w:r>
              <w:rPr>
                <w:spacing w:val="10"/>
                <w:sz w:val="21"/>
                <w:szCs w:val="21"/>
              </w:rPr>
              <w:t>1套，容积2m³/d,配套建设4m³中水</w:t>
            </w:r>
          </w:p>
          <w:p w14:paraId="3DAE292B">
            <w:pPr>
              <w:pStyle w:val="6"/>
              <w:spacing w:before="26" w:line="202" w:lineRule="auto"/>
              <w:ind w:left="653"/>
              <w:rPr>
                <w:sz w:val="21"/>
                <w:szCs w:val="21"/>
              </w:rPr>
            </w:pPr>
            <w:r>
              <w:rPr>
                <w:sz w:val="21"/>
                <w:szCs w:val="21"/>
              </w:rPr>
              <w:t>储存池及中水回用管网。</w:t>
            </w:r>
          </w:p>
        </w:tc>
        <w:tc>
          <w:tcPr>
            <w:tcW w:w="1139" w:type="dxa"/>
            <w:vAlign w:val="top"/>
          </w:tcPr>
          <w:p w14:paraId="7A794745">
            <w:pPr>
              <w:pStyle w:val="6"/>
              <w:spacing w:before="190"/>
              <w:ind w:left="507"/>
              <w:rPr>
                <w:sz w:val="21"/>
                <w:szCs w:val="21"/>
              </w:rPr>
            </w:pPr>
            <w:r>
              <w:rPr>
                <w:sz w:val="21"/>
                <w:szCs w:val="21"/>
              </w:rPr>
              <w:t>5</w:t>
            </w:r>
          </w:p>
        </w:tc>
        <w:tc>
          <w:tcPr>
            <w:tcW w:w="1119" w:type="dxa"/>
            <w:vAlign w:val="top"/>
          </w:tcPr>
          <w:p w14:paraId="748A484D">
            <w:pPr>
              <w:pStyle w:val="6"/>
              <w:spacing w:before="175" w:line="224" w:lineRule="auto"/>
              <w:ind w:left="498"/>
              <w:rPr>
                <w:sz w:val="21"/>
                <w:szCs w:val="21"/>
              </w:rPr>
            </w:pPr>
            <w:r>
              <w:rPr>
                <w:sz w:val="21"/>
                <w:szCs w:val="21"/>
              </w:rPr>
              <w:t>/</w:t>
            </w:r>
          </w:p>
        </w:tc>
        <w:tc>
          <w:tcPr>
            <w:tcW w:w="115" w:type="dxa"/>
            <w:tcBorders>
              <w:top w:val="nil"/>
              <w:bottom w:val="nil"/>
            </w:tcBorders>
            <w:vAlign w:val="top"/>
          </w:tcPr>
          <w:p w14:paraId="14CEAA09">
            <w:pPr>
              <w:rPr>
                <w:rFonts w:ascii="Arial"/>
                <w:sz w:val="21"/>
              </w:rPr>
            </w:pPr>
          </w:p>
        </w:tc>
      </w:tr>
      <w:tr w14:paraId="4452C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44" w:type="dxa"/>
            <w:vMerge w:val="continue"/>
            <w:tcBorders>
              <w:top w:val="nil"/>
              <w:bottom w:val="nil"/>
            </w:tcBorders>
            <w:vAlign w:val="top"/>
          </w:tcPr>
          <w:p w14:paraId="12350279">
            <w:pPr>
              <w:rPr>
                <w:rFonts w:ascii="Arial"/>
                <w:sz w:val="21"/>
              </w:rPr>
            </w:pPr>
          </w:p>
        </w:tc>
        <w:tc>
          <w:tcPr>
            <w:tcW w:w="110" w:type="dxa"/>
            <w:tcBorders>
              <w:top w:val="nil"/>
              <w:bottom w:val="nil"/>
            </w:tcBorders>
            <w:vAlign w:val="top"/>
          </w:tcPr>
          <w:p w14:paraId="20DDF2AA">
            <w:pPr>
              <w:rPr>
                <w:rFonts w:ascii="Arial"/>
                <w:sz w:val="21"/>
              </w:rPr>
            </w:pPr>
          </w:p>
        </w:tc>
        <w:tc>
          <w:tcPr>
            <w:tcW w:w="359" w:type="dxa"/>
            <w:vAlign w:val="top"/>
          </w:tcPr>
          <w:p w14:paraId="7227EAC5">
            <w:pPr>
              <w:pStyle w:val="6"/>
              <w:spacing w:before="191" w:line="241" w:lineRule="auto"/>
              <w:ind w:left="110"/>
              <w:rPr>
                <w:sz w:val="21"/>
                <w:szCs w:val="21"/>
              </w:rPr>
            </w:pPr>
            <w:r>
              <w:rPr>
                <w:sz w:val="21"/>
                <w:szCs w:val="21"/>
              </w:rPr>
              <w:t>4</w:t>
            </w:r>
          </w:p>
        </w:tc>
        <w:tc>
          <w:tcPr>
            <w:tcW w:w="649" w:type="dxa"/>
            <w:vMerge w:val="continue"/>
            <w:tcBorders>
              <w:top w:val="nil"/>
            </w:tcBorders>
            <w:vAlign w:val="top"/>
          </w:tcPr>
          <w:p w14:paraId="561AA988">
            <w:pPr>
              <w:rPr>
                <w:rFonts w:ascii="Arial"/>
                <w:sz w:val="21"/>
              </w:rPr>
            </w:pPr>
          </w:p>
        </w:tc>
        <w:tc>
          <w:tcPr>
            <w:tcW w:w="4735" w:type="dxa"/>
            <w:gridSpan w:val="2"/>
            <w:vAlign w:val="top"/>
          </w:tcPr>
          <w:p w14:paraId="7762AEA1">
            <w:pPr>
              <w:pStyle w:val="6"/>
              <w:spacing w:before="40" w:line="219" w:lineRule="auto"/>
              <w:ind w:left="971" w:hanging="959"/>
              <w:rPr>
                <w:sz w:val="21"/>
                <w:szCs w:val="21"/>
              </w:rPr>
            </w:pPr>
            <w:r>
              <w:rPr>
                <w:spacing w:val="-14"/>
                <w:sz w:val="21"/>
                <w:szCs w:val="21"/>
              </w:rPr>
              <w:t>厂内实施“清污分流、雨污分流”排水，自建厂内雨、</w:t>
            </w:r>
            <w:r>
              <w:rPr>
                <w:spacing w:val="7"/>
                <w:sz w:val="21"/>
                <w:szCs w:val="21"/>
              </w:rPr>
              <w:t xml:space="preserve"> </w:t>
            </w:r>
            <w:r>
              <w:rPr>
                <w:spacing w:val="-5"/>
                <w:sz w:val="21"/>
                <w:szCs w:val="21"/>
              </w:rPr>
              <w:t>污水管网和生产废水回用管道</w:t>
            </w:r>
          </w:p>
        </w:tc>
        <w:tc>
          <w:tcPr>
            <w:tcW w:w="1139" w:type="dxa"/>
            <w:vAlign w:val="top"/>
          </w:tcPr>
          <w:p w14:paraId="6A62965B">
            <w:pPr>
              <w:pStyle w:val="6"/>
              <w:spacing w:before="190"/>
              <w:ind w:left="507"/>
              <w:rPr>
                <w:sz w:val="21"/>
                <w:szCs w:val="21"/>
              </w:rPr>
            </w:pPr>
            <w:r>
              <w:rPr>
                <w:sz w:val="21"/>
                <w:szCs w:val="21"/>
              </w:rPr>
              <w:t>3</w:t>
            </w:r>
          </w:p>
        </w:tc>
        <w:tc>
          <w:tcPr>
            <w:tcW w:w="1119" w:type="dxa"/>
            <w:vAlign w:val="top"/>
          </w:tcPr>
          <w:p w14:paraId="1FCB669F">
            <w:pPr>
              <w:pStyle w:val="6"/>
              <w:spacing w:before="176" w:line="224" w:lineRule="auto"/>
              <w:ind w:left="498"/>
              <w:rPr>
                <w:sz w:val="21"/>
                <w:szCs w:val="21"/>
              </w:rPr>
            </w:pPr>
            <w:r>
              <w:rPr>
                <w:sz w:val="21"/>
                <w:szCs w:val="21"/>
              </w:rPr>
              <w:t>/</w:t>
            </w:r>
          </w:p>
        </w:tc>
        <w:tc>
          <w:tcPr>
            <w:tcW w:w="115" w:type="dxa"/>
            <w:tcBorders>
              <w:top w:val="nil"/>
              <w:bottom w:val="nil"/>
            </w:tcBorders>
            <w:vAlign w:val="top"/>
          </w:tcPr>
          <w:p w14:paraId="554DDCC8">
            <w:pPr>
              <w:rPr>
                <w:rFonts w:ascii="Arial"/>
                <w:sz w:val="21"/>
              </w:rPr>
            </w:pPr>
          </w:p>
        </w:tc>
      </w:tr>
      <w:tr w14:paraId="6693B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Merge w:val="continue"/>
            <w:tcBorders>
              <w:top w:val="nil"/>
              <w:bottom w:val="nil"/>
            </w:tcBorders>
            <w:vAlign w:val="top"/>
          </w:tcPr>
          <w:p w14:paraId="67AF6BCD">
            <w:pPr>
              <w:rPr>
                <w:rFonts w:ascii="Arial"/>
                <w:sz w:val="21"/>
              </w:rPr>
            </w:pPr>
          </w:p>
        </w:tc>
        <w:tc>
          <w:tcPr>
            <w:tcW w:w="110" w:type="dxa"/>
            <w:tcBorders>
              <w:top w:val="nil"/>
              <w:bottom w:val="nil"/>
            </w:tcBorders>
            <w:vAlign w:val="top"/>
          </w:tcPr>
          <w:p w14:paraId="3F6E9A28">
            <w:pPr>
              <w:rPr>
                <w:rFonts w:ascii="Arial"/>
                <w:sz w:val="21"/>
              </w:rPr>
            </w:pPr>
          </w:p>
        </w:tc>
        <w:tc>
          <w:tcPr>
            <w:tcW w:w="359" w:type="dxa"/>
            <w:vAlign w:val="top"/>
          </w:tcPr>
          <w:p w14:paraId="5B778770">
            <w:pPr>
              <w:pStyle w:val="6"/>
              <w:spacing w:before="52" w:line="174" w:lineRule="auto"/>
              <w:ind w:left="110"/>
              <w:rPr>
                <w:sz w:val="21"/>
                <w:szCs w:val="21"/>
              </w:rPr>
            </w:pPr>
            <w:r>
              <w:rPr>
                <w:sz w:val="21"/>
                <w:szCs w:val="21"/>
              </w:rPr>
              <w:t>5</w:t>
            </w:r>
          </w:p>
        </w:tc>
        <w:tc>
          <w:tcPr>
            <w:tcW w:w="649" w:type="dxa"/>
            <w:vAlign w:val="top"/>
          </w:tcPr>
          <w:p w14:paraId="7C9B3CE8">
            <w:pPr>
              <w:pStyle w:val="6"/>
              <w:spacing w:before="31" w:line="192" w:lineRule="auto"/>
              <w:ind w:left="101"/>
              <w:rPr>
                <w:sz w:val="21"/>
                <w:szCs w:val="21"/>
              </w:rPr>
            </w:pPr>
            <w:r>
              <w:rPr>
                <w:spacing w:val="6"/>
                <w:sz w:val="21"/>
                <w:szCs w:val="21"/>
              </w:rPr>
              <w:t>废气</w:t>
            </w:r>
          </w:p>
        </w:tc>
        <w:tc>
          <w:tcPr>
            <w:tcW w:w="1199" w:type="dxa"/>
            <w:vAlign w:val="top"/>
          </w:tcPr>
          <w:p w14:paraId="2E29C932">
            <w:pPr>
              <w:pStyle w:val="6"/>
              <w:spacing w:before="31" w:line="192" w:lineRule="auto"/>
              <w:ind w:left="63"/>
              <w:rPr>
                <w:sz w:val="21"/>
                <w:szCs w:val="21"/>
              </w:rPr>
            </w:pPr>
            <w:r>
              <w:rPr>
                <w:spacing w:val="2"/>
                <w:sz w:val="21"/>
                <w:szCs w:val="21"/>
              </w:rPr>
              <w:t>升压站食堂</w:t>
            </w:r>
          </w:p>
        </w:tc>
        <w:tc>
          <w:tcPr>
            <w:tcW w:w="3536" w:type="dxa"/>
            <w:vAlign w:val="top"/>
          </w:tcPr>
          <w:p w14:paraId="3CF28054">
            <w:pPr>
              <w:pStyle w:val="6"/>
              <w:spacing w:before="30" w:line="193" w:lineRule="auto"/>
              <w:ind w:left="1183"/>
              <w:rPr>
                <w:sz w:val="21"/>
                <w:szCs w:val="21"/>
              </w:rPr>
            </w:pPr>
            <w:r>
              <w:rPr>
                <w:spacing w:val="-2"/>
                <w:sz w:val="21"/>
                <w:szCs w:val="21"/>
              </w:rPr>
              <w:t>抽油烟机1套</w:t>
            </w:r>
          </w:p>
        </w:tc>
        <w:tc>
          <w:tcPr>
            <w:tcW w:w="1139" w:type="dxa"/>
            <w:vAlign w:val="top"/>
          </w:tcPr>
          <w:p w14:paraId="2AC28206">
            <w:pPr>
              <w:pStyle w:val="6"/>
              <w:spacing w:before="37" w:line="187" w:lineRule="auto"/>
              <w:ind w:left="507"/>
              <w:rPr>
                <w:sz w:val="21"/>
                <w:szCs w:val="21"/>
              </w:rPr>
            </w:pPr>
            <w:r>
              <w:rPr>
                <w:sz w:val="21"/>
                <w:szCs w:val="21"/>
              </w:rPr>
              <w:t>/</w:t>
            </w:r>
          </w:p>
        </w:tc>
        <w:tc>
          <w:tcPr>
            <w:tcW w:w="1119" w:type="dxa"/>
            <w:vAlign w:val="top"/>
          </w:tcPr>
          <w:p w14:paraId="4C1CFC7A">
            <w:pPr>
              <w:pStyle w:val="6"/>
              <w:spacing w:before="52" w:line="174" w:lineRule="auto"/>
              <w:ind w:left="399"/>
              <w:rPr>
                <w:sz w:val="21"/>
                <w:szCs w:val="21"/>
              </w:rPr>
            </w:pPr>
            <w:r>
              <w:rPr>
                <w:spacing w:val="-3"/>
                <w:sz w:val="21"/>
                <w:szCs w:val="21"/>
              </w:rPr>
              <w:t>0.3</w:t>
            </w:r>
          </w:p>
        </w:tc>
        <w:tc>
          <w:tcPr>
            <w:tcW w:w="115" w:type="dxa"/>
            <w:tcBorders>
              <w:top w:val="nil"/>
              <w:bottom w:val="nil"/>
            </w:tcBorders>
            <w:vAlign w:val="top"/>
          </w:tcPr>
          <w:p w14:paraId="42D583F0">
            <w:pPr>
              <w:rPr>
                <w:rFonts w:ascii="Arial"/>
                <w:sz w:val="21"/>
              </w:rPr>
            </w:pPr>
          </w:p>
        </w:tc>
      </w:tr>
      <w:tr w14:paraId="1C254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744" w:type="dxa"/>
            <w:vMerge w:val="continue"/>
            <w:tcBorders>
              <w:top w:val="nil"/>
              <w:bottom w:val="nil"/>
            </w:tcBorders>
            <w:vAlign w:val="top"/>
          </w:tcPr>
          <w:p w14:paraId="4789F992">
            <w:pPr>
              <w:rPr>
                <w:rFonts w:ascii="Arial"/>
                <w:sz w:val="21"/>
              </w:rPr>
            </w:pPr>
          </w:p>
        </w:tc>
        <w:tc>
          <w:tcPr>
            <w:tcW w:w="110" w:type="dxa"/>
            <w:tcBorders>
              <w:top w:val="nil"/>
              <w:bottom w:val="nil"/>
            </w:tcBorders>
            <w:vAlign w:val="top"/>
          </w:tcPr>
          <w:p w14:paraId="2F8F83C7">
            <w:pPr>
              <w:rPr>
                <w:rFonts w:ascii="Arial"/>
                <w:sz w:val="21"/>
              </w:rPr>
            </w:pPr>
          </w:p>
        </w:tc>
        <w:tc>
          <w:tcPr>
            <w:tcW w:w="359" w:type="dxa"/>
            <w:vMerge w:val="restart"/>
            <w:tcBorders>
              <w:bottom w:val="nil"/>
            </w:tcBorders>
            <w:vAlign w:val="top"/>
          </w:tcPr>
          <w:p w14:paraId="6940B070">
            <w:pPr>
              <w:spacing w:line="339" w:lineRule="auto"/>
              <w:rPr>
                <w:rFonts w:ascii="Arial"/>
                <w:sz w:val="21"/>
              </w:rPr>
            </w:pPr>
          </w:p>
          <w:p w14:paraId="175CF906">
            <w:pPr>
              <w:spacing w:line="340" w:lineRule="auto"/>
              <w:rPr>
                <w:rFonts w:ascii="Arial"/>
                <w:sz w:val="21"/>
              </w:rPr>
            </w:pPr>
          </w:p>
          <w:p w14:paraId="759CF379">
            <w:pPr>
              <w:pStyle w:val="6"/>
              <w:spacing w:before="68"/>
              <w:ind w:left="110"/>
              <w:rPr>
                <w:sz w:val="21"/>
                <w:szCs w:val="21"/>
              </w:rPr>
            </w:pPr>
            <w:r>
              <w:rPr>
                <w:sz w:val="21"/>
                <w:szCs w:val="21"/>
              </w:rPr>
              <w:t>6</w:t>
            </w:r>
          </w:p>
        </w:tc>
        <w:tc>
          <w:tcPr>
            <w:tcW w:w="649" w:type="dxa"/>
            <w:vMerge w:val="restart"/>
            <w:tcBorders>
              <w:bottom w:val="nil"/>
            </w:tcBorders>
            <w:vAlign w:val="top"/>
          </w:tcPr>
          <w:p w14:paraId="5EDA3D92">
            <w:pPr>
              <w:spacing w:line="329" w:lineRule="auto"/>
              <w:rPr>
                <w:rFonts w:ascii="Arial"/>
                <w:sz w:val="21"/>
              </w:rPr>
            </w:pPr>
          </w:p>
          <w:p w14:paraId="3D20F657">
            <w:pPr>
              <w:spacing w:line="330" w:lineRule="auto"/>
              <w:rPr>
                <w:rFonts w:ascii="Arial"/>
                <w:sz w:val="21"/>
              </w:rPr>
            </w:pPr>
          </w:p>
          <w:p w14:paraId="6C69FDDC">
            <w:pPr>
              <w:pStyle w:val="6"/>
              <w:spacing w:before="69" w:line="220" w:lineRule="auto"/>
              <w:ind w:left="101"/>
              <w:rPr>
                <w:sz w:val="21"/>
                <w:szCs w:val="21"/>
              </w:rPr>
            </w:pPr>
            <w:r>
              <w:rPr>
                <w:spacing w:val="5"/>
                <w:sz w:val="21"/>
                <w:szCs w:val="21"/>
              </w:rPr>
              <w:t>固废</w:t>
            </w:r>
          </w:p>
        </w:tc>
        <w:tc>
          <w:tcPr>
            <w:tcW w:w="4735" w:type="dxa"/>
            <w:gridSpan w:val="2"/>
            <w:vAlign w:val="top"/>
          </w:tcPr>
          <w:p w14:paraId="4DF26FF1">
            <w:pPr>
              <w:pStyle w:val="6"/>
              <w:spacing w:before="38" w:line="192" w:lineRule="auto"/>
              <w:ind w:left="472"/>
              <w:rPr>
                <w:sz w:val="21"/>
                <w:szCs w:val="21"/>
              </w:rPr>
            </w:pPr>
            <w:r>
              <w:rPr>
                <w:spacing w:val="5"/>
                <w:sz w:val="21"/>
                <w:szCs w:val="21"/>
              </w:rPr>
              <w:t>危废暂存间，占地面积69.3m²,包含防渗</w:t>
            </w:r>
          </w:p>
        </w:tc>
        <w:tc>
          <w:tcPr>
            <w:tcW w:w="1139" w:type="dxa"/>
            <w:vAlign w:val="top"/>
          </w:tcPr>
          <w:p w14:paraId="08A795D9">
            <w:pPr>
              <w:pStyle w:val="6"/>
              <w:spacing w:before="62" w:line="171" w:lineRule="auto"/>
              <w:ind w:left="458"/>
              <w:rPr>
                <w:sz w:val="21"/>
                <w:szCs w:val="21"/>
              </w:rPr>
            </w:pPr>
            <w:r>
              <w:rPr>
                <w:spacing w:val="-3"/>
                <w:sz w:val="21"/>
                <w:szCs w:val="21"/>
              </w:rPr>
              <w:t>24</w:t>
            </w:r>
          </w:p>
        </w:tc>
        <w:tc>
          <w:tcPr>
            <w:tcW w:w="1119" w:type="dxa"/>
            <w:vAlign w:val="top"/>
          </w:tcPr>
          <w:p w14:paraId="5D704A00">
            <w:pPr>
              <w:pStyle w:val="6"/>
              <w:spacing w:before="47" w:line="184" w:lineRule="auto"/>
              <w:ind w:left="498"/>
              <w:rPr>
                <w:sz w:val="21"/>
                <w:szCs w:val="21"/>
              </w:rPr>
            </w:pPr>
            <w:r>
              <w:rPr>
                <w:sz w:val="21"/>
                <w:szCs w:val="21"/>
              </w:rPr>
              <w:t>/</w:t>
            </w:r>
          </w:p>
        </w:tc>
        <w:tc>
          <w:tcPr>
            <w:tcW w:w="115" w:type="dxa"/>
            <w:tcBorders>
              <w:top w:val="nil"/>
              <w:bottom w:val="nil"/>
            </w:tcBorders>
            <w:vAlign w:val="top"/>
          </w:tcPr>
          <w:p w14:paraId="37213B9A">
            <w:pPr>
              <w:rPr>
                <w:rFonts w:ascii="Arial"/>
                <w:sz w:val="21"/>
              </w:rPr>
            </w:pPr>
          </w:p>
        </w:tc>
      </w:tr>
      <w:tr w14:paraId="2F5AC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744" w:type="dxa"/>
            <w:vMerge w:val="continue"/>
            <w:tcBorders>
              <w:top w:val="nil"/>
              <w:bottom w:val="nil"/>
            </w:tcBorders>
            <w:vAlign w:val="top"/>
          </w:tcPr>
          <w:p w14:paraId="24644709">
            <w:pPr>
              <w:rPr>
                <w:rFonts w:ascii="Arial"/>
                <w:sz w:val="21"/>
              </w:rPr>
            </w:pPr>
          </w:p>
        </w:tc>
        <w:tc>
          <w:tcPr>
            <w:tcW w:w="110" w:type="dxa"/>
            <w:tcBorders>
              <w:top w:val="nil"/>
              <w:bottom w:val="nil"/>
            </w:tcBorders>
            <w:vAlign w:val="top"/>
          </w:tcPr>
          <w:p w14:paraId="671E3166">
            <w:pPr>
              <w:rPr>
                <w:rFonts w:ascii="Arial"/>
                <w:sz w:val="21"/>
              </w:rPr>
            </w:pPr>
          </w:p>
        </w:tc>
        <w:tc>
          <w:tcPr>
            <w:tcW w:w="359" w:type="dxa"/>
            <w:vMerge w:val="continue"/>
            <w:tcBorders>
              <w:top w:val="nil"/>
              <w:bottom w:val="nil"/>
            </w:tcBorders>
            <w:vAlign w:val="top"/>
          </w:tcPr>
          <w:p w14:paraId="0E618790">
            <w:pPr>
              <w:rPr>
                <w:rFonts w:ascii="Arial"/>
                <w:sz w:val="21"/>
              </w:rPr>
            </w:pPr>
          </w:p>
        </w:tc>
        <w:tc>
          <w:tcPr>
            <w:tcW w:w="649" w:type="dxa"/>
            <w:vMerge w:val="continue"/>
            <w:tcBorders>
              <w:top w:val="nil"/>
              <w:bottom w:val="nil"/>
            </w:tcBorders>
            <w:vAlign w:val="top"/>
          </w:tcPr>
          <w:p w14:paraId="46DFAD49">
            <w:pPr>
              <w:rPr>
                <w:rFonts w:ascii="Arial"/>
                <w:sz w:val="21"/>
              </w:rPr>
            </w:pPr>
          </w:p>
        </w:tc>
        <w:tc>
          <w:tcPr>
            <w:tcW w:w="4735" w:type="dxa"/>
            <w:gridSpan w:val="2"/>
            <w:vAlign w:val="top"/>
          </w:tcPr>
          <w:p w14:paraId="798FC7DC">
            <w:pPr>
              <w:pStyle w:val="6"/>
              <w:spacing w:before="44" w:line="187" w:lineRule="auto"/>
              <w:ind w:left="832"/>
              <w:rPr>
                <w:sz w:val="21"/>
                <w:szCs w:val="21"/>
              </w:rPr>
            </w:pPr>
            <w:r>
              <w:rPr>
                <w:spacing w:val="9"/>
                <w:sz w:val="21"/>
                <w:szCs w:val="21"/>
              </w:rPr>
              <w:t>一般固废暂存间，占地面积20m²</w:t>
            </w:r>
          </w:p>
        </w:tc>
        <w:tc>
          <w:tcPr>
            <w:tcW w:w="1139" w:type="dxa"/>
            <w:vAlign w:val="top"/>
          </w:tcPr>
          <w:p w14:paraId="435FB25B">
            <w:pPr>
              <w:pStyle w:val="6"/>
              <w:spacing w:before="49" w:line="182" w:lineRule="auto"/>
              <w:ind w:left="507"/>
              <w:rPr>
                <w:sz w:val="21"/>
                <w:szCs w:val="21"/>
              </w:rPr>
            </w:pPr>
            <w:r>
              <w:rPr>
                <w:sz w:val="21"/>
                <w:szCs w:val="21"/>
              </w:rPr>
              <w:t>/</w:t>
            </w:r>
          </w:p>
        </w:tc>
        <w:tc>
          <w:tcPr>
            <w:tcW w:w="1119" w:type="dxa"/>
            <w:vAlign w:val="top"/>
          </w:tcPr>
          <w:p w14:paraId="032511EB">
            <w:pPr>
              <w:pStyle w:val="6"/>
              <w:spacing w:before="65" w:line="168" w:lineRule="auto"/>
              <w:ind w:left="498"/>
              <w:rPr>
                <w:sz w:val="21"/>
                <w:szCs w:val="21"/>
              </w:rPr>
            </w:pPr>
            <w:r>
              <w:rPr>
                <w:sz w:val="21"/>
                <w:szCs w:val="21"/>
              </w:rPr>
              <w:t>6</w:t>
            </w:r>
          </w:p>
        </w:tc>
        <w:tc>
          <w:tcPr>
            <w:tcW w:w="115" w:type="dxa"/>
            <w:tcBorders>
              <w:top w:val="nil"/>
              <w:bottom w:val="nil"/>
            </w:tcBorders>
            <w:vAlign w:val="top"/>
          </w:tcPr>
          <w:p w14:paraId="629EC5F3">
            <w:pPr>
              <w:rPr>
                <w:rFonts w:ascii="Arial"/>
                <w:sz w:val="21"/>
              </w:rPr>
            </w:pPr>
          </w:p>
        </w:tc>
      </w:tr>
      <w:tr w14:paraId="676E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744" w:type="dxa"/>
            <w:vMerge w:val="continue"/>
            <w:tcBorders>
              <w:top w:val="nil"/>
              <w:bottom w:val="nil"/>
            </w:tcBorders>
            <w:vAlign w:val="top"/>
          </w:tcPr>
          <w:p w14:paraId="2D29FBF7">
            <w:pPr>
              <w:rPr>
                <w:rFonts w:ascii="Arial"/>
                <w:sz w:val="21"/>
              </w:rPr>
            </w:pPr>
          </w:p>
        </w:tc>
        <w:tc>
          <w:tcPr>
            <w:tcW w:w="110" w:type="dxa"/>
            <w:tcBorders>
              <w:top w:val="nil"/>
              <w:bottom w:val="nil"/>
            </w:tcBorders>
            <w:vAlign w:val="top"/>
          </w:tcPr>
          <w:p w14:paraId="093DA8C6">
            <w:pPr>
              <w:rPr>
                <w:rFonts w:ascii="Arial"/>
                <w:sz w:val="21"/>
              </w:rPr>
            </w:pPr>
          </w:p>
        </w:tc>
        <w:tc>
          <w:tcPr>
            <w:tcW w:w="359" w:type="dxa"/>
            <w:vMerge w:val="continue"/>
            <w:tcBorders>
              <w:top w:val="nil"/>
              <w:bottom w:val="nil"/>
            </w:tcBorders>
            <w:vAlign w:val="top"/>
          </w:tcPr>
          <w:p w14:paraId="06F5CA35">
            <w:pPr>
              <w:rPr>
                <w:rFonts w:ascii="Arial"/>
                <w:sz w:val="21"/>
              </w:rPr>
            </w:pPr>
          </w:p>
        </w:tc>
        <w:tc>
          <w:tcPr>
            <w:tcW w:w="649" w:type="dxa"/>
            <w:vMerge w:val="continue"/>
            <w:tcBorders>
              <w:top w:val="nil"/>
              <w:bottom w:val="nil"/>
            </w:tcBorders>
            <w:vAlign w:val="top"/>
          </w:tcPr>
          <w:p w14:paraId="15B710EB">
            <w:pPr>
              <w:rPr>
                <w:rFonts w:ascii="Arial"/>
                <w:sz w:val="21"/>
              </w:rPr>
            </w:pPr>
          </w:p>
        </w:tc>
        <w:tc>
          <w:tcPr>
            <w:tcW w:w="4735" w:type="dxa"/>
            <w:gridSpan w:val="2"/>
            <w:vAlign w:val="top"/>
          </w:tcPr>
          <w:p w14:paraId="4E33E13A">
            <w:pPr>
              <w:pStyle w:val="6"/>
              <w:spacing w:before="47" w:line="219" w:lineRule="auto"/>
              <w:ind w:left="313"/>
              <w:rPr>
                <w:sz w:val="21"/>
                <w:szCs w:val="21"/>
              </w:rPr>
            </w:pPr>
            <w:r>
              <w:rPr>
                <w:spacing w:val="4"/>
                <w:sz w:val="21"/>
                <w:szCs w:val="21"/>
              </w:rPr>
              <w:t>升压站事故油池1座(容积45m³)、1座集油坑</w:t>
            </w:r>
          </w:p>
          <w:p w14:paraId="49C29D87">
            <w:pPr>
              <w:pStyle w:val="6"/>
              <w:spacing w:before="40" w:line="219" w:lineRule="auto"/>
              <w:ind w:left="152"/>
              <w:rPr>
                <w:sz w:val="21"/>
                <w:szCs w:val="21"/>
              </w:rPr>
            </w:pPr>
            <w:r>
              <w:rPr>
                <w:spacing w:val="8"/>
                <w:sz w:val="21"/>
                <w:szCs w:val="21"/>
              </w:rPr>
              <w:t>(10m³);箱变集油坑51座，单座不低于1m³。包</w:t>
            </w:r>
          </w:p>
          <w:p w14:paraId="4489ED61">
            <w:pPr>
              <w:pStyle w:val="6"/>
              <w:spacing w:line="197" w:lineRule="auto"/>
              <w:ind w:left="1992"/>
              <w:rPr>
                <w:sz w:val="21"/>
                <w:szCs w:val="21"/>
              </w:rPr>
            </w:pPr>
            <w:r>
              <w:rPr>
                <w:spacing w:val="-1"/>
                <w:sz w:val="21"/>
                <w:szCs w:val="21"/>
              </w:rPr>
              <w:t>含防渗。</w:t>
            </w:r>
          </w:p>
        </w:tc>
        <w:tc>
          <w:tcPr>
            <w:tcW w:w="1139" w:type="dxa"/>
            <w:vAlign w:val="top"/>
          </w:tcPr>
          <w:p w14:paraId="4994FD20">
            <w:pPr>
              <w:spacing w:line="268" w:lineRule="auto"/>
              <w:rPr>
                <w:rFonts w:ascii="Arial"/>
                <w:sz w:val="21"/>
              </w:rPr>
            </w:pPr>
          </w:p>
          <w:p w14:paraId="1726B748">
            <w:pPr>
              <w:pStyle w:val="6"/>
              <w:spacing w:before="68"/>
              <w:ind w:left="458"/>
              <w:rPr>
                <w:sz w:val="21"/>
                <w:szCs w:val="21"/>
              </w:rPr>
            </w:pPr>
            <w:r>
              <w:rPr>
                <w:spacing w:val="-4"/>
                <w:sz w:val="21"/>
                <w:szCs w:val="21"/>
              </w:rPr>
              <w:t>30</w:t>
            </w:r>
          </w:p>
        </w:tc>
        <w:tc>
          <w:tcPr>
            <w:tcW w:w="1119" w:type="dxa"/>
            <w:vAlign w:val="top"/>
          </w:tcPr>
          <w:p w14:paraId="3DB61EA5">
            <w:pPr>
              <w:spacing w:line="268" w:lineRule="auto"/>
              <w:rPr>
                <w:rFonts w:ascii="Arial"/>
                <w:sz w:val="21"/>
              </w:rPr>
            </w:pPr>
          </w:p>
          <w:p w14:paraId="1E928037">
            <w:pPr>
              <w:pStyle w:val="6"/>
              <w:spacing w:before="68"/>
              <w:ind w:left="448"/>
              <w:rPr>
                <w:sz w:val="21"/>
                <w:szCs w:val="21"/>
              </w:rPr>
            </w:pPr>
            <w:r>
              <w:rPr>
                <w:spacing w:val="-6"/>
                <w:sz w:val="21"/>
                <w:szCs w:val="21"/>
              </w:rPr>
              <w:t>10</w:t>
            </w:r>
          </w:p>
        </w:tc>
        <w:tc>
          <w:tcPr>
            <w:tcW w:w="115" w:type="dxa"/>
            <w:tcBorders>
              <w:top w:val="nil"/>
              <w:bottom w:val="nil"/>
            </w:tcBorders>
            <w:vAlign w:val="top"/>
          </w:tcPr>
          <w:p w14:paraId="77AEEB05">
            <w:pPr>
              <w:rPr>
                <w:rFonts w:ascii="Arial"/>
                <w:sz w:val="21"/>
              </w:rPr>
            </w:pPr>
          </w:p>
        </w:tc>
      </w:tr>
      <w:tr w14:paraId="33F0A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44" w:type="dxa"/>
            <w:vMerge w:val="continue"/>
            <w:tcBorders>
              <w:top w:val="nil"/>
              <w:bottom w:val="nil"/>
            </w:tcBorders>
            <w:vAlign w:val="top"/>
          </w:tcPr>
          <w:p w14:paraId="60A8DE9C">
            <w:pPr>
              <w:rPr>
                <w:rFonts w:ascii="Arial"/>
                <w:sz w:val="21"/>
              </w:rPr>
            </w:pPr>
          </w:p>
        </w:tc>
        <w:tc>
          <w:tcPr>
            <w:tcW w:w="110" w:type="dxa"/>
            <w:tcBorders>
              <w:top w:val="nil"/>
              <w:bottom w:val="nil"/>
            </w:tcBorders>
            <w:vAlign w:val="top"/>
          </w:tcPr>
          <w:p w14:paraId="61440603">
            <w:pPr>
              <w:rPr>
                <w:rFonts w:ascii="Arial"/>
                <w:sz w:val="21"/>
              </w:rPr>
            </w:pPr>
          </w:p>
        </w:tc>
        <w:tc>
          <w:tcPr>
            <w:tcW w:w="359" w:type="dxa"/>
            <w:vMerge w:val="continue"/>
            <w:tcBorders>
              <w:top w:val="nil"/>
            </w:tcBorders>
            <w:vAlign w:val="top"/>
          </w:tcPr>
          <w:p w14:paraId="225959EF">
            <w:pPr>
              <w:rPr>
                <w:rFonts w:ascii="Arial"/>
                <w:sz w:val="21"/>
              </w:rPr>
            </w:pPr>
          </w:p>
        </w:tc>
        <w:tc>
          <w:tcPr>
            <w:tcW w:w="649" w:type="dxa"/>
            <w:vMerge w:val="continue"/>
            <w:tcBorders>
              <w:top w:val="nil"/>
            </w:tcBorders>
            <w:vAlign w:val="top"/>
          </w:tcPr>
          <w:p w14:paraId="158B0867">
            <w:pPr>
              <w:rPr>
                <w:rFonts w:ascii="Arial"/>
                <w:sz w:val="21"/>
              </w:rPr>
            </w:pPr>
          </w:p>
        </w:tc>
        <w:tc>
          <w:tcPr>
            <w:tcW w:w="4735" w:type="dxa"/>
            <w:gridSpan w:val="2"/>
            <w:vAlign w:val="top"/>
          </w:tcPr>
          <w:p w14:paraId="00A0F540">
            <w:pPr>
              <w:pStyle w:val="6"/>
              <w:spacing w:before="46" w:line="199" w:lineRule="auto"/>
              <w:ind w:left="1732"/>
              <w:rPr>
                <w:sz w:val="21"/>
                <w:szCs w:val="21"/>
              </w:rPr>
            </w:pPr>
            <w:r>
              <w:rPr>
                <w:spacing w:val="-2"/>
                <w:sz w:val="21"/>
                <w:szCs w:val="21"/>
              </w:rPr>
              <w:t>垃圾收集设施</w:t>
            </w:r>
          </w:p>
        </w:tc>
        <w:tc>
          <w:tcPr>
            <w:tcW w:w="1139" w:type="dxa"/>
            <w:vAlign w:val="top"/>
          </w:tcPr>
          <w:p w14:paraId="11F0FCF6">
            <w:pPr>
              <w:pStyle w:val="6"/>
              <w:spacing w:before="52" w:line="194" w:lineRule="auto"/>
              <w:ind w:left="507"/>
              <w:rPr>
                <w:sz w:val="21"/>
                <w:szCs w:val="21"/>
              </w:rPr>
            </w:pPr>
            <w:r>
              <w:rPr>
                <w:sz w:val="21"/>
                <w:szCs w:val="21"/>
              </w:rPr>
              <w:t>/</w:t>
            </w:r>
          </w:p>
        </w:tc>
        <w:tc>
          <w:tcPr>
            <w:tcW w:w="1119" w:type="dxa"/>
            <w:vAlign w:val="top"/>
          </w:tcPr>
          <w:p w14:paraId="30643CFE">
            <w:pPr>
              <w:pStyle w:val="6"/>
              <w:spacing w:before="67" w:line="181" w:lineRule="auto"/>
              <w:ind w:left="348"/>
              <w:rPr>
                <w:sz w:val="21"/>
                <w:szCs w:val="21"/>
              </w:rPr>
            </w:pPr>
            <w:r>
              <w:rPr>
                <w:spacing w:val="-2"/>
                <w:sz w:val="21"/>
                <w:szCs w:val="21"/>
              </w:rPr>
              <w:t>0.15</w:t>
            </w:r>
          </w:p>
        </w:tc>
        <w:tc>
          <w:tcPr>
            <w:tcW w:w="115" w:type="dxa"/>
            <w:tcBorders>
              <w:top w:val="nil"/>
              <w:bottom w:val="nil"/>
            </w:tcBorders>
            <w:vAlign w:val="top"/>
          </w:tcPr>
          <w:p w14:paraId="7F23A437">
            <w:pPr>
              <w:rPr>
                <w:rFonts w:ascii="Arial"/>
                <w:sz w:val="21"/>
              </w:rPr>
            </w:pPr>
          </w:p>
        </w:tc>
      </w:tr>
      <w:tr w14:paraId="23997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44" w:type="dxa"/>
            <w:vMerge w:val="continue"/>
            <w:tcBorders>
              <w:top w:val="nil"/>
              <w:bottom w:val="nil"/>
            </w:tcBorders>
            <w:vAlign w:val="top"/>
          </w:tcPr>
          <w:p w14:paraId="5F9D4F4B">
            <w:pPr>
              <w:rPr>
                <w:rFonts w:ascii="Arial"/>
                <w:sz w:val="21"/>
              </w:rPr>
            </w:pPr>
          </w:p>
        </w:tc>
        <w:tc>
          <w:tcPr>
            <w:tcW w:w="110" w:type="dxa"/>
            <w:tcBorders>
              <w:top w:val="nil"/>
              <w:bottom w:val="nil"/>
            </w:tcBorders>
            <w:vAlign w:val="top"/>
          </w:tcPr>
          <w:p w14:paraId="7D9944B9">
            <w:pPr>
              <w:rPr>
                <w:rFonts w:ascii="Arial"/>
                <w:sz w:val="21"/>
              </w:rPr>
            </w:pPr>
          </w:p>
        </w:tc>
        <w:tc>
          <w:tcPr>
            <w:tcW w:w="359" w:type="dxa"/>
            <w:vAlign w:val="top"/>
          </w:tcPr>
          <w:p w14:paraId="332DFFA7">
            <w:pPr>
              <w:pStyle w:val="6"/>
              <w:spacing w:before="104" w:line="224" w:lineRule="auto"/>
              <w:ind w:left="110"/>
              <w:rPr>
                <w:sz w:val="21"/>
                <w:szCs w:val="21"/>
              </w:rPr>
            </w:pPr>
            <w:r>
              <w:rPr>
                <w:sz w:val="21"/>
                <w:szCs w:val="21"/>
              </w:rPr>
              <w:t>7</w:t>
            </w:r>
          </w:p>
        </w:tc>
        <w:tc>
          <w:tcPr>
            <w:tcW w:w="649" w:type="dxa"/>
            <w:vAlign w:val="top"/>
          </w:tcPr>
          <w:p w14:paraId="37A9F0CD">
            <w:pPr>
              <w:pStyle w:val="6"/>
              <w:spacing w:before="84" w:line="220" w:lineRule="auto"/>
              <w:ind w:left="101"/>
              <w:rPr>
                <w:sz w:val="21"/>
                <w:szCs w:val="21"/>
              </w:rPr>
            </w:pPr>
            <w:r>
              <w:rPr>
                <w:spacing w:val="6"/>
                <w:sz w:val="21"/>
                <w:szCs w:val="21"/>
              </w:rPr>
              <w:t>噪声</w:t>
            </w:r>
          </w:p>
        </w:tc>
        <w:tc>
          <w:tcPr>
            <w:tcW w:w="4735" w:type="dxa"/>
            <w:gridSpan w:val="2"/>
            <w:vAlign w:val="top"/>
          </w:tcPr>
          <w:p w14:paraId="2DE8C94C">
            <w:pPr>
              <w:pStyle w:val="6"/>
              <w:spacing w:before="82" w:line="219" w:lineRule="auto"/>
              <w:ind w:left="992"/>
              <w:rPr>
                <w:sz w:val="21"/>
                <w:szCs w:val="21"/>
              </w:rPr>
            </w:pPr>
            <w:r>
              <w:rPr>
                <w:spacing w:val="-1"/>
                <w:sz w:val="21"/>
                <w:szCs w:val="21"/>
              </w:rPr>
              <w:t>风机电机加装可拆卸式隔声罩</w:t>
            </w:r>
          </w:p>
        </w:tc>
        <w:tc>
          <w:tcPr>
            <w:tcW w:w="1139" w:type="dxa"/>
            <w:vAlign w:val="top"/>
          </w:tcPr>
          <w:p w14:paraId="6C712D68">
            <w:pPr>
              <w:pStyle w:val="6"/>
              <w:spacing w:before="104" w:line="224" w:lineRule="auto"/>
              <w:ind w:left="407"/>
              <w:rPr>
                <w:sz w:val="21"/>
                <w:szCs w:val="21"/>
              </w:rPr>
            </w:pPr>
            <w:r>
              <w:rPr>
                <w:spacing w:val="-3"/>
                <w:sz w:val="21"/>
                <w:szCs w:val="21"/>
              </w:rPr>
              <w:t>3.0</w:t>
            </w:r>
          </w:p>
        </w:tc>
        <w:tc>
          <w:tcPr>
            <w:tcW w:w="1119" w:type="dxa"/>
            <w:vAlign w:val="top"/>
          </w:tcPr>
          <w:p w14:paraId="6EB2FE6E">
            <w:pPr>
              <w:pStyle w:val="6"/>
              <w:spacing w:before="89" w:line="224" w:lineRule="auto"/>
              <w:ind w:left="498"/>
              <w:rPr>
                <w:sz w:val="21"/>
                <w:szCs w:val="21"/>
              </w:rPr>
            </w:pPr>
            <w:r>
              <w:rPr>
                <w:sz w:val="21"/>
                <w:szCs w:val="21"/>
              </w:rPr>
              <w:t>/</w:t>
            </w:r>
          </w:p>
        </w:tc>
        <w:tc>
          <w:tcPr>
            <w:tcW w:w="115" w:type="dxa"/>
            <w:tcBorders>
              <w:top w:val="nil"/>
              <w:bottom w:val="nil"/>
            </w:tcBorders>
            <w:vAlign w:val="top"/>
          </w:tcPr>
          <w:p w14:paraId="5EE5C454">
            <w:pPr>
              <w:rPr>
                <w:rFonts w:ascii="Arial"/>
                <w:sz w:val="21"/>
              </w:rPr>
            </w:pPr>
          </w:p>
        </w:tc>
      </w:tr>
      <w:tr w14:paraId="3698C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744" w:type="dxa"/>
            <w:vMerge w:val="continue"/>
            <w:tcBorders>
              <w:top w:val="nil"/>
              <w:bottom w:val="nil"/>
            </w:tcBorders>
            <w:vAlign w:val="top"/>
          </w:tcPr>
          <w:p w14:paraId="46FD536F">
            <w:pPr>
              <w:rPr>
                <w:rFonts w:ascii="Arial"/>
                <w:sz w:val="21"/>
              </w:rPr>
            </w:pPr>
          </w:p>
        </w:tc>
        <w:tc>
          <w:tcPr>
            <w:tcW w:w="110" w:type="dxa"/>
            <w:tcBorders>
              <w:top w:val="nil"/>
              <w:bottom w:val="nil"/>
            </w:tcBorders>
            <w:vAlign w:val="top"/>
          </w:tcPr>
          <w:p w14:paraId="160FBCE8">
            <w:pPr>
              <w:rPr>
                <w:rFonts w:ascii="Arial"/>
                <w:sz w:val="21"/>
              </w:rPr>
            </w:pPr>
          </w:p>
        </w:tc>
        <w:tc>
          <w:tcPr>
            <w:tcW w:w="359" w:type="dxa"/>
            <w:vAlign w:val="top"/>
          </w:tcPr>
          <w:p w14:paraId="0A190D29">
            <w:pPr>
              <w:pStyle w:val="6"/>
              <w:spacing w:before="115" w:line="224" w:lineRule="auto"/>
              <w:ind w:left="110"/>
              <w:rPr>
                <w:sz w:val="21"/>
                <w:szCs w:val="21"/>
              </w:rPr>
            </w:pPr>
            <w:r>
              <w:rPr>
                <w:sz w:val="21"/>
                <w:szCs w:val="21"/>
              </w:rPr>
              <w:t>8</w:t>
            </w:r>
          </w:p>
        </w:tc>
        <w:tc>
          <w:tcPr>
            <w:tcW w:w="649" w:type="dxa"/>
            <w:vAlign w:val="top"/>
          </w:tcPr>
          <w:p w14:paraId="193F76D5">
            <w:pPr>
              <w:pStyle w:val="6"/>
              <w:spacing w:before="94" w:line="219" w:lineRule="auto"/>
              <w:ind w:left="11"/>
              <w:rPr>
                <w:sz w:val="21"/>
                <w:szCs w:val="21"/>
              </w:rPr>
            </w:pPr>
            <w:r>
              <w:rPr>
                <w:spacing w:val="-2"/>
                <w:sz w:val="21"/>
                <w:szCs w:val="21"/>
              </w:rPr>
              <w:t>地下水</w:t>
            </w:r>
          </w:p>
        </w:tc>
        <w:tc>
          <w:tcPr>
            <w:tcW w:w="4735" w:type="dxa"/>
            <w:gridSpan w:val="2"/>
            <w:vAlign w:val="top"/>
          </w:tcPr>
          <w:p w14:paraId="3E20E1B4">
            <w:pPr>
              <w:pStyle w:val="6"/>
              <w:spacing w:before="94" w:line="219" w:lineRule="auto"/>
              <w:ind w:left="152"/>
              <w:rPr>
                <w:sz w:val="21"/>
                <w:szCs w:val="21"/>
              </w:rPr>
            </w:pPr>
            <w:r>
              <w:rPr>
                <w:spacing w:val="-1"/>
                <w:sz w:val="21"/>
                <w:szCs w:val="21"/>
              </w:rPr>
              <w:t>按“分区防渗”要求，落实不同区域的防渗措施</w:t>
            </w:r>
          </w:p>
        </w:tc>
        <w:tc>
          <w:tcPr>
            <w:tcW w:w="1139" w:type="dxa"/>
            <w:vAlign w:val="top"/>
          </w:tcPr>
          <w:p w14:paraId="24C3FF1E">
            <w:pPr>
              <w:pStyle w:val="6"/>
              <w:spacing w:before="100" w:line="224" w:lineRule="auto"/>
              <w:ind w:left="507"/>
              <w:rPr>
                <w:sz w:val="21"/>
                <w:szCs w:val="21"/>
              </w:rPr>
            </w:pPr>
            <w:r>
              <w:rPr>
                <w:sz w:val="21"/>
                <w:szCs w:val="21"/>
              </w:rPr>
              <w:t>/</w:t>
            </w:r>
          </w:p>
        </w:tc>
        <w:tc>
          <w:tcPr>
            <w:tcW w:w="1119" w:type="dxa"/>
            <w:vAlign w:val="top"/>
          </w:tcPr>
          <w:p w14:paraId="16E5CFEB">
            <w:pPr>
              <w:pStyle w:val="6"/>
              <w:spacing w:before="115" w:line="224" w:lineRule="auto"/>
              <w:ind w:left="399"/>
              <w:rPr>
                <w:sz w:val="21"/>
                <w:szCs w:val="21"/>
              </w:rPr>
            </w:pPr>
            <w:r>
              <w:rPr>
                <w:spacing w:val="-6"/>
                <w:sz w:val="21"/>
                <w:szCs w:val="21"/>
              </w:rPr>
              <w:t>150</w:t>
            </w:r>
          </w:p>
        </w:tc>
        <w:tc>
          <w:tcPr>
            <w:tcW w:w="115" w:type="dxa"/>
            <w:tcBorders>
              <w:top w:val="nil"/>
              <w:bottom w:val="nil"/>
            </w:tcBorders>
            <w:vAlign w:val="top"/>
          </w:tcPr>
          <w:p w14:paraId="5CCA55F5">
            <w:pPr>
              <w:rPr>
                <w:rFonts w:ascii="Arial"/>
                <w:sz w:val="21"/>
              </w:rPr>
            </w:pPr>
          </w:p>
        </w:tc>
      </w:tr>
      <w:tr w14:paraId="39C30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44" w:type="dxa"/>
            <w:vMerge w:val="continue"/>
            <w:tcBorders>
              <w:top w:val="nil"/>
              <w:bottom w:val="nil"/>
            </w:tcBorders>
            <w:vAlign w:val="top"/>
          </w:tcPr>
          <w:p w14:paraId="64421593">
            <w:pPr>
              <w:rPr>
                <w:rFonts w:ascii="Arial"/>
                <w:sz w:val="21"/>
              </w:rPr>
            </w:pPr>
          </w:p>
        </w:tc>
        <w:tc>
          <w:tcPr>
            <w:tcW w:w="110" w:type="dxa"/>
            <w:tcBorders>
              <w:top w:val="nil"/>
              <w:bottom w:val="nil"/>
            </w:tcBorders>
            <w:vAlign w:val="top"/>
          </w:tcPr>
          <w:p w14:paraId="7DDE462E">
            <w:pPr>
              <w:rPr>
                <w:rFonts w:ascii="Arial"/>
                <w:sz w:val="21"/>
              </w:rPr>
            </w:pPr>
          </w:p>
        </w:tc>
        <w:tc>
          <w:tcPr>
            <w:tcW w:w="5743" w:type="dxa"/>
            <w:gridSpan w:val="4"/>
            <w:vAlign w:val="top"/>
          </w:tcPr>
          <w:p w14:paraId="49FF4A15">
            <w:pPr>
              <w:pStyle w:val="6"/>
              <w:spacing w:before="85" w:line="221" w:lineRule="auto"/>
              <w:ind w:left="2650"/>
              <w:rPr>
                <w:sz w:val="21"/>
                <w:szCs w:val="21"/>
              </w:rPr>
            </w:pPr>
            <w:r>
              <w:rPr>
                <w:spacing w:val="4"/>
                <w:sz w:val="21"/>
                <w:szCs w:val="21"/>
              </w:rPr>
              <w:t>小计</w:t>
            </w:r>
          </w:p>
        </w:tc>
        <w:tc>
          <w:tcPr>
            <w:tcW w:w="1139" w:type="dxa"/>
            <w:vAlign w:val="top"/>
          </w:tcPr>
          <w:p w14:paraId="18306798">
            <w:pPr>
              <w:pStyle w:val="6"/>
              <w:spacing w:before="104" w:line="225" w:lineRule="auto"/>
              <w:ind w:left="461"/>
              <w:rPr>
                <w:sz w:val="21"/>
                <w:szCs w:val="21"/>
              </w:rPr>
            </w:pPr>
            <w:r>
              <w:rPr>
                <w:b/>
                <w:bCs/>
                <w:spacing w:val="-5"/>
                <w:sz w:val="21"/>
                <w:szCs w:val="21"/>
              </w:rPr>
              <w:t>67</w:t>
            </w:r>
          </w:p>
        </w:tc>
        <w:tc>
          <w:tcPr>
            <w:tcW w:w="1119" w:type="dxa"/>
            <w:vAlign w:val="top"/>
          </w:tcPr>
          <w:p w14:paraId="742EA36A">
            <w:pPr>
              <w:pStyle w:val="6"/>
              <w:spacing w:before="102" w:line="226" w:lineRule="auto"/>
              <w:ind w:left="241"/>
              <w:rPr>
                <w:sz w:val="21"/>
                <w:szCs w:val="21"/>
              </w:rPr>
            </w:pPr>
            <w:r>
              <w:rPr>
                <w:b/>
                <w:bCs/>
                <w:spacing w:val="-6"/>
                <w:sz w:val="21"/>
                <w:szCs w:val="21"/>
              </w:rPr>
              <w:t>166.45</w:t>
            </w:r>
          </w:p>
        </w:tc>
        <w:tc>
          <w:tcPr>
            <w:tcW w:w="115" w:type="dxa"/>
            <w:tcBorders>
              <w:top w:val="nil"/>
              <w:bottom w:val="nil"/>
            </w:tcBorders>
            <w:vAlign w:val="top"/>
          </w:tcPr>
          <w:p w14:paraId="32129B3F">
            <w:pPr>
              <w:rPr>
                <w:rFonts w:ascii="Arial"/>
                <w:sz w:val="21"/>
              </w:rPr>
            </w:pPr>
          </w:p>
        </w:tc>
      </w:tr>
      <w:tr w14:paraId="55F24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744" w:type="dxa"/>
            <w:vMerge w:val="continue"/>
            <w:tcBorders>
              <w:top w:val="nil"/>
              <w:bottom w:val="nil"/>
            </w:tcBorders>
            <w:vAlign w:val="top"/>
          </w:tcPr>
          <w:p w14:paraId="19087CEE">
            <w:pPr>
              <w:rPr>
                <w:rFonts w:ascii="Arial"/>
                <w:sz w:val="21"/>
              </w:rPr>
            </w:pPr>
          </w:p>
        </w:tc>
        <w:tc>
          <w:tcPr>
            <w:tcW w:w="110" w:type="dxa"/>
            <w:tcBorders>
              <w:top w:val="nil"/>
              <w:bottom w:val="nil"/>
            </w:tcBorders>
            <w:vAlign w:val="top"/>
          </w:tcPr>
          <w:p w14:paraId="013F5509">
            <w:pPr>
              <w:rPr>
                <w:rFonts w:ascii="Arial"/>
                <w:sz w:val="21"/>
              </w:rPr>
            </w:pPr>
          </w:p>
        </w:tc>
        <w:tc>
          <w:tcPr>
            <w:tcW w:w="359" w:type="dxa"/>
            <w:vAlign w:val="top"/>
          </w:tcPr>
          <w:p w14:paraId="6AC62A4E">
            <w:pPr>
              <w:pStyle w:val="6"/>
              <w:spacing w:before="104" w:line="224" w:lineRule="auto"/>
              <w:ind w:left="60"/>
              <w:rPr>
                <w:sz w:val="21"/>
                <w:szCs w:val="21"/>
              </w:rPr>
            </w:pPr>
            <w:r>
              <w:rPr>
                <w:sz w:val="21"/>
                <w:szCs w:val="21"/>
              </w:rPr>
              <w:t>三</w:t>
            </w:r>
          </w:p>
        </w:tc>
        <w:tc>
          <w:tcPr>
            <w:tcW w:w="7642" w:type="dxa"/>
            <w:gridSpan w:val="5"/>
            <w:vAlign w:val="top"/>
          </w:tcPr>
          <w:p w14:paraId="12C320B2">
            <w:pPr>
              <w:pStyle w:val="6"/>
              <w:spacing w:before="81" w:line="219" w:lineRule="auto"/>
              <w:ind w:left="3084"/>
              <w:rPr>
                <w:sz w:val="21"/>
                <w:szCs w:val="21"/>
              </w:rPr>
            </w:pPr>
            <w:r>
              <w:rPr>
                <w:b/>
                <w:bCs/>
                <w:spacing w:val="-4"/>
                <w:sz w:val="21"/>
                <w:szCs w:val="21"/>
              </w:rPr>
              <w:t>环境管理及其他</w:t>
            </w:r>
          </w:p>
        </w:tc>
        <w:tc>
          <w:tcPr>
            <w:tcW w:w="115" w:type="dxa"/>
            <w:tcBorders>
              <w:top w:val="nil"/>
              <w:bottom w:val="nil"/>
            </w:tcBorders>
            <w:vAlign w:val="top"/>
          </w:tcPr>
          <w:p w14:paraId="74301BBB">
            <w:pPr>
              <w:rPr>
                <w:rFonts w:ascii="Arial"/>
                <w:sz w:val="21"/>
              </w:rPr>
            </w:pPr>
          </w:p>
        </w:tc>
      </w:tr>
      <w:tr w14:paraId="50BAF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744" w:type="dxa"/>
            <w:vMerge w:val="continue"/>
            <w:tcBorders>
              <w:top w:val="nil"/>
              <w:bottom w:val="nil"/>
            </w:tcBorders>
            <w:vAlign w:val="top"/>
          </w:tcPr>
          <w:p w14:paraId="5B3C982F">
            <w:pPr>
              <w:rPr>
                <w:rFonts w:ascii="Arial"/>
                <w:sz w:val="21"/>
              </w:rPr>
            </w:pPr>
          </w:p>
        </w:tc>
        <w:tc>
          <w:tcPr>
            <w:tcW w:w="110" w:type="dxa"/>
            <w:tcBorders>
              <w:top w:val="nil"/>
              <w:bottom w:val="nil"/>
            </w:tcBorders>
            <w:vAlign w:val="top"/>
          </w:tcPr>
          <w:p w14:paraId="6CFAFCEC">
            <w:pPr>
              <w:rPr>
                <w:rFonts w:ascii="Arial"/>
                <w:sz w:val="21"/>
              </w:rPr>
            </w:pPr>
          </w:p>
        </w:tc>
        <w:tc>
          <w:tcPr>
            <w:tcW w:w="359" w:type="dxa"/>
            <w:vMerge w:val="restart"/>
            <w:tcBorders>
              <w:bottom w:val="nil"/>
            </w:tcBorders>
            <w:vAlign w:val="top"/>
          </w:tcPr>
          <w:p w14:paraId="41804D85">
            <w:pPr>
              <w:pStyle w:val="6"/>
              <w:spacing w:before="196" w:line="241" w:lineRule="auto"/>
              <w:ind w:left="110"/>
              <w:rPr>
                <w:sz w:val="21"/>
                <w:szCs w:val="21"/>
              </w:rPr>
            </w:pPr>
            <w:r>
              <w:rPr>
                <w:sz w:val="21"/>
                <w:szCs w:val="21"/>
              </w:rPr>
              <w:t>1</w:t>
            </w:r>
          </w:p>
        </w:tc>
        <w:tc>
          <w:tcPr>
            <w:tcW w:w="649" w:type="dxa"/>
            <w:vMerge w:val="restart"/>
            <w:tcBorders>
              <w:bottom w:val="nil"/>
            </w:tcBorders>
            <w:vAlign w:val="top"/>
          </w:tcPr>
          <w:p w14:paraId="1F6BBFAF">
            <w:pPr>
              <w:pStyle w:val="6"/>
              <w:spacing w:before="36" w:line="221" w:lineRule="auto"/>
              <w:ind w:left="210" w:right="5" w:hanging="199"/>
              <w:rPr>
                <w:sz w:val="21"/>
                <w:szCs w:val="21"/>
              </w:rPr>
            </w:pPr>
            <w:r>
              <w:rPr>
                <w:spacing w:val="-3"/>
                <w:sz w:val="21"/>
                <w:szCs w:val="21"/>
              </w:rPr>
              <w:t>环境管</w:t>
            </w:r>
            <w:r>
              <w:rPr>
                <w:sz w:val="21"/>
                <w:szCs w:val="21"/>
              </w:rPr>
              <w:t xml:space="preserve"> 理</w:t>
            </w:r>
          </w:p>
        </w:tc>
        <w:tc>
          <w:tcPr>
            <w:tcW w:w="4735" w:type="dxa"/>
            <w:gridSpan w:val="2"/>
            <w:vAlign w:val="top"/>
          </w:tcPr>
          <w:p w14:paraId="6D96681C">
            <w:pPr>
              <w:pStyle w:val="6"/>
              <w:spacing w:before="35" w:line="187" w:lineRule="auto"/>
              <w:ind w:left="1732"/>
              <w:rPr>
                <w:sz w:val="21"/>
                <w:szCs w:val="21"/>
              </w:rPr>
            </w:pPr>
            <w:r>
              <w:rPr>
                <w:spacing w:val="4"/>
                <w:sz w:val="21"/>
                <w:szCs w:val="21"/>
              </w:rPr>
              <w:t>环境管理费用</w:t>
            </w:r>
          </w:p>
        </w:tc>
        <w:tc>
          <w:tcPr>
            <w:tcW w:w="1139" w:type="dxa"/>
            <w:vAlign w:val="top"/>
          </w:tcPr>
          <w:p w14:paraId="34736CD7">
            <w:pPr>
              <w:pStyle w:val="6"/>
              <w:spacing w:before="40" w:line="182" w:lineRule="auto"/>
              <w:ind w:left="507"/>
              <w:rPr>
                <w:sz w:val="21"/>
                <w:szCs w:val="21"/>
              </w:rPr>
            </w:pPr>
            <w:r>
              <w:rPr>
                <w:sz w:val="21"/>
                <w:szCs w:val="21"/>
              </w:rPr>
              <w:t>/</w:t>
            </w:r>
          </w:p>
        </w:tc>
        <w:tc>
          <w:tcPr>
            <w:tcW w:w="1119" w:type="dxa"/>
            <w:vAlign w:val="top"/>
          </w:tcPr>
          <w:p w14:paraId="6970372B">
            <w:pPr>
              <w:pStyle w:val="6"/>
              <w:spacing w:before="56" w:line="168" w:lineRule="auto"/>
              <w:ind w:left="448"/>
              <w:rPr>
                <w:sz w:val="21"/>
                <w:szCs w:val="21"/>
              </w:rPr>
            </w:pPr>
            <w:r>
              <w:rPr>
                <w:spacing w:val="-6"/>
                <w:sz w:val="21"/>
                <w:szCs w:val="21"/>
              </w:rPr>
              <w:t>10</w:t>
            </w:r>
          </w:p>
        </w:tc>
        <w:tc>
          <w:tcPr>
            <w:tcW w:w="115" w:type="dxa"/>
            <w:tcBorders>
              <w:top w:val="nil"/>
              <w:bottom w:val="nil"/>
            </w:tcBorders>
            <w:vAlign w:val="top"/>
          </w:tcPr>
          <w:p w14:paraId="487079DC">
            <w:pPr>
              <w:rPr>
                <w:rFonts w:ascii="Arial"/>
                <w:sz w:val="21"/>
              </w:rPr>
            </w:pPr>
          </w:p>
        </w:tc>
      </w:tr>
      <w:tr w14:paraId="0C7B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744" w:type="dxa"/>
            <w:vMerge w:val="continue"/>
            <w:tcBorders>
              <w:top w:val="nil"/>
              <w:bottom w:val="nil"/>
            </w:tcBorders>
            <w:vAlign w:val="top"/>
          </w:tcPr>
          <w:p w14:paraId="0D708461">
            <w:pPr>
              <w:rPr>
                <w:rFonts w:ascii="Arial"/>
                <w:sz w:val="21"/>
              </w:rPr>
            </w:pPr>
          </w:p>
        </w:tc>
        <w:tc>
          <w:tcPr>
            <w:tcW w:w="110" w:type="dxa"/>
            <w:tcBorders>
              <w:top w:val="nil"/>
              <w:bottom w:val="nil"/>
            </w:tcBorders>
            <w:vAlign w:val="top"/>
          </w:tcPr>
          <w:p w14:paraId="7EE35085">
            <w:pPr>
              <w:rPr>
                <w:rFonts w:ascii="Arial"/>
                <w:sz w:val="21"/>
              </w:rPr>
            </w:pPr>
          </w:p>
        </w:tc>
        <w:tc>
          <w:tcPr>
            <w:tcW w:w="359" w:type="dxa"/>
            <w:vMerge w:val="continue"/>
            <w:tcBorders>
              <w:top w:val="nil"/>
            </w:tcBorders>
            <w:vAlign w:val="top"/>
          </w:tcPr>
          <w:p w14:paraId="18F218A1">
            <w:pPr>
              <w:rPr>
                <w:rFonts w:ascii="Arial"/>
                <w:sz w:val="21"/>
              </w:rPr>
            </w:pPr>
          </w:p>
        </w:tc>
        <w:tc>
          <w:tcPr>
            <w:tcW w:w="649" w:type="dxa"/>
            <w:vMerge w:val="continue"/>
            <w:tcBorders>
              <w:top w:val="nil"/>
            </w:tcBorders>
            <w:vAlign w:val="top"/>
          </w:tcPr>
          <w:p w14:paraId="4309A3EE">
            <w:pPr>
              <w:rPr>
                <w:rFonts w:ascii="Arial"/>
                <w:sz w:val="21"/>
              </w:rPr>
            </w:pPr>
          </w:p>
        </w:tc>
        <w:tc>
          <w:tcPr>
            <w:tcW w:w="4735" w:type="dxa"/>
            <w:gridSpan w:val="2"/>
            <w:vAlign w:val="top"/>
          </w:tcPr>
          <w:p w14:paraId="7E444199">
            <w:pPr>
              <w:pStyle w:val="6"/>
              <w:spacing w:before="48" w:line="196" w:lineRule="auto"/>
              <w:ind w:left="992"/>
              <w:rPr>
                <w:sz w:val="21"/>
                <w:szCs w:val="21"/>
              </w:rPr>
            </w:pPr>
            <w:r>
              <w:rPr>
                <w:spacing w:val="1"/>
                <w:sz w:val="21"/>
                <w:szCs w:val="21"/>
              </w:rPr>
              <w:t>开展项目建设的环境监理工作</w:t>
            </w:r>
          </w:p>
        </w:tc>
        <w:tc>
          <w:tcPr>
            <w:tcW w:w="1139" w:type="dxa"/>
            <w:vAlign w:val="top"/>
          </w:tcPr>
          <w:p w14:paraId="2C19A8E7">
            <w:pPr>
              <w:pStyle w:val="6"/>
              <w:spacing w:before="53" w:line="191" w:lineRule="auto"/>
              <w:ind w:left="507"/>
              <w:rPr>
                <w:sz w:val="21"/>
                <w:szCs w:val="21"/>
              </w:rPr>
            </w:pPr>
            <w:r>
              <w:rPr>
                <w:sz w:val="21"/>
                <w:szCs w:val="21"/>
              </w:rPr>
              <w:t>/</w:t>
            </w:r>
          </w:p>
        </w:tc>
        <w:tc>
          <w:tcPr>
            <w:tcW w:w="1119" w:type="dxa"/>
            <w:vAlign w:val="top"/>
          </w:tcPr>
          <w:p w14:paraId="35D143A1">
            <w:pPr>
              <w:pStyle w:val="6"/>
              <w:spacing w:before="68" w:line="178" w:lineRule="auto"/>
              <w:ind w:left="448"/>
              <w:rPr>
                <w:sz w:val="21"/>
                <w:szCs w:val="21"/>
              </w:rPr>
            </w:pPr>
            <w:r>
              <w:rPr>
                <w:spacing w:val="-2"/>
                <w:sz w:val="21"/>
                <w:szCs w:val="21"/>
              </w:rPr>
              <w:t>40</w:t>
            </w:r>
          </w:p>
        </w:tc>
        <w:tc>
          <w:tcPr>
            <w:tcW w:w="115" w:type="dxa"/>
            <w:tcBorders>
              <w:top w:val="nil"/>
              <w:bottom w:val="nil"/>
            </w:tcBorders>
            <w:vAlign w:val="top"/>
          </w:tcPr>
          <w:p w14:paraId="1723EA73">
            <w:pPr>
              <w:rPr>
                <w:rFonts w:ascii="Arial"/>
                <w:sz w:val="21"/>
              </w:rPr>
            </w:pPr>
          </w:p>
        </w:tc>
      </w:tr>
      <w:tr w14:paraId="13E65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744" w:type="dxa"/>
            <w:vMerge w:val="continue"/>
            <w:tcBorders>
              <w:top w:val="nil"/>
              <w:bottom w:val="nil"/>
            </w:tcBorders>
            <w:vAlign w:val="top"/>
          </w:tcPr>
          <w:p w14:paraId="5C6906C3">
            <w:pPr>
              <w:rPr>
                <w:rFonts w:ascii="Arial"/>
                <w:sz w:val="21"/>
              </w:rPr>
            </w:pPr>
          </w:p>
        </w:tc>
        <w:tc>
          <w:tcPr>
            <w:tcW w:w="110" w:type="dxa"/>
            <w:tcBorders>
              <w:top w:val="nil"/>
              <w:bottom w:val="nil"/>
            </w:tcBorders>
            <w:vAlign w:val="top"/>
          </w:tcPr>
          <w:p w14:paraId="3D641562">
            <w:pPr>
              <w:rPr>
                <w:rFonts w:ascii="Arial"/>
                <w:sz w:val="21"/>
              </w:rPr>
            </w:pPr>
          </w:p>
        </w:tc>
        <w:tc>
          <w:tcPr>
            <w:tcW w:w="359" w:type="dxa"/>
            <w:vMerge w:val="restart"/>
            <w:tcBorders>
              <w:bottom w:val="nil"/>
            </w:tcBorders>
            <w:vAlign w:val="top"/>
          </w:tcPr>
          <w:p w14:paraId="71655F31">
            <w:pPr>
              <w:pStyle w:val="6"/>
              <w:spacing w:before="277" w:line="241" w:lineRule="auto"/>
              <w:ind w:left="110"/>
              <w:rPr>
                <w:sz w:val="21"/>
                <w:szCs w:val="21"/>
              </w:rPr>
            </w:pPr>
            <w:r>
              <w:rPr>
                <w:sz w:val="21"/>
                <w:szCs w:val="21"/>
              </w:rPr>
              <w:t>2</w:t>
            </w:r>
          </w:p>
        </w:tc>
        <w:tc>
          <w:tcPr>
            <w:tcW w:w="649" w:type="dxa"/>
            <w:vMerge w:val="restart"/>
            <w:tcBorders>
              <w:bottom w:val="nil"/>
            </w:tcBorders>
            <w:vAlign w:val="top"/>
          </w:tcPr>
          <w:p w14:paraId="55C8BD80">
            <w:pPr>
              <w:pStyle w:val="6"/>
              <w:spacing w:before="257" w:line="220" w:lineRule="auto"/>
              <w:ind w:left="101"/>
              <w:rPr>
                <w:sz w:val="21"/>
                <w:szCs w:val="21"/>
              </w:rPr>
            </w:pPr>
            <w:r>
              <w:rPr>
                <w:spacing w:val="-3"/>
                <w:sz w:val="21"/>
                <w:szCs w:val="21"/>
              </w:rPr>
              <w:t>其他</w:t>
            </w:r>
          </w:p>
        </w:tc>
        <w:tc>
          <w:tcPr>
            <w:tcW w:w="4735" w:type="dxa"/>
            <w:gridSpan w:val="2"/>
            <w:vAlign w:val="top"/>
          </w:tcPr>
          <w:p w14:paraId="7E801E1A">
            <w:pPr>
              <w:pStyle w:val="6"/>
              <w:spacing w:before="116" w:line="219" w:lineRule="auto"/>
              <w:ind w:left="1413"/>
              <w:rPr>
                <w:sz w:val="21"/>
                <w:szCs w:val="21"/>
              </w:rPr>
            </w:pPr>
            <w:r>
              <w:rPr>
                <w:spacing w:val="1"/>
                <w:sz w:val="21"/>
                <w:szCs w:val="21"/>
              </w:rPr>
              <w:t>农业种植环保预留费</w:t>
            </w:r>
          </w:p>
        </w:tc>
        <w:tc>
          <w:tcPr>
            <w:tcW w:w="1139" w:type="dxa"/>
            <w:vAlign w:val="top"/>
          </w:tcPr>
          <w:p w14:paraId="04821C9D">
            <w:pPr>
              <w:pStyle w:val="6"/>
              <w:spacing w:before="137" w:line="225" w:lineRule="auto"/>
              <w:ind w:left="407"/>
              <w:rPr>
                <w:sz w:val="21"/>
                <w:szCs w:val="21"/>
              </w:rPr>
            </w:pPr>
            <w:r>
              <w:rPr>
                <w:spacing w:val="-6"/>
                <w:sz w:val="21"/>
                <w:szCs w:val="21"/>
              </w:rPr>
              <w:t>100</w:t>
            </w:r>
          </w:p>
        </w:tc>
        <w:tc>
          <w:tcPr>
            <w:tcW w:w="1119" w:type="dxa"/>
            <w:vAlign w:val="top"/>
          </w:tcPr>
          <w:p w14:paraId="7ADEBC4F">
            <w:pPr>
              <w:pStyle w:val="6"/>
              <w:spacing w:before="122" w:line="224" w:lineRule="auto"/>
              <w:ind w:left="498"/>
              <w:rPr>
                <w:sz w:val="21"/>
                <w:szCs w:val="21"/>
              </w:rPr>
            </w:pPr>
            <w:r>
              <w:rPr>
                <w:sz w:val="21"/>
                <w:szCs w:val="21"/>
              </w:rPr>
              <w:t>/</w:t>
            </w:r>
          </w:p>
        </w:tc>
        <w:tc>
          <w:tcPr>
            <w:tcW w:w="115" w:type="dxa"/>
            <w:tcBorders>
              <w:top w:val="nil"/>
              <w:bottom w:val="nil"/>
            </w:tcBorders>
            <w:vAlign w:val="top"/>
          </w:tcPr>
          <w:p w14:paraId="53C6CEF0">
            <w:pPr>
              <w:rPr>
                <w:rFonts w:ascii="Arial"/>
                <w:sz w:val="21"/>
              </w:rPr>
            </w:pPr>
          </w:p>
        </w:tc>
      </w:tr>
      <w:tr w14:paraId="11820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744" w:type="dxa"/>
            <w:vMerge w:val="continue"/>
            <w:tcBorders>
              <w:top w:val="nil"/>
              <w:bottom w:val="nil"/>
            </w:tcBorders>
            <w:vAlign w:val="top"/>
          </w:tcPr>
          <w:p w14:paraId="0FE1714A">
            <w:pPr>
              <w:rPr>
                <w:rFonts w:ascii="Arial"/>
                <w:sz w:val="21"/>
              </w:rPr>
            </w:pPr>
          </w:p>
        </w:tc>
        <w:tc>
          <w:tcPr>
            <w:tcW w:w="110" w:type="dxa"/>
            <w:tcBorders>
              <w:top w:val="nil"/>
              <w:bottom w:val="nil"/>
            </w:tcBorders>
            <w:vAlign w:val="top"/>
          </w:tcPr>
          <w:p w14:paraId="5A41D661">
            <w:pPr>
              <w:rPr>
                <w:rFonts w:ascii="Arial"/>
                <w:sz w:val="21"/>
              </w:rPr>
            </w:pPr>
          </w:p>
        </w:tc>
        <w:tc>
          <w:tcPr>
            <w:tcW w:w="359" w:type="dxa"/>
            <w:vMerge w:val="continue"/>
            <w:tcBorders>
              <w:top w:val="nil"/>
            </w:tcBorders>
            <w:vAlign w:val="top"/>
          </w:tcPr>
          <w:p w14:paraId="7339BF75">
            <w:pPr>
              <w:rPr>
                <w:rFonts w:ascii="Arial"/>
                <w:sz w:val="21"/>
              </w:rPr>
            </w:pPr>
          </w:p>
        </w:tc>
        <w:tc>
          <w:tcPr>
            <w:tcW w:w="649" w:type="dxa"/>
            <w:vMerge w:val="continue"/>
            <w:tcBorders>
              <w:top w:val="nil"/>
            </w:tcBorders>
            <w:vAlign w:val="top"/>
          </w:tcPr>
          <w:p w14:paraId="5E19A162">
            <w:pPr>
              <w:rPr>
                <w:rFonts w:ascii="Arial"/>
                <w:sz w:val="21"/>
              </w:rPr>
            </w:pPr>
          </w:p>
        </w:tc>
        <w:tc>
          <w:tcPr>
            <w:tcW w:w="4735" w:type="dxa"/>
            <w:gridSpan w:val="2"/>
            <w:vAlign w:val="top"/>
          </w:tcPr>
          <w:p w14:paraId="7E5E99C9">
            <w:pPr>
              <w:pStyle w:val="6"/>
              <w:spacing w:before="63" w:line="196" w:lineRule="auto"/>
              <w:ind w:left="1943"/>
              <w:rPr>
                <w:sz w:val="21"/>
                <w:szCs w:val="21"/>
              </w:rPr>
            </w:pPr>
            <w:r>
              <w:rPr>
                <w:spacing w:val="3"/>
                <w:sz w:val="21"/>
                <w:szCs w:val="21"/>
              </w:rPr>
              <w:t>宣传保护</w:t>
            </w:r>
          </w:p>
        </w:tc>
        <w:tc>
          <w:tcPr>
            <w:tcW w:w="1139" w:type="dxa"/>
            <w:vAlign w:val="top"/>
          </w:tcPr>
          <w:p w14:paraId="76BDE286">
            <w:pPr>
              <w:pStyle w:val="6"/>
              <w:spacing w:before="84" w:line="177" w:lineRule="auto"/>
              <w:ind w:left="458"/>
              <w:rPr>
                <w:sz w:val="21"/>
                <w:szCs w:val="21"/>
              </w:rPr>
            </w:pPr>
            <w:r>
              <w:rPr>
                <w:spacing w:val="-4"/>
                <w:sz w:val="21"/>
                <w:szCs w:val="21"/>
              </w:rPr>
              <w:t>30</w:t>
            </w:r>
          </w:p>
        </w:tc>
        <w:tc>
          <w:tcPr>
            <w:tcW w:w="1119" w:type="dxa"/>
            <w:vAlign w:val="top"/>
          </w:tcPr>
          <w:p w14:paraId="750EE201">
            <w:pPr>
              <w:pStyle w:val="6"/>
              <w:spacing w:before="68" w:line="191" w:lineRule="auto"/>
              <w:ind w:left="498"/>
              <w:rPr>
                <w:sz w:val="21"/>
                <w:szCs w:val="21"/>
              </w:rPr>
            </w:pPr>
            <w:r>
              <w:rPr>
                <w:sz w:val="21"/>
                <w:szCs w:val="21"/>
              </w:rPr>
              <w:t>/</w:t>
            </w:r>
          </w:p>
        </w:tc>
        <w:tc>
          <w:tcPr>
            <w:tcW w:w="115" w:type="dxa"/>
            <w:tcBorders>
              <w:top w:val="nil"/>
              <w:bottom w:val="nil"/>
            </w:tcBorders>
            <w:vAlign w:val="top"/>
          </w:tcPr>
          <w:p w14:paraId="0B271787">
            <w:pPr>
              <w:rPr>
                <w:rFonts w:ascii="Arial"/>
                <w:sz w:val="21"/>
              </w:rPr>
            </w:pPr>
          </w:p>
        </w:tc>
      </w:tr>
      <w:tr w14:paraId="3F7C2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44" w:type="dxa"/>
            <w:vMerge w:val="continue"/>
            <w:tcBorders>
              <w:top w:val="nil"/>
              <w:bottom w:val="nil"/>
            </w:tcBorders>
            <w:vAlign w:val="top"/>
          </w:tcPr>
          <w:p w14:paraId="0D4A4C6D">
            <w:pPr>
              <w:rPr>
                <w:rFonts w:ascii="Arial"/>
                <w:sz w:val="21"/>
              </w:rPr>
            </w:pPr>
          </w:p>
        </w:tc>
        <w:tc>
          <w:tcPr>
            <w:tcW w:w="110" w:type="dxa"/>
            <w:tcBorders>
              <w:top w:val="nil"/>
              <w:bottom w:val="nil"/>
            </w:tcBorders>
            <w:vAlign w:val="top"/>
          </w:tcPr>
          <w:p w14:paraId="293F405C">
            <w:pPr>
              <w:rPr>
                <w:rFonts w:ascii="Arial"/>
                <w:sz w:val="21"/>
              </w:rPr>
            </w:pPr>
          </w:p>
        </w:tc>
        <w:tc>
          <w:tcPr>
            <w:tcW w:w="5743" w:type="dxa"/>
            <w:gridSpan w:val="4"/>
            <w:vAlign w:val="top"/>
          </w:tcPr>
          <w:p w14:paraId="1E1FA2A3">
            <w:pPr>
              <w:pStyle w:val="6"/>
              <w:spacing w:before="49" w:line="194" w:lineRule="auto"/>
              <w:ind w:left="2650"/>
              <w:rPr>
                <w:sz w:val="21"/>
                <w:szCs w:val="21"/>
              </w:rPr>
            </w:pPr>
            <w:r>
              <w:rPr>
                <w:spacing w:val="4"/>
                <w:sz w:val="21"/>
                <w:szCs w:val="21"/>
              </w:rPr>
              <w:t>小计</w:t>
            </w:r>
          </w:p>
        </w:tc>
        <w:tc>
          <w:tcPr>
            <w:tcW w:w="1139" w:type="dxa"/>
            <w:vAlign w:val="top"/>
          </w:tcPr>
          <w:p w14:paraId="267561EA">
            <w:pPr>
              <w:pStyle w:val="6"/>
              <w:spacing w:before="67" w:line="178" w:lineRule="auto"/>
              <w:ind w:left="410"/>
              <w:rPr>
                <w:sz w:val="21"/>
                <w:szCs w:val="21"/>
              </w:rPr>
            </w:pPr>
            <w:r>
              <w:rPr>
                <w:b/>
                <w:bCs/>
                <w:spacing w:val="-8"/>
                <w:sz w:val="21"/>
                <w:szCs w:val="21"/>
              </w:rPr>
              <w:t>130</w:t>
            </w:r>
          </w:p>
        </w:tc>
        <w:tc>
          <w:tcPr>
            <w:tcW w:w="1119" w:type="dxa"/>
            <w:vAlign w:val="top"/>
          </w:tcPr>
          <w:p w14:paraId="53ACA130">
            <w:pPr>
              <w:pStyle w:val="6"/>
              <w:spacing w:before="67" w:line="178" w:lineRule="auto"/>
              <w:ind w:left="451"/>
              <w:rPr>
                <w:sz w:val="21"/>
                <w:szCs w:val="21"/>
              </w:rPr>
            </w:pPr>
            <w:r>
              <w:rPr>
                <w:b/>
                <w:bCs/>
                <w:spacing w:val="-6"/>
                <w:sz w:val="21"/>
                <w:szCs w:val="21"/>
              </w:rPr>
              <w:t>50</w:t>
            </w:r>
          </w:p>
        </w:tc>
        <w:tc>
          <w:tcPr>
            <w:tcW w:w="115" w:type="dxa"/>
            <w:tcBorders>
              <w:top w:val="nil"/>
              <w:bottom w:val="nil"/>
            </w:tcBorders>
            <w:vAlign w:val="top"/>
          </w:tcPr>
          <w:p w14:paraId="76BD9E44">
            <w:pPr>
              <w:rPr>
                <w:rFonts w:ascii="Arial"/>
                <w:sz w:val="21"/>
              </w:rPr>
            </w:pPr>
          </w:p>
        </w:tc>
      </w:tr>
      <w:tr w14:paraId="09AC0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44" w:type="dxa"/>
            <w:vMerge w:val="continue"/>
            <w:tcBorders>
              <w:top w:val="nil"/>
              <w:bottom w:val="nil"/>
            </w:tcBorders>
            <w:vAlign w:val="top"/>
          </w:tcPr>
          <w:p w14:paraId="2215FC8D">
            <w:pPr>
              <w:rPr>
                <w:rFonts w:ascii="Arial"/>
                <w:sz w:val="21"/>
              </w:rPr>
            </w:pPr>
          </w:p>
        </w:tc>
        <w:tc>
          <w:tcPr>
            <w:tcW w:w="110" w:type="dxa"/>
            <w:tcBorders>
              <w:top w:val="nil"/>
              <w:bottom w:val="nil"/>
            </w:tcBorders>
            <w:vAlign w:val="top"/>
          </w:tcPr>
          <w:p w14:paraId="13A91DFA">
            <w:pPr>
              <w:rPr>
                <w:rFonts w:ascii="Arial"/>
                <w:sz w:val="21"/>
              </w:rPr>
            </w:pPr>
          </w:p>
        </w:tc>
        <w:tc>
          <w:tcPr>
            <w:tcW w:w="5743" w:type="dxa"/>
            <w:gridSpan w:val="4"/>
            <w:vMerge w:val="restart"/>
            <w:tcBorders>
              <w:bottom w:val="nil"/>
            </w:tcBorders>
            <w:vAlign w:val="top"/>
          </w:tcPr>
          <w:p w14:paraId="13E6840C">
            <w:pPr>
              <w:pStyle w:val="6"/>
              <w:spacing w:before="178" w:line="221" w:lineRule="auto"/>
              <w:ind w:left="2650"/>
              <w:rPr>
                <w:sz w:val="21"/>
                <w:szCs w:val="21"/>
              </w:rPr>
            </w:pPr>
            <w:r>
              <w:rPr>
                <w:spacing w:val="-3"/>
                <w:sz w:val="21"/>
                <w:szCs w:val="21"/>
              </w:rPr>
              <w:t>合计</w:t>
            </w:r>
          </w:p>
        </w:tc>
        <w:tc>
          <w:tcPr>
            <w:tcW w:w="1139" w:type="dxa"/>
            <w:vAlign w:val="top"/>
          </w:tcPr>
          <w:p w14:paraId="6CE3B927">
            <w:pPr>
              <w:pStyle w:val="6"/>
              <w:spacing w:before="68" w:line="171" w:lineRule="auto"/>
              <w:ind w:left="297"/>
              <w:rPr>
                <w:sz w:val="21"/>
                <w:szCs w:val="21"/>
              </w:rPr>
            </w:pPr>
            <w:r>
              <w:rPr>
                <w:spacing w:val="-2"/>
                <w:sz w:val="21"/>
                <w:szCs w:val="21"/>
              </w:rPr>
              <w:t>450.5</w:t>
            </w:r>
          </w:p>
        </w:tc>
        <w:tc>
          <w:tcPr>
            <w:tcW w:w="1119" w:type="dxa"/>
            <w:vAlign w:val="top"/>
          </w:tcPr>
          <w:p w14:paraId="5654BBF0">
            <w:pPr>
              <w:pStyle w:val="6"/>
              <w:spacing w:before="68" w:line="171" w:lineRule="auto"/>
              <w:ind w:left="238"/>
              <w:rPr>
                <w:sz w:val="21"/>
                <w:szCs w:val="21"/>
              </w:rPr>
            </w:pPr>
            <w:r>
              <w:rPr>
                <w:spacing w:val="-2"/>
                <w:sz w:val="21"/>
                <w:szCs w:val="21"/>
              </w:rPr>
              <w:t>219.45</w:t>
            </w:r>
          </w:p>
        </w:tc>
        <w:tc>
          <w:tcPr>
            <w:tcW w:w="115" w:type="dxa"/>
            <w:tcBorders>
              <w:top w:val="nil"/>
              <w:bottom w:val="nil"/>
            </w:tcBorders>
            <w:vAlign w:val="top"/>
          </w:tcPr>
          <w:p w14:paraId="633CFF9D">
            <w:pPr>
              <w:rPr>
                <w:rFonts w:ascii="Arial"/>
                <w:sz w:val="21"/>
              </w:rPr>
            </w:pPr>
          </w:p>
        </w:tc>
      </w:tr>
      <w:tr w14:paraId="5611E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744" w:type="dxa"/>
            <w:vMerge w:val="continue"/>
            <w:tcBorders>
              <w:top w:val="nil"/>
              <w:bottom w:val="nil"/>
            </w:tcBorders>
            <w:vAlign w:val="top"/>
          </w:tcPr>
          <w:p w14:paraId="5335E2E1">
            <w:pPr>
              <w:rPr>
                <w:rFonts w:ascii="Arial"/>
                <w:sz w:val="21"/>
              </w:rPr>
            </w:pPr>
          </w:p>
        </w:tc>
        <w:tc>
          <w:tcPr>
            <w:tcW w:w="110" w:type="dxa"/>
            <w:tcBorders>
              <w:top w:val="nil"/>
            </w:tcBorders>
            <w:vAlign w:val="top"/>
          </w:tcPr>
          <w:p w14:paraId="560A1484">
            <w:pPr>
              <w:rPr>
                <w:rFonts w:ascii="Arial"/>
                <w:sz w:val="21"/>
              </w:rPr>
            </w:pPr>
          </w:p>
        </w:tc>
        <w:tc>
          <w:tcPr>
            <w:tcW w:w="5743" w:type="dxa"/>
            <w:gridSpan w:val="4"/>
            <w:vMerge w:val="continue"/>
            <w:tcBorders>
              <w:top w:val="nil"/>
            </w:tcBorders>
            <w:vAlign w:val="top"/>
          </w:tcPr>
          <w:p w14:paraId="595ACF9A">
            <w:pPr>
              <w:rPr>
                <w:rFonts w:ascii="Arial"/>
                <w:sz w:val="21"/>
              </w:rPr>
            </w:pPr>
          </w:p>
        </w:tc>
        <w:tc>
          <w:tcPr>
            <w:tcW w:w="2258" w:type="dxa"/>
            <w:gridSpan w:val="2"/>
            <w:vAlign w:val="top"/>
          </w:tcPr>
          <w:p w14:paraId="22E77140">
            <w:pPr>
              <w:pStyle w:val="6"/>
              <w:spacing w:before="64" w:line="168" w:lineRule="auto"/>
              <w:ind w:left="837"/>
              <w:rPr>
                <w:sz w:val="21"/>
                <w:szCs w:val="21"/>
              </w:rPr>
            </w:pPr>
            <w:r>
              <w:rPr>
                <w:spacing w:val="-2"/>
                <w:sz w:val="21"/>
                <w:szCs w:val="21"/>
              </w:rPr>
              <w:t>669.95</w:t>
            </w:r>
          </w:p>
        </w:tc>
        <w:tc>
          <w:tcPr>
            <w:tcW w:w="115" w:type="dxa"/>
            <w:tcBorders>
              <w:top w:val="nil"/>
            </w:tcBorders>
            <w:vAlign w:val="top"/>
          </w:tcPr>
          <w:p w14:paraId="54D4D072">
            <w:pPr>
              <w:rPr>
                <w:rFonts w:ascii="Arial"/>
                <w:sz w:val="21"/>
              </w:rPr>
            </w:pPr>
          </w:p>
        </w:tc>
      </w:tr>
      <w:tr w14:paraId="071FF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744" w:type="dxa"/>
            <w:vMerge w:val="continue"/>
            <w:tcBorders>
              <w:top w:val="nil"/>
            </w:tcBorders>
            <w:vAlign w:val="top"/>
          </w:tcPr>
          <w:p w14:paraId="36BE20B4">
            <w:pPr>
              <w:rPr>
                <w:rFonts w:ascii="Arial"/>
                <w:sz w:val="21"/>
              </w:rPr>
            </w:pPr>
          </w:p>
        </w:tc>
        <w:tc>
          <w:tcPr>
            <w:tcW w:w="8226" w:type="dxa"/>
            <w:gridSpan w:val="8"/>
            <w:vAlign w:val="top"/>
          </w:tcPr>
          <w:p w14:paraId="36ACC1AA">
            <w:pPr>
              <w:rPr>
                <w:rFonts w:ascii="Arial"/>
                <w:sz w:val="21"/>
              </w:rPr>
            </w:pPr>
          </w:p>
        </w:tc>
      </w:tr>
    </w:tbl>
    <w:p w14:paraId="0A30B03C">
      <w:pPr>
        <w:pStyle w:val="2"/>
      </w:pPr>
    </w:p>
    <w:p w14:paraId="14F802A8">
      <w:pPr>
        <w:sectPr>
          <w:footerReference r:id="rId132" w:type="default"/>
          <w:pgSz w:w="11910" w:h="16840"/>
          <w:pgMar w:top="1431" w:right="1484" w:bottom="1269" w:left="1445" w:header="0" w:footer="1089" w:gutter="0"/>
          <w:cols w:space="720" w:num="1"/>
        </w:sectPr>
      </w:pPr>
    </w:p>
    <w:p w14:paraId="61C58E6C">
      <w:pPr>
        <w:pStyle w:val="2"/>
        <w:spacing w:line="304" w:lineRule="auto"/>
      </w:pPr>
    </w:p>
    <w:p w14:paraId="6C50C48E">
      <w:pPr>
        <w:spacing w:before="101" w:line="219" w:lineRule="auto"/>
        <w:ind w:left="2099"/>
        <w:outlineLvl w:val="0"/>
        <w:rPr>
          <w:rFonts w:ascii="宋体" w:hAnsi="宋体" w:eastAsia="宋体" w:cs="宋体"/>
          <w:sz w:val="31"/>
          <w:szCs w:val="31"/>
        </w:rPr>
      </w:pPr>
      <w:bookmarkStart w:id="11" w:name="bookmark6"/>
      <w:bookmarkEnd w:id="11"/>
      <w:r>
        <w:rPr>
          <w:rFonts w:ascii="宋体" w:hAnsi="宋体" w:eastAsia="宋体" w:cs="宋体"/>
          <w:b/>
          <w:bCs/>
          <w:spacing w:val="-12"/>
          <w:sz w:val="31"/>
          <w:szCs w:val="31"/>
        </w:rPr>
        <w:t>六、生态环境保护措施监督检查清单</w:t>
      </w:r>
    </w:p>
    <w:p w14:paraId="6E5DD53F">
      <w:pPr>
        <w:spacing w:before="37"/>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3"/>
        <w:gridCol w:w="3027"/>
        <w:gridCol w:w="1248"/>
        <w:gridCol w:w="1958"/>
        <w:gridCol w:w="1613"/>
      </w:tblGrid>
      <w:tr w14:paraId="0A942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23" w:type="dxa"/>
            <w:vMerge w:val="restart"/>
            <w:tcBorders>
              <w:bottom w:val="nil"/>
            </w:tcBorders>
            <w:vAlign w:val="top"/>
          </w:tcPr>
          <w:p w14:paraId="045B8D97">
            <w:pPr>
              <w:pStyle w:val="6"/>
              <w:spacing w:before="102" w:line="261" w:lineRule="auto"/>
              <w:ind w:left="84" w:right="376" w:firstLine="300"/>
              <w:rPr>
                <w:sz w:val="22"/>
                <w:szCs w:val="22"/>
              </w:rPr>
            </w:pPr>
            <w:r>
              <w:rPr>
                <w:spacing w:val="5"/>
                <w:sz w:val="22"/>
                <w:szCs w:val="22"/>
              </w:rPr>
              <w:t>内容</w:t>
            </w:r>
            <w:r>
              <w:rPr>
                <w:sz w:val="22"/>
                <w:szCs w:val="22"/>
              </w:rPr>
              <w:t xml:space="preserve"> </w:t>
            </w:r>
            <w:r>
              <w:rPr>
                <w:spacing w:val="-3"/>
                <w:sz w:val="22"/>
                <w:szCs w:val="22"/>
              </w:rPr>
              <w:t>要素</w:t>
            </w:r>
          </w:p>
        </w:tc>
        <w:tc>
          <w:tcPr>
            <w:tcW w:w="4275" w:type="dxa"/>
            <w:gridSpan w:val="2"/>
            <w:vAlign w:val="top"/>
          </w:tcPr>
          <w:p w14:paraId="08BF6889">
            <w:pPr>
              <w:pStyle w:val="6"/>
              <w:spacing w:before="65" w:line="218" w:lineRule="auto"/>
              <w:ind w:left="1752"/>
              <w:rPr>
                <w:sz w:val="22"/>
                <w:szCs w:val="22"/>
              </w:rPr>
            </w:pPr>
            <w:r>
              <w:rPr>
                <w:spacing w:val="4"/>
                <w:sz w:val="22"/>
                <w:szCs w:val="22"/>
              </w:rPr>
              <w:t>施工期</w:t>
            </w:r>
          </w:p>
        </w:tc>
        <w:tc>
          <w:tcPr>
            <w:tcW w:w="3571" w:type="dxa"/>
            <w:gridSpan w:val="2"/>
            <w:vAlign w:val="top"/>
          </w:tcPr>
          <w:p w14:paraId="54AB8972">
            <w:pPr>
              <w:pStyle w:val="6"/>
              <w:spacing w:before="65" w:line="218" w:lineRule="auto"/>
              <w:ind w:left="1396"/>
              <w:rPr>
                <w:sz w:val="22"/>
                <w:szCs w:val="22"/>
              </w:rPr>
            </w:pPr>
            <w:r>
              <w:rPr>
                <w:spacing w:val="4"/>
                <w:sz w:val="22"/>
                <w:szCs w:val="22"/>
              </w:rPr>
              <w:t>运营期</w:t>
            </w:r>
          </w:p>
        </w:tc>
      </w:tr>
      <w:tr w14:paraId="05DC7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23" w:type="dxa"/>
            <w:vMerge w:val="continue"/>
            <w:tcBorders>
              <w:top w:val="nil"/>
            </w:tcBorders>
            <w:vAlign w:val="top"/>
          </w:tcPr>
          <w:p w14:paraId="4502B2F7">
            <w:pPr>
              <w:rPr>
                <w:rFonts w:ascii="Arial"/>
                <w:sz w:val="21"/>
              </w:rPr>
            </w:pPr>
          </w:p>
        </w:tc>
        <w:tc>
          <w:tcPr>
            <w:tcW w:w="3027" w:type="dxa"/>
            <w:vAlign w:val="top"/>
          </w:tcPr>
          <w:p w14:paraId="03BEFF63">
            <w:pPr>
              <w:pStyle w:val="6"/>
              <w:spacing w:before="89" w:line="220" w:lineRule="auto"/>
              <w:ind w:left="841"/>
              <w:rPr>
                <w:sz w:val="22"/>
                <w:szCs w:val="22"/>
              </w:rPr>
            </w:pPr>
            <w:r>
              <w:rPr>
                <w:spacing w:val="-2"/>
                <w:sz w:val="22"/>
                <w:szCs w:val="22"/>
              </w:rPr>
              <w:t>环境保护措施</w:t>
            </w:r>
          </w:p>
        </w:tc>
        <w:tc>
          <w:tcPr>
            <w:tcW w:w="1248" w:type="dxa"/>
            <w:vAlign w:val="top"/>
          </w:tcPr>
          <w:p w14:paraId="4689B5E2">
            <w:pPr>
              <w:pStyle w:val="6"/>
              <w:spacing w:before="89" w:line="219" w:lineRule="auto"/>
              <w:ind w:left="174"/>
              <w:rPr>
                <w:sz w:val="22"/>
                <w:szCs w:val="22"/>
              </w:rPr>
            </w:pPr>
            <w:r>
              <w:rPr>
                <w:spacing w:val="-2"/>
                <w:sz w:val="22"/>
                <w:szCs w:val="22"/>
              </w:rPr>
              <w:t>验收要求</w:t>
            </w:r>
          </w:p>
        </w:tc>
        <w:tc>
          <w:tcPr>
            <w:tcW w:w="1958" w:type="dxa"/>
            <w:vAlign w:val="top"/>
          </w:tcPr>
          <w:p w14:paraId="4DCE51D4">
            <w:pPr>
              <w:pStyle w:val="6"/>
              <w:spacing w:before="89" w:line="220" w:lineRule="auto"/>
              <w:ind w:left="316"/>
              <w:rPr>
                <w:sz w:val="22"/>
                <w:szCs w:val="22"/>
              </w:rPr>
            </w:pPr>
            <w:r>
              <w:rPr>
                <w:spacing w:val="-2"/>
                <w:sz w:val="22"/>
                <w:szCs w:val="22"/>
              </w:rPr>
              <w:t>环境保护措施</w:t>
            </w:r>
          </w:p>
        </w:tc>
        <w:tc>
          <w:tcPr>
            <w:tcW w:w="1613" w:type="dxa"/>
            <w:vAlign w:val="top"/>
          </w:tcPr>
          <w:p w14:paraId="6F83E30D">
            <w:pPr>
              <w:pStyle w:val="6"/>
              <w:spacing w:before="89" w:line="219" w:lineRule="auto"/>
              <w:ind w:left="358"/>
              <w:rPr>
                <w:sz w:val="22"/>
                <w:szCs w:val="22"/>
              </w:rPr>
            </w:pPr>
            <w:r>
              <w:rPr>
                <w:spacing w:val="-2"/>
                <w:sz w:val="22"/>
                <w:szCs w:val="22"/>
              </w:rPr>
              <w:t>验收要求</w:t>
            </w:r>
          </w:p>
        </w:tc>
      </w:tr>
      <w:tr w14:paraId="3EDF8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8" w:hRule="atLeast"/>
        </w:trPr>
        <w:tc>
          <w:tcPr>
            <w:tcW w:w="1223" w:type="dxa"/>
            <w:vAlign w:val="top"/>
          </w:tcPr>
          <w:p w14:paraId="575ED214">
            <w:pPr>
              <w:spacing w:line="293" w:lineRule="auto"/>
              <w:rPr>
                <w:rFonts w:ascii="Arial"/>
                <w:sz w:val="21"/>
              </w:rPr>
            </w:pPr>
          </w:p>
          <w:p w14:paraId="3E0AECD8">
            <w:pPr>
              <w:spacing w:line="293" w:lineRule="auto"/>
              <w:rPr>
                <w:rFonts w:ascii="Arial"/>
                <w:sz w:val="21"/>
              </w:rPr>
            </w:pPr>
          </w:p>
          <w:p w14:paraId="06ED32E6">
            <w:pPr>
              <w:spacing w:line="293" w:lineRule="auto"/>
              <w:rPr>
                <w:rFonts w:ascii="Arial"/>
                <w:sz w:val="21"/>
              </w:rPr>
            </w:pPr>
          </w:p>
          <w:p w14:paraId="61761174">
            <w:pPr>
              <w:spacing w:line="294" w:lineRule="auto"/>
              <w:rPr>
                <w:rFonts w:ascii="Arial"/>
                <w:sz w:val="21"/>
              </w:rPr>
            </w:pPr>
          </w:p>
          <w:p w14:paraId="3B89FAFA">
            <w:pPr>
              <w:pStyle w:val="6"/>
              <w:spacing w:before="72" w:line="222" w:lineRule="auto"/>
              <w:ind w:left="164"/>
              <w:rPr>
                <w:sz w:val="22"/>
                <w:szCs w:val="22"/>
              </w:rPr>
            </w:pPr>
            <w:r>
              <w:rPr>
                <w:spacing w:val="2"/>
                <w:sz w:val="22"/>
                <w:szCs w:val="22"/>
              </w:rPr>
              <w:t>陆生生态</w:t>
            </w:r>
          </w:p>
        </w:tc>
        <w:tc>
          <w:tcPr>
            <w:tcW w:w="3027" w:type="dxa"/>
            <w:vAlign w:val="top"/>
          </w:tcPr>
          <w:p w14:paraId="15650C3B">
            <w:pPr>
              <w:pStyle w:val="6"/>
              <w:spacing w:before="28" w:line="224" w:lineRule="auto"/>
              <w:ind w:left="71" w:right="71"/>
              <w:jc w:val="both"/>
              <w:rPr>
                <w:sz w:val="22"/>
                <w:szCs w:val="22"/>
              </w:rPr>
            </w:pPr>
            <w:r>
              <w:rPr>
                <w:sz w:val="22"/>
                <w:szCs w:val="22"/>
              </w:rPr>
              <w:t>陆生动植物保护，优化场区布</w:t>
            </w:r>
            <w:r>
              <w:rPr>
                <w:spacing w:val="10"/>
                <w:sz w:val="22"/>
                <w:szCs w:val="22"/>
              </w:rPr>
              <w:t xml:space="preserve"> </w:t>
            </w:r>
            <w:r>
              <w:rPr>
                <w:spacing w:val="-1"/>
                <w:sz w:val="22"/>
                <w:szCs w:val="22"/>
              </w:rPr>
              <w:t>置，不超计划占用植被；严格</w:t>
            </w:r>
            <w:r>
              <w:rPr>
                <w:spacing w:val="5"/>
                <w:sz w:val="22"/>
                <w:szCs w:val="22"/>
              </w:rPr>
              <w:t xml:space="preserve"> </w:t>
            </w:r>
            <w:r>
              <w:rPr>
                <w:spacing w:val="-1"/>
                <w:sz w:val="22"/>
                <w:szCs w:val="22"/>
              </w:rPr>
              <w:t>执行水土保持措施，进行植被</w:t>
            </w:r>
            <w:r>
              <w:rPr>
                <w:spacing w:val="3"/>
                <w:sz w:val="22"/>
                <w:szCs w:val="22"/>
              </w:rPr>
              <w:t xml:space="preserve"> </w:t>
            </w:r>
            <w:r>
              <w:rPr>
                <w:sz w:val="22"/>
                <w:szCs w:val="22"/>
              </w:rPr>
              <w:t>恢复；进行施工规划，尽量减</w:t>
            </w:r>
            <w:r>
              <w:rPr>
                <w:spacing w:val="10"/>
                <w:sz w:val="22"/>
                <w:szCs w:val="22"/>
              </w:rPr>
              <w:t xml:space="preserve"> </w:t>
            </w:r>
            <w:r>
              <w:rPr>
                <w:spacing w:val="1"/>
                <w:sz w:val="22"/>
                <w:szCs w:val="22"/>
              </w:rPr>
              <w:t>少占用，保护好周边植被，项</w:t>
            </w:r>
            <w:r>
              <w:rPr>
                <w:sz w:val="22"/>
                <w:szCs w:val="22"/>
              </w:rPr>
              <w:t xml:space="preserve"> 目光伏组件布设时避开长势较</w:t>
            </w:r>
            <w:r>
              <w:rPr>
                <w:spacing w:val="8"/>
                <w:sz w:val="22"/>
                <w:szCs w:val="22"/>
              </w:rPr>
              <w:t xml:space="preserve"> </w:t>
            </w:r>
            <w:r>
              <w:rPr>
                <w:spacing w:val="-1"/>
                <w:sz w:val="22"/>
                <w:szCs w:val="22"/>
              </w:rPr>
              <w:t>好的自然植被。在施工区周边</w:t>
            </w:r>
            <w:r>
              <w:rPr>
                <w:spacing w:val="3"/>
                <w:sz w:val="22"/>
                <w:szCs w:val="22"/>
              </w:rPr>
              <w:t xml:space="preserve"> </w:t>
            </w:r>
            <w:r>
              <w:rPr>
                <w:sz w:val="22"/>
                <w:szCs w:val="22"/>
              </w:rPr>
              <w:t>设置生态保护警示牌；加强施</w:t>
            </w:r>
            <w:r>
              <w:rPr>
                <w:spacing w:val="9"/>
                <w:sz w:val="22"/>
                <w:szCs w:val="22"/>
              </w:rPr>
              <w:t xml:space="preserve"> </w:t>
            </w:r>
            <w:r>
              <w:rPr>
                <w:sz w:val="22"/>
                <w:szCs w:val="22"/>
              </w:rPr>
              <w:t>工人员环保教育，严禁随意破</w:t>
            </w:r>
            <w:r>
              <w:rPr>
                <w:spacing w:val="8"/>
                <w:sz w:val="22"/>
                <w:szCs w:val="22"/>
              </w:rPr>
              <w:t xml:space="preserve"> </w:t>
            </w:r>
            <w:r>
              <w:rPr>
                <w:spacing w:val="5"/>
                <w:sz w:val="22"/>
                <w:szCs w:val="22"/>
              </w:rPr>
              <w:t>坏植被、植物。</w:t>
            </w:r>
          </w:p>
        </w:tc>
        <w:tc>
          <w:tcPr>
            <w:tcW w:w="1248" w:type="dxa"/>
            <w:vAlign w:val="top"/>
          </w:tcPr>
          <w:p w14:paraId="3DA779B7">
            <w:pPr>
              <w:spacing w:line="252" w:lineRule="auto"/>
              <w:rPr>
                <w:rFonts w:ascii="Arial"/>
                <w:sz w:val="21"/>
              </w:rPr>
            </w:pPr>
          </w:p>
          <w:p w14:paraId="2B6968E9">
            <w:pPr>
              <w:spacing w:line="253" w:lineRule="auto"/>
              <w:rPr>
                <w:rFonts w:ascii="Arial"/>
                <w:sz w:val="21"/>
              </w:rPr>
            </w:pPr>
          </w:p>
          <w:p w14:paraId="74FDE493">
            <w:pPr>
              <w:pStyle w:val="6"/>
              <w:spacing w:before="71" w:line="220" w:lineRule="auto"/>
              <w:ind w:left="174"/>
              <w:rPr>
                <w:sz w:val="22"/>
                <w:szCs w:val="22"/>
              </w:rPr>
            </w:pPr>
            <w:r>
              <w:rPr>
                <w:spacing w:val="-2"/>
                <w:sz w:val="22"/>
                <w:szCs w:val="22"/>
              </w:rPr>
              <w:t>施工期影</w:t>
            </w:r>
          </w:p>
          <w:p w14:paraId="6856CC62">
            <w:pPr>
              <w:pStyle w:val="6"/>
              <w:spacing w:before="7" w:line="219" w:lineRule="auto"/>
              <w:ind w:left="64"/>
              <w:rPr>
                <w:sz w:val="22"/>
                <w:szCs w:val="22"/>
              </w:rPr>
            </w:pPr>
            <w:r>
              <w:rPr>
                <w:spacing w:val="-2"/>
                <w:sz w:val="22"/>
                <w:szCs w:val="22"/>
              </w:rPr>
              <w:t>像资料、环</w:t>
            </w:r>
          </w:p>
          <w:p w14:paraId="42A9DC28">
            <w:pPr>
              <w:pStyle w:val="6"/>
              <w:spacing w:before="9" w:line="219" w:lineRule="auto"/>
              <w:ind w:left="174"/>
              <w:rPr>
                <w:sz w:val="22"/>
                <w:szCs w:val="22"/>
              </w:rPr>
            </w:pPr>
            <w:r>
              <w:rPr>
                <w:spacing w:val="-2"/>
                <w:sz w:val="22"/>
                <w:szCs w:val="22"/>
              </w:rPr>
              <w:t>境监理报</w:t>
            </w:r>
          </w:p>
          <w:p w14:paraId="6384D7D9">
            <w:pPr>
              <w:pStyle w:val="6"/>
              <w:spacing w:before="16" w:line="218" w:lineRule="auto"/>
              <w:ind w:left="64"/>
              <w:rPr>
                <w:sz w:val="22"/>
                <w:szCs w:val="22"/>
              </w:rPr>
            </w:pPr>
            <w:r>
              <w:rPr>
                <w:spacing w:val="2"/>
                <w:sz w:val="22"/>
                <w:szCs w:val="22"/>
              </w:rPr>
              <w:t>告；达到恢</w:t>
            </w:r>
          </w:p>
          <w:p w14:paraId="1BA7E372">
            <w:pPr>
              <w:pStyle w:val="6"/>
              <w:spacing w:before="12" w:line="229" w:lineRule="auto"/>
              <w:ind w:left="104" w:right="65" w:hanging="40"/>
              <w:rPr>
                <w:sz w:val="22"/>
                <w:szCs w:val="22"/>
              </w:rPr>
            </w:pPr>
            <w:r>
              <w:rPr>
                <w:spacing w:val="1"/>
                <w:sz w:val="22"/>
                <w:szCs w:val="22"/>
              </w:rPr>
              <w:t xml:space="preserve">复效果、保 </w:t>
            </w:r>
            <w:r>
              <w:rPr>
                <w:spacing w:val="-3"/>
                <w:sz w:val="22"/>
                <w:szCs w:val="22"/>
              </w:rPr>
              <w:t>护要求</w:t>
            </w:r>
          </w:p>
        </w:tc>
        <w:tc>
          <w:tcPr>
            <w:tcW w:w="1958" w:type="dxa"/>
            <w:vAlign w:val="top"/>
          </w:tcPr>
          <w:p w14:paraId="43229308">
            <w:pPr>
              <w:spacing w:line="258" w:lineRule="auto"/>
              <w:rPr>
                <w:rFonts w:ascii="Arial"/>
                <w:sz w:val="21"/>
              </w:rPr>
            </w:pPr>
          </w:p>
          <w:p w14:paraId="4BB1A3F7">
            <w:pPr>
              <w:spacing w:line="258" w:lineRule="auto"/>
              <w:rPr>
                <w:rFonts w:ascii="Arial"/>
                <w:sz w:val="21"/>
              </w:rPr>
            </w:pPr>
          </w:p>
          <w:p w14:paraId="38A80F57">
            <w:pPr>
              <w:spacing w:line="258" w:lineRule="auto"/>
              <w:rPr>
                <w:rFonts w:ascii="Arial"/>
                <w:sz w:val="21"/>
              </w:rPr>
            </w:pPr>
          </w:p>
          <w:p w14:paraId="324E003B">
            <w:pPr>
              <w:pStyle w:val="6"/>
              <w:spacing w:before="72" w:line="230" w:lineRule="auto"/>
              <w:ind w:left="86" w:right="97" w:firstLine="10"/>
              <w:jc w:val="both"/>
              <w:rPr>
                <w:sz w:val="22"/>
                <w:szCs w:val="22"/>
              </w:rPr>
            </w:pPr>
            <w:r>
              <w:rPr>
                <w:spacing w:val="-2"/>
                <w:sz w:val="22"/>
                <w:szCs w:val="22"/>
              </w:rPr>
              <w:t>加强临时用地区域</w:t>
            </w:r>
            <w:r>
              <w:rPr>
                <w:spacing w:val="6"/>
                <w:sz w:val="22"/>
                <w:szCs w:val="22"/>
              </w:rPr>
              <w:t xml:space="preserve"> </w:t>
            </w:r>
            <w:r>
              <w:rPr>
                <w:sz w:val="22"/>
                <w:szCs w:val="22"/>
              </w:rPr>
              <w:t>初期、中期的植被</w:t>
            </w:r>
            <w:r>
              <w:rPr>
                <w:spacing w:val="1"/>
                <w:sz w:val="22"/>
                <w:szCs w:val="22"/>
              </w:rPr>
              <w:t xml:space="preserve"> </w:t>
            </w:r>
            <w:r>
              <w:rPr>
                <w:sz w:val="22"/>
                <w:szCs w:val="22"/>
              </w:rPr>
              <w:t>抚育工作，保障植</w:t>
            </w:r>
            <w:r>
              <w:rPr>
                <w:spacing w:val="2"/>
                <w:sz w:val="22"/>
                <w:szCs w:val="22"/>
              </w:rPr>
              <w:t xml:space="preserve"> </w:t>
            </w:r>
            <w:r>
              <w:rPr>
                <w:spacing w:val="-2"/>
                <w:sz w:val="22"/>
                <w:szCs w:val="22"/>
              </w:rPr>
              <w:t>被的恢复存活</w:t>
            </w:r>
          </w:p>
        </w:tc>
        <w:tc>
          <w:tcPr>
            <w:tcW w:w="1613" w:type="dxa"/>
            <w:vAlign w:val="top"/>
          </w:tcPr>
          <w:p w14:paraId="3BF40192">
            <w:pPr>
              <w:spacing w:line="303" w:lineRule="auto"/>
              <w:rPr>
                <w:rFonts w:ascii="Arial"/>
                <w:sz w:val="21"/>
              </w:rPr>
            </w:pPr>
          </w:p>
          <w:p w14:paraId="32B89815">
            <w:pPr>
              <w:spacing w:line="304" w:lineRule="auto"/>
              <w:rPr>
                <w:rFonts w:ascii="Arial"/>
                <w:sz w:val="21"/>
              </w:rPr>
            </w:pPr>
          </w:p>
          <w:p w14:paraId="4AB58981">
            <w:pPr>
              <w:spacing w:line="304" w:lineRule="auto"/>
              <w:rPr>
                <w:rFonts w:ascii="Arial"/>
                <w:sz w:val="21"/>
              </w:rPr>
            </w:pPr>
          </w:p>
          <w:p w14:paraId="52B9E578">
            <w:pPr>
              <w:pStyle w:val="6"/>
              <w:spacing w:before="72" w:line="243" w:lineRule="auto"/>
              <w:ind w:left="98" w:right="128" w:firstLine="40"/>
              <w:jc w:val="both"/>
              <w:rPr>
                <w:sz w:val="22"/>
                <w:szCs w:val="22"/>
              </w:rPr>
            </w:pPr>
            <w:r>
              <w:rPr>
                <w:spacing w:val="-2"/>
                <w:sz w:val="22"/>
                <w:szCs w:val="22"/>
              </w:rPr>
              <w:t>光伏阵列区植</w:t>
            </w:r>
            <w:r>
              <w:rPr>
                <w:sz w:val="22"/>
                <w:szCs w:val="22"/>
              </w:rPr>
              <w:t xml:space="preserve"> </w:t>
            </w:r>
            <w:r>
              <w:rPr>
                <w:spacing w:val="9"/>
                <w:sz w:val="22"/>
                <w:szCs w:val="22"/>
              </w:rPr>
              <w:t>被恢复率达到</w:t>
            </w:r>
            <w:r>
              <w:rPr>
                <w:sz w:val="22"/>
                <w:szCs w:val="22"/>
              </w:rPr>
              <w:t xml:space="preserve"> </w:t>
            </w:r>
            <w:r>
              <w:rPr>
                <w:spacing w:val="-7"/>
                <w:sz w:val="22"/>
                <w:szCs w:val="22"/>
              </w:rPr>
              <w:t>80%。</w:t>
            </w:r>
          </w:p>
        </w:tc>
      </w:tr>
      <w:tr w14:paraId="68E7E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1223" w:type="dxa"/>
            <w:vAlign w:val="top"/>
          </w:tcPr>
          <w:p w14:paraId="06720848">
            <w:pPr>
              <w:pStyle w:val="6"/>
              <w:spacing w:before="251" w:line="219" w:lineRule="auto"/>
              <w:ind w:left="164"/>
              <w:rPr>
                <w:sz w:val="22"/>
                <w:szCs w:val="22"/>
              </w:rPr>
            </w:pPr>
            <w:r>
              <w:rPr>
                <w:spacing w:val="2"/>
                <w:sz w:val="22"/>
                <w:szCs w:val="22"/>
              </w:rPr>
              <w:t>水生生态</w:t>
            </w:r>
          </w:p>
        </w:tc>
        <w:tc>
          <w:tcPr>
            <w:tcW w:w="3027" w:type="dxa"/>
            <w:vAlign w:val="top"/>
          </w:tcPr>
          <w:p w14:paraId="03C11B12">
            <w:pPr>
              <w:pStyle w:val="6"/>
              <w:spacing w:before="273" w:line="241" w:lineRule="auto"/>
              <w:ind w:left="1451"/>
              <w:rPr>
                <w:sz w:val="22"/>
                <w:szCs w:val="22"/>
              </w:rPr>
            </w:pPr>
            <w:r>
              <w:rPr>
                <w:sz w:val="22"/>
                <w:szCs w:val="22"/>
              </w:rPr>
              <w:t>1</w:t>
            </w:r>
          </w:p>
        </w:tc>
        <w:tc>
          <w:tcPr>
            <w:tcW w:w="1248" w:type="dxa"/>
            <w:vAlign w:val="top"/>
          </w:tcPr>
          <w:p w14:paraId="0ED27A05">
            <w:pPr>
              <w:pStyle w:val="6"/>
              <w:spacing w:before="257" w:line="224" w:lineRule="auto"/>
              <w:ind w:left="564"/>
              <w:rPr>
                <w:sz w:val="22"/>
                <w:szCs w:val="22"/>
              </w:rPr>
            </w:pPr>
            <w:r>
              <w:rPr>
                <w:sz w:val="22"/>
                <w:szCs w:val="22"/>
              </w:rPr>
              <w:t>/</w:t>
            </w:r>
          </w:p>
        </w:tc>
        <w:tc>
          <w:tcPr>
            <w:tcW w:w="1958" w:type="dxa"/>
            <w:vAlign w:val="top"/>
          </w:tcPr>
          <w:p w14:paraId="06A16D96">
            <w:pPr>
              <w:pStyle w:val="6"/>
              <w:spacing w:before="257" w:line="224" w:lineRule="auto"/>
              <w:ind w:left="916"/>
              <w:rPr>
                <w:sz w:val="22"/>
                <w:szCs w:val="22"/>
              </w:rPr>
            </w:pPr>
            <w:r>
              <w:rPr>
                <w:sz w:val="22"/>
                <w:szCs w:val="22"/>
              </w:rPr>
              <w:t>/</w:t>
            </w:r>
          </w:p>
        </w:tc>
        <w:tc>
          <w:tcPr>
            <w:tcW w:w="1613" w:type="dxa"/>
            <w:vAlign w:val="top"/>
          </w:tcPr>
          <w:p w14:paraId="6EB6EAB0">
            <w:pPr>
              <w:pStyle w:val="6"/>
              <w:spacing w:before="257" w:line="224" w:lineRule="auto"/>
              <w:ind w:left="748"/>
              <w:rPr>
                <w:sz w:val="22"/>
                <w:szCs w:val="22"/>
              </w:rPr>
            </w:pPr>
            <w:r>
              <w:rPr>
                <w:sz w:val="22"/>
                <w:szCs w:val="22"/>
              </w:rPr>
              <w:t>/</w:t>
            </w:r>
          </w:p>
        </w:tc>
      </w:tr>
      <w:tr w14:paraId="2EA3A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7" w:hRule="atLeast"/>
        </w:trPr>
        <w:tc>
          <w:tcPr>
            <w:tcW w:w="1223" w:type="dxa"/>
            <w:vAlign w:val="top"/>
          </w:tcPr>
          <w:p w14:paraId="05AEF445">
            <w:pPr>
              <w:spacing w:line="259" w:lineRule="auto"/>
              <w:rPr>
                <w:rFonts w:ascii="Arial"/>
                <w:sz w:val="21"/>
              </w:rPr>
            </w:pPr>
          </w:p>
          <w:p w14:paraId="7D19C123">
            <w:pPr>
              <w:spacing w:line="260" w:lineRule="auto"/>
              <w:rPr>
                <w:rFonts w:ascii="Arial"/>
                <w:sz w:val="21"/>
              </w:rPr>
            </w:pPr>
          </w:p>
          <w:p w14:paraId="0FC13D34">
            <w:pPr>
              <w:spacing w:line="260" w:lineRule="auto"/>
              <w:rPr>
                <w:rFonts w:ascii="Arial"/>
                <w:sz w:val="21"/>
              </w:rPr>
            </w:pPr>
          </w:p>
          <w:p w14:paraId="7CD65A0E">
            <w:pPr>
              <w:spacing w:line="260" w:lineRule="auto"/>
              <w:rPr>
                <w:rFonts w:ascii="Arial"/>
                <w:sz w:val="21"/>
              </w:rPr>
            </w:pPr>
          </w:p>
          <w:p w14:paraId="39765A43">
            <w:pPr>
              <w:spacing w:line="260" w:lineRule="auto"/>
              <w:rPr>
                <w:rFonts w:ascii="Arial"/>
                <w:sz w:val="21"/>
              </w:rPr>
            </w:pPr>
          </w:p>
          <w:p w14:paraId="0BF1FCB9">
            <w:pPr>
              <w:spacing w:line="260" w:lineRule="auto"/>
              <w:rPr>
                <w:rFonts w:ascii="Arial"/>
                <w:sz w:val="21"/>
              </w:rPr>
            </w:pPr>
          </w:p>
          <w:p w14:paraId="59702AA4">
            <w:pPr>
              <w:spacing w:line="260" w:lineRule="auto"/>
              <w:rPr>
                <w:rFonts w:ascii="Arial"/>
                <w:sz w:val="21"/>
              </w:rPr>
            </w:pPr>
          </w:p>
          <w:p w14:paraId="367A41A1">
            <w:pPr>
              <w:pStyle w:val="6"/>
              <w:spacing w:before="71" w:line="219" w:lineRule="auto"/>
              <w:ind w:left="164"/>
              <w:rPr>
                <w:sz w:val="22"/>
                <w:szCs w:val="22"/>
              </w:rPr>
            </w:pPr>
            <w:r>
              <w:rPr>
                <w:spacing w:val="-2"/>
                <w:sz w:val="22"/>
                <w:szCs w:val="22"/>
              </w:rPr>
              <w:t>地表水环</w:t>
            </w:r>
          </w:p>
          <w:p w14:paraId="2B558ABD">
            <w:pPr>
              <w:pStyle w:val="6"/>
              <w:spacing w:before="29" w:line="220" w:lineRule="auto"/>
              <w:ind w:left="494"/>
              <w:rPr>
                <w:sz w:val="22"/>
                <w:szCs w:val="22"/>
              </w:rPr>
            </w:pPr>
            <w:r>
              <w:rPr>
                <w:sz w:val="22"/>
                <w:szCs w:val="22"/>
              </w:rPr>
              <w:t>境</w:t>
            </w:r>
          </w:p>
        </w:tc>
        <w:tc>
          <w:tcPr>
            <w:tcW w:w="3027" w:type="dxa"/>
            <w:vAlign w:val="top"/>
          </w:tcPr>
          <w:p w14:paraId="64EDC9B1">
            <w:pPr>
              <w:pStyle w:val="6"/>
              <w:spacing w:before="302" w:line="227" w:lineRule="auto"/>
              <w:ind w:left="71" w:right="24" w:firstLine="60"/>
              <w:jc w:val="both"/>
              <w:rPr>
                <w:sz w:val="22"/>
                <w:szCs w:val="22"/>
              </w:rPr>
            </w:pPr>
            <w:r>
              <w:rPr>
                <w:sz w:val="22"/>
                <w:szCs w:val="22"/>
              </w:rPr>
              <w:t>施工区域内设置临时化粪池， 化粪池定期委托周边村民清掏</w:t>
            </w:r>
            <w:r>
              <w:rPr>
                <w:spacing w:val="11"/>
                <w:sz w:val="22"/>
                <w:szCs w:val="22"/>
              </w:rPr>
              <w:t xml:space="preserve"> </w:t>
            </w:r>
            <w:r>
              <w:rPr>
                <w:spacing w:val="1"/>
                <w:sz w:val="22"/>
                <w:szCs w:val="22"/>
              </w:rPr>
              <w:t>作为农家肥使用，施工结束后</w:t>
            </w:r>
            <w:r>
              <w:rPr>
                <w:spacing w:val="2"/>
                <w:sz w:val="22"/>
                <w:szCs w:val="22"/>
              </w:rPr>
              <w:t xml:space="preserve"> </w:t>
            </w:r>
            <w:r>
              <w:rPr>
                <w:spacing w:val="-1"/>
                <w:sz w:val="22"/>
                <w:szCs w:val="22"/>
              </w:rPr>
              <w:t>化粪池应予以拆除并无害化处</w:t>
            </w:r>
            <w:r>
              <w:rPr>
                <w:spacing w:val="2"/>
                <w:sz w:val="22"/>
                <w:szCs w:val="22"/>
              </w:rPr>
              <w:t xml:space="preserve"> </w:t>
            </w:r>
            <w:r>
              <w:rPr>
                <w:sz w:val="22"/>
                <w:szCs w:val="22"/>
              </w:rPr>
              <w:t>理。施工期人员清洗废水进入</w:t>
            </w:r>
            <w:r>
              <w:rPr>
                <w:spacing w:val="8"/>
                <w:sz w:val="22"/>
                <w:szCs w:val="22"/>
              </w:rPr>
              <w:t xml:space="preserve"> </w:t>
            </w:r>
            <w:r>
              <w:rPr>
                <w:spacing w:val="-1"/>
                <w:sz w:val="22"/>
                <w:szCs w:val="22"/>
              </w:rPr>
              <w:t>沉淀池沉淀后，用作场地洒水</w:t>
            </w:r>
            <w:r>
              <w:rPr>
                <w:spacing w:val="3"/>
                <w:sz w:val="22"/>
                <w:szCs w:val="22"/>
              </w:rPr>
              <w:t xml:space="preserve"> </w:t>
            </w:r>
            <w:r>
              <w:rPr>
                <w:sz w:val="22"/>
                <w:szCs w:val="22"/>
              </w:rPr>
              <w:t>降尘。各类废水禁止向周边地</w:t>
            </w:r>
            <w:r>
              <w:rPr>
                <w:spacing w:val="7"/>
                <w:sz w:val="22"/>
                <w:szCs w:val="22"/>
              </w:rPr>
              <w:t xml:space="preserve"> </w:t>
            </w:r>
            <w:r>
              <w:rPr>
                <w:spacing w:val="2"/>
                <w:sz w:val="22"/>
                <w:szCs w:val="22"/>
              </w:rPr>
              <w:t xml:space="preserve">表水体直接排放。施工期人员 </w:t>
            </w:r>
            <w:r>
              <w:rPr>
                <w:spacing w:val="4"/>
                <w:sz w:val="22"/>
                <w:szCs w:val="22"/>
              </w:rPr>
              <w:t>清洗废水进入沉淀池沉淀后，</w:t>
            </w:r>
            <w:r>
              <w:rPr>
                <w:spacing w:val="6"/>
                <w:sz w:val="22"/>
                <w:szCs w:val="22"/>
              </w:rPr>
              <w:t xml:space="preserve"> </w:t>
            </w:r>
            <w:r>
              <w:rPr>
                <w:spacing w:val="1"/>
                <w:sz w:val="22"/>
                <w:szCs w:val="22"/>
              </w:rPr>
              <w:t>用作场地洒水降尘。施工生产</w:t>
            </w:r>
            <w:r>
              <w:rPr>
                <w:sz w:val="22"/>
                <w:szCs w:val="22"/>
              </w:rPr>
              <w:t xml:space="preserve"> </w:t>
            </w:r>
            <w:r>
              <w:rPr>
                <w:spacing w:val="5"/>
                <w:sz w:val="22"/>
                <w:szCs w:val="22"/>
              </w:rPr>
              <w:t>区各设置1个沉淀池(容积</w:t>
            </w:r>
          </w:p>
          <w:p w14:paraId="61BD9698">
            <w:pPr>
              <w:pStyle w:val="6"/>
              <w:spacing w:before="1" w:line="233" w:lineRule="auto"/>
              <w:ind w:left="111" w:right="25" w:firstLine="20"/>
              <w:rPr>
                <w:sz w:val="22"/>
                <w:szCs w:val="22"/>
              </w:rPr>
            </w:pPr>
            <w:r>
              <w:rPr>
                <w:spacing w:val="7"/>
                <w:sz w:val="22"/>
                <w:szCs w:val="22"/>
              </w:rPr>
              <w:t>5m³),施工废水收集沉淀后，</w:t>
            </w:r>
            <w:r>
              <w:rPr>
                <w:spacing w:val="3"/>
                <w:sz w:val="22"/>
                <w:szCs w:val="22"/>
              </w:rPr>
              <w:t xml:space="preserve"> </w:t>
            </w:r>
            <w:r>
              <w:rPr>
                <w:spacing w:val="6"/>
                <w:sz w:val="22"/>
                <w:szCs w:val="22"/>
              </w:rPr>
              <w:t>回用于场地洒水降尘以及车</w:t>
            </w:r>
            <w:r>
              <w:rPr>
                <w:spacing w:val="3"/>
                <w:sz w:val="22"/>
                <w:szCs w:val="22"/>
              </w:rPr>
              <w:t xml:space="preserve">  </w:t>
            </w:r>
            <w:r>
              <w:rPr>
                <w:sz w:val="22"/>
                <w:szCs w:val="22"/>
              </w:rPr>
              <w:t>辆、设备清洗，不外排。</w:t>
            </w:r>
          </w:p>
        </w:tc>
        <w:tc>
          <w:tcPr>
            <w:tcW w:w="1248" w:type="dxa"/>
            <w:vAlign w:val="top"/>
          </w:tcPr>
          <w:p w14:paraId="5602A518">
            <w:pPr>
              <w:spacing w:line="241" w:lineRule="auto"/>
              <w:rPr>
                <w:rFonts w:ascii="Arial"/>
                <w:sz w:val="21"/>
              </w:rPr>
            </w:pPr>
          </w:p>
          <w:p w14:paraId="2C24A6FC">
            <w:pPr>
              <w:spacing w:line="241" w:lineRule="auto"/>
              <w:rPr>
                <w:rFonts w:ascii="Arial"/>
                <w:sz w:val="21"/>
              </w:rPr>
            </w:pPr>
          </w:p>
          <w:p w14:paraId="232A6EB4">
            <w:pPr>
              <w:spacing w:line="242" w:lineRule="auto"/>
              <w:rPr>
                <w:rFonts w:ascii="Arial"/>
                <w:sz w:val="21"/>
              </w:rPr>
            </w:pPr>
          </w:p>
          <w:p w14:paraId="7C0A5766">
            <w:pPr>
              <w:spacing w:line="242" w:lineRule="auto"/>
              <w:rPr>
                <w:rFonts w:ascii="Arial"/>
                <w:sz w:val="21"/>
              </w:rPr>
            </w:pPr>
          </w:p>
          <w:p w14:paraId="690263A3">
            <w:pPr>
              <w:spacing w:line="242" w:lineRule="auto"/>
              <w:rPr>
                <w:rFonts w:ascii="Arial"/>
                <w:sz w:val="21"/>
              </w:rPr>
            </w:pPr>
          </w:p>
          <w:p w14:paraId="1097B486">
            <w:pPr>
              <w:spacing w:line="242" w:lineRule="auto"/>
              <w:rPr>
                <w:rFonts w:ascii="Arial"/>
                <w:sz w:val="21"/>
              </w:rPr>
            </w:pPr>
          </w:p>
          <w:p w14:paraId="2FDEB238">
            <w:pPr>
              <w:pStyle w:val="6"/>
              <w:spacing w:before="71" w:line="227" w:lineRule="auto"/>
              <w:ind w:left="64" w:right="64" w:firstLine="109"/>
              <w:rPr>
                <w:sz w:val="22"/>
                <w:szCs w:val="22"/>
              </w:rPr>
            </w:pPr>
            <w:r>
              <w:rPr>
                <w:spacing w:val="2"/>
                <w:sz w:val="22"/>
                <w:szCs w:val="22"/>
              </w:rPr>
              <w:t>生产废水</w:t>
            </w:r>
            <w:r>
              <w:rPr>
                <w:sz w:val="22"/>
                <w:szCs w:val="22"/>
              </w:rPr>
              <w:t xml:space="preserve">  </w:t>
            </w:r>
            <w:r>
              <w:rPr>
                <w:spacing w:val="1"/>
                <w:sz w:val="22"/>
                <w:szCs w:val="22"/>
              </w:rPr>
              <w:t>回用，生活</w:t>
            </w:r>
          </w:p>
          <w:p w14:paraId="1BCDBB60">
            <w:pPr>
              <w:pStyle w:val="6"/>
              <w:spacing w:before="1" w:line="228" w:lineRule="auto"/>
              <w:ind w:left="64" w:right="62" w:firstLine="109"/>
              <w:rPr>
                <w:sz w:val="22"/>
                <w:szCs w:val="22"/>
              </w:rPr>
            </w:pPr>
            <w:r>
              <w:rPr>
                <w:spacing w:val="2"/>
                <w:sz w:val="22"/>
                <w:szCs w:val="22"/>
              </w:rPr>
              <w:t>污水洒水</w:t>
            </w:r>
            <w:r>
              <w:rPr>
                <w:sz w:val="22"/>
                <w:szCs w:val="22"/>
              </w:rPr>
              <w:t xml:space="preserve">  </w:t>
            </w:r>
            <w:r>
              <w:rPr>
                <w:spacing w:val="2"/>
                <w:sz w:val="22"/>
                <w:szCs w:val="22"/>
              </w:rPr>
              <w:t>降尘，废水</w:t>
            </w:r>
            <w:r>
              <w:rPr>
                <w:sz w:val="22"/>
                <w:szCs w:val="22"/>
              </w:rPr>
              <w:t xml:space="preserve"> </w:t>
            </w:r>
            <w:r>
              <w:rPr>
                <w:spacing w:val="7"/>
                <w:sz w:val="22"/>
                <w:szCs w:val="22"/>
              </w:rPr>
              <w:t>不外排。</w:t>
            </w:r>
          </w:p>
        </w:tc>
        <w:tc>
          <w:tcPr>
            <w:tcW w:w="1958" w:type="dxa"/>
            <w:vAlign w:val="top"/>
          </w:tcPr>
          <w:p w14:paraId="7862C4C9">
            <w:pPr>
              <w:pStyle w:val="6"/>
              <w:spacing w:before="30" w:line="228" w:lineRule="auto"/>
              <w:ind w:left="36" w:firstLine="57"/>
              <w:jc w:val="right"/>
              <w:rPr>
                <w:sz w:val="22"/>
                <w:szCs w:val="22"/>
              </w:rPr>
            </w:pPr>
            <w:r>
              <w:rPr>
                <w:spacing w:val="-7"/>
                <w:sz w:val="22"/>
                <w:szCs w:val="22"/>
              </w:rPr>
              <w:t>光伏电池板清洗废</w:t>
            </w:r>
            <w:r>
              <w:rPr>
                <w:spacing w:val="2"/>
                <w:sz w:val="22"/>
                <w:szCs w:val="22"/>
              </w:rPr>
              <w:t xml:space="preserve">  </w:t>
            </w:r>
            <w:r>
              <w:rPr>
                <w:sz w:val="22"/>
                <w:szCs w:val="22"/>
              </w:rPr>
              <w:t>水直接顺着流在光</w:t>
            </w:r>
            <w:r>
              <w:rPr>
                <w:spacing w:val="2"/>
                <w:sz w:val="22"/>
                <w:szCs w:val="22"/>
              </w:rPr>
              <w:t xml:space="preserve">  </w:t>
            </w:r>
            <w:r>
              <w:rPr>
                <w:spacing w:val="-2"/>
                <w:sz w:val="22"/>
                <w:szCs w:val="22"/>
              </w:rPr>
              <w:t>伏板下面的农作物</w:t>
            </w:r>
            <w:r>
              <w:rPr>
                <w:spacing w:val="1"/>
                <w:sz w:val="22"/>
                <w:szCs w:val="22"/>
              </w:rPr>
              <w:t xml:space="preserve">  上，作为农作物灌</w:t>
            </w:r>
            <w:r>
              <w:rPr>
                <w:sz w:val="22"/>
                <w:szCs w:val="22"/>
              </w:rPr>
              <w:t xml:space="preserve">  </w:t>
            </w:r>
            <w:r>
              <w:rPr>
                <w:spacing w:val="-8"/>
                <w:sz w:val="22"/>
                <w:szCs w:val="22"/>
              </w:rPr>
              <w:t>溉补充水，不外排，</w:t>
            </w:r>
            <w:r>
              <w:rPr>
                <w:spacing w:val="2"/>
                <w:sz w:val="22"/>
                <w:szCs w:val="22"/>
              </w:rPr>
              <w:t xml:space="preserve"> </w:t>
            </w:r>
            <w:r>
              <w:rPr>
                <w:spacing w:val="1"/>
                <w:sz w:val="22"/>
                <w:szCs w:val="22"/>
              </w:rPr>
              <w:t>清洗时间选择在农</w:t>
            </w:r>
            <w:r>
              <w:rPr>
                <w:sz w:val="22"/>
                <w:szCs w:val="22"/>
              </w:rPr>
              <w:t xml:space="preserve">  </w:t>
            </w:r>
            <w:r>
              <w:rPr>
                <w:spacing w:val="-2"/>
                <w:sz w:val="22"/>
                <w:szCs w:val="22"/>
              </w:rPr>
              <w:t>作物可浇灌期间进</w:t>
            </w:r>
            <w:r>
              <w:rPr>
                <w:spacing w:val="1"/>
                <w:sz w:val="22"/>
                <w:szCs w:val="22"/>
              </w:rPr>
              <w:t xml:space="preserve">  </w:t>
            </w:r>
            <w:r>
              <w:rPr>
                <w:sz w:val="22"/>
                <w:szCs w:val="22"/>
              </w:rPr>
              <w:t>行；升压站食堂废</w:t>
            </w:r>
            <w:r>
              <w:rPr>
                <w:spacing w:val="3"/>
                <w:sz w:val="22"/>
                <w:szCs w:val="22"/>
              </w:rPr>
              <w:t xml:space="preserve">  </w:t>
            </w:r>
            <w:r>
              <w:rPr>
                <w:spacing w:val="-2"/>
                <w:sz w:val="22"/>
                <w:szCs w:val="22"/>
              </w:rPr>
              <w:t>水经隔油池预处理</w:t>
            </w:r>
            <w:r>
              <w:rPr>
                <w:sz w:val="22"/>
                <w:szCs w:val="22"/>
              </w:rPr>
              <w:t xml:space="preserve">  后与其它生活污水</w:t>
            </w:r>
            <w:r>
              <w:rPr>
                <w:spacing w:val="2"/>
                <w:sz w:val="22"/>
                <w:szCs w:val="22"/>
              </w:rPr>
              <w:t xml:space="preserve">  </w:t>
            </w:r>
            <w:r>
              <w:rPr>
                <w:spacing w:val="10"/>
                <w:sz w:val="22"/>
                <w:szCs w:val="22"/>
              </w:rPr>
              <w:t>一并排入化粪池，</w:t>
            </w:r>
            <w:r>
              <w:rPr>
                <w:spacing w:val="5"/>
                <w:sz w:val="22"/>
                <w:szCs w:val="22"/>
              </w:rPr>
              <w:t xml:space="preserve"> </w:t>
            </w:r>
            <w:r>
              <w:rPr>
                <w:spacing w:val="-2"/>
                <w:sz w:val="22"/>
                <w:szCs w:val="22"/>
              </w:rPr>
              <w:t>经化粪池处理后进</w:t>
            </w:r>
            <w:r>
              <w:rPr>
                <w:sz w:val="22"/>
                <w:szCs w:val="22"/>
              </w:rPr>
              <w:t xml:space="preserve">  </w:t>
            </w:r>
            <w:r>
              <w:rPr>
                <w:spacing w:val="-8"/>
                <w:sz w:val="22"/>
                <w:szCs w:val="22"/>
              </w:rPr>
              <w:t>入一体化污水处理</w:t>
            </w:r>
          </w:p>
          <w:p w14:paraId="4A05D01B">
            <w:pPr>
              <w:pStyle w:val="6"/>
              <w:spacing w:before="3" w:line="210" w:lineRule="auto"/>
              <w:ind w:left="96" w:right="41"/>
              <w:jc w:val="both"/>
              <w:rPr>
                <w:sz w:val="22"/>
                <w:szCs w:val="22"/>
              </w:rPr>
            </w:pPr>
            <w:r>
              <w:rPr>
                <w:spacing w:val="1"/>
                <w:sz w:val="22"/>
                <w:szCs w:val="22"/>
              </w:rPr>
              <w:t>厂，处理后回用于</w:t>
            </w:r>
            <w:r>
              <w:rPr>
                <w:spacing w:val="3"/>
                <w:sz w:val="22"/>
                <w:szCs w:val="22"/>
              </w:rPr>
              <w:t xml:space="preserve"> </w:t>
            </w:r>
            <w:r>
              <w:rPr>
                <w:spacing w:val="6"/>
                <w:sz w:val="22"/>
                <w:szCs w:val="22"/>
              </w:rPr>
              <w:t>升压站站区绿化，</w:t>
            </w:r>
            <w:r>
              <w:rPr>
                <w:sz w:val="22"/>
                <w:szCs w:val="22"/>
              </w:rPr>
              <w:t xml:space="preserve"> </w:t>
            </w:r>
            <w:r>
              <w:rPr>
                <w:spacing w:val="-1"/>
                <w:sz w:val="22"/>
                <w:szCs w:val="22"/>
              </w:rPr>
              <w:t>不外排。</w:t>
            </w:r>
          </w:p>
        </w:tc>
        <w:tc>
          <w:tcPr>
            <w:tcW w:w="1613" w:type="dxa"/>
            <w:vAlign w:val="top"/>
          </w:tcPr>
          <w:p w14:paraId="2286E072">
            <w:pPr>
              <w:spacing w:line="247" w:lineRule="auto"/>
              <w:rPr>
                <w:rFonts w:ascii="Arial"/>
                <w:sz w:val="21"/>
              </w:rPr>
            </w:pPr>
          </w:p>
          <w:p w14:paraId="757EF2AD">
            <w:pPr>
              <w:spacing w:line="247" w:lineRule="auto"/>
              <w:rPr>
                <w:rFonts w:ascii="Arial"/>
                <w:sz w:val="21"/>
              </w:rPr>
            </w:pPr>
          </w:p>
          <w:p w14:paraId="124FB3DD">
            <w:pPr>
              <w:spacing w:line="247" w:lineRule="auto"/>
              <w:rPr>
                <w:rFonts w:ascii="Arial"/>
                <w:sz w:val="21"/>
              </w:rPr>
            </w:pPr>
          </w:p>
          <w:p w14:paraId="5CFBA8A4">
            <w:pPr>
              <w:spacing w:line="247" w:lineRule="auto"/>
              <w:rPr>
                <w:rFonts w:ascii="Arial"/>
                <w:sz w:val="21"/>
              </w:rPr>
            </w:pPr>
          </w:p>
          <w:p w14:paraId="383C92A7">
            <w:pPr>
              <w:spacing w:line="247" w:lineRule="auto"/>
              <w:rPr>
                <w:rFonts w:ascii="Arial"/>
                <w:sz w:val="21"/>
              </w:rPr>
            </w:pPr>
          </w:p>
          <w:p w14:paraId="79D3D5C8">
            <w:pPr>
              <w:spacing w:line="247" w:lineRule="auto"/>
              <w:rPr>
                <w:rFonts w:ascii="Arial"/>
                <w:sz w:val="21"/>
              </w:rPr>
            </w:pPr>
          </w:p>
          <w:p w14:paraId="7192252F">
            <w:pPr>
              <w:spacing w:line="248" w:lineRule="auto"/>
              <w:rPr>
                <w:rFonts w:ascii="Arial"/>
                <w:sz w:val="21"/>
              </w:rPr>
            </w:pPr>
          </w:p>
          <w:p w14:paraId="3673B542">
            <w:pPr>
              <w:spacing w:line="248" w:lineRule="auto"/>
              <w:rPr>
                <w:rFonts w:ascii="Arial"/>
                <w:sz w:val="21"/>
              </w:rPr>
            </w:pPr>
          </w:p>
          <w:p w14:paraId="45069872">
            <w:pPr>
              <w:pStyle w:val="6"/>
              <w:spacing w:before="71" w:line="219" w:lineRule="auto"/>
              <w:ind w:left="248"/>
              <w:rPr>
                <w:sz w:val="22"/>
                <w:szCs w:val="22"/>
              </w:rPr>
            </w:pPr>
            <w:r>
              <w:rPr>
                <w:spacing w:val="-2"/>
                <w:sz w:val="22"/>
                <w:szCs w:val="22"/>
              </w:rPr>
              <w:t>废水不外排</w:t>
            </w:r>
          </w:p>
        </w:tc>
      </w:tr>
      <w:tr w14:paraId="57A66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1223" w:type="dxa"/>
            <w:vAlign w:val="top"/>
          </w:tcPr>
          <w:p w14:paraId="69E007B8">
            <w:pPr>
              <w:spacing w:line="310" w:lineRule="auto"/>
              <w:rPr>
                <w:rFonts w:ascii="Arial"/>
                <w:sz w:val="21"/>
              </w:rPr>
            </w:pPr>
          </w:p>
          <w:p w14:paraId="680FE813">
            <w:pPr>
              <w:spacing w:line="310" w:lineRule="auto"/>
              <w:rPr>
                <w:rFonts w:ascii="Arial"/>
                <w:sz w:val="21"/>
              </w:rPr>
            </w:pPr>
          </w:p>
          <w:p w14:paraId="0CB9BD40">
            <w:pPr>
              <w:pStyle w:val="6"/>
              <w:spacing w:before="71" w:line="263" w:lineRule="auto"/>
              <w:ind w:left="164" w:right="155"/>
              <w:rPr>
                <w:sz w:val="22"/>
                <w:szCs w:val="22"/>
              </w:rPr>
            </w:pPr>
            <w:r>
              <w:rPr>
                <w:spacing w:val="3"/>
                <w:sz w:val="22"/>
                <w:szCs w:val="22"/>
              </w:rPr>
              <w:t>地下水及</w:t>
            </w:r>
            <w:r>
              <w:rPr>
                <w:sz w:val="22"/>
                <w:szCs w:val="22"/>
              </w:rPr>
              <w:t xml:space="preserve"> </w:t>
            </w:r>
            <w:r>
              <w:rPr>
                <w:spacing w:val="-2"/>
                <w:sz w:val="22"/>
                <w:szCs w:val="22"/>
              </w:rPr>
              <w:t>土壤环境</w:t>
            </w:r>
          </w:p>
        </w:tc>
        <w:tc>
          <w:tcPr>
            <w:tcW w:w="7846" w:type="dxa"/>
            <w:gridSpan w:val="4"/>
            <w:vAlign w:val="top"/>
          </w:tcPr>
          <w:p w14:paraId="6BF45453">
            <w:pPr>
              <w:pStyle w:val="6"/>
              <w:spacing w:before="65" w:line="201" w:lineRule="auto"/>
              <w:ind w:left="121"/>
              <w:rPr>
                <w:sz w:val="22"/>
                <w:szCs w:val="22"/>
              </w:rPr>
            </w:pPr>
            <w:r>
              <w:rPr>
                <w:spacing w:val="-1"/>
                <w:sz w:val="22"/>
                <w:szCs w:val="22"/>
              </w:rPr>
              <w:t>集油坑、事故油池及危废暂存间严格按照《危险废物贮存污染控制标准》</w:t>
            </w:r>
          </w:p>
          <w:p w14:paraId="40A0A65B">
            <w:pPr>
              <w:pStyle w:val="6"/>
              <w:spacing w:line="229" w:lineRule="auto"/>
              <w:ind w:left="172" w:right="173"/>
              <w:rPr>
                <w:sz w:val="22"/>
                <w:szCs w:val="22"/>
              </w:rPr>
            </w:pPr>
            <w:r>
              <w:rPr>
                <w:sz w:val="22"/>
                <w:szCs w:val="22"/>
              </w:rPr>
              <w:t>(GB18597-2023)要求设计、运行和管理。危险废物暂存间防渗层为至少1m厚黏</w:t>
            </w:r>
            <w:r>
              <w:rPr>
                <w:spacing w:val="9"/>
                <w:sz w:val="22"/>
                <w:szCs w:val="22"/>
              </w:rPr>
              <w:t xml:space="preserve"> </w:t>
            </w:r>
            <w:r>
              <w:rPr>
                <w:sz w:val="22"/>
                <w:szCs w:val="22"/>
              </w:rPr>
              <w:t>土层(渗透系数不大于10-7cm/s),或至少2mm厚高密度</w:t>
            </w:r>
            <w:r>
              <w:rPr>
                <w:spacing w:val="-1"/>
                <w:sz w:val="22"/>
                <w:szCs w:val="22"/>
              </w:rPr>
              <w:t>聚乙烯膜等人工防渗材料</w:t>
            </w:r>
          </w:p>
          <w:p w14:paraId="2B4D6BB0">
            <w:pPr>
              <w:pStyle w:val="6"/>
              <w:spacing w:before="1" w:line="226" w:lineRule="auto"/>
              <w:ind w:left="121" w:firstLine="89"/>
              <w:rPr>
                <w:sz w:val="22"/>
                <w:szCs w:val="22"/>
              </w:rPr>
            </w:pPr>
            <w:r>
              <w:rPr>
                <w:spacing w:val="-1"/>
                <w:sz w:val="22"/>
                <w:szCs w:val="22"/>
              </w:rPr>
              <w:t>(渗透系数不大于10-1</w:t>
            </w:r>
            <w:r>
              <w:rPr>
                <w:rFonts w:ascii="Calibri" w:hAnsi="Calibri" w:eastAsia="Calibri" w:cs="Calibri"/>
                <w:spacing w:val="-1"/>
                <w:sz w:val="22"/>
                <w:szCs w:val="22"/>
              </w:rPr>
              <w:t>⁰</w:t>
            </w:r>
            <w:r>
              <w:rPr>
                <w:spacing w:val="-1"/>
                <w:sz w:val="22"/>
                <w:szCs w:val="22"/>
              </w:rPr>
              <w:t>cm/s),或其他防渗性能等效的</w:t>
            </w:r>
            <w:r>
              <w:rPr>
                <w:spacing w:val="-2"/>
                <w:sz w:val="22"/>
                <w:szCs w:val="22"/>
              </w:rPr>
              <w:t>材料。事故油池、集油坑按</w:t>
            </w:r>
            <w:r>
              <w:rPr>
                <w:sz w:val="22"/>
                <w:szCs w:val="22"/>
              </w:rPr>
              <w:t xml:space="preserve"> 照《环境影响评价技术导则地下水环境》(HJ610-2016)表7重点防渗区要求进行</w:t>
            </w:r>
          </w:p>
          <w:p w14:paraId="28E9ABF0">
            <w:pPr>
              <w:pStyle w:val="6"/>
              <w:spacing w:line="208" w:lineRule="auto"/>
              <w:ind w:left="111" w:right="3" w:hanging="100"/>
              <w:rPr>
                <w:sz w:val="22"/>
                <w:szCs w:val="22"/>
              </w:rPr>
            </w:pPr>
            <w:r>
              <w:rPr>
                <w:sz w:val="22"/>
                <w:szCs w:val="22"/>
              </w:rPr>
              <w:t>防渗：等效黏土防渗层Mb≥6.0m,K≤1×10-7cm/s。箱变集油坑雨季增加检查频率</w:t>
            </w:r>
            <w:r>
              <w:rPr>
                <w:spacing w:val="9"/>
                <w:sz w:val="22"/>
                <w:szCs w:val="22"/>
              </w:rPr>
              <w:t xml:space="preserve"> </w:t>
            </w:r>
            <w:r>
              <w:rPr>
                <w:sz w:val="22"/>
                <w:szCs w:val="22"/>
              </w:rPr>
              <w:t>排水，增加排水频率。</w:t>
            </w:r>
          </w:p>
        </w:tc>
      </w:tr>
      <w:tr w14:paraId="697B6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3" w:hRule="atLeast"/>
        </w:trPr>
        <w:tc>
          <w:tcPr>
            <w:tcW w:w="1223" w:type="dxa"/>
            <w:vAlign w:val="top"/>
          </w:tcPr>
          <w:p w14:paraId="2995C9D3">
            <w:pPr>
              <w:spacing w:line="306" w:lineRule="auto"/>
              <w:rPr>
                <w:rFonts w:ascii="Arial"/>
                <w:sz w:val="21"/>
              </w:rPr>
            </w:pPr>
          </w:p>
          <w:p w14:paraId="1A1159E3">
            <w:pPr>
              <w:spacing w:line="307" w:lineRule="auto"/>
              <w:rPr>
                <w:rFonts w:ascii="Arial"/>
                <w:sz w:val="21"/>
              </w:rPr>
            </w:pPr>
          </w:p>
          <w:p w14:paraId="74B6FC23">
            <w:pPr>
              <w:spacing w:line="307" w:lineRule="auto"/>
              <w:rPr>
                <w:rFonts w:ascii="Arial"/>
                <w:sz w:val="21"/>
              </w:rPr>
            </w:pPr>
          </w:p>
          <w:p w14:paraId="6146DCDF">
            <w:pPr>
              <w:pStyle w:val="6"/>
              <w:spacing w:before="72" w:line="220" w:lineRule="auto"/>
              <w:ind w:left="275"/>
              <w:rPr>
                <w:sz w:val="22"/>
                <w:szCs w:val="22"/>
              </w:rPr>
            </w:pPr>
            <w:r>
              <w:rPr>
                <w:spacing w:val="3"/>
                <w:sz w:val="22"/>
                <w:szCs w:val="22"/>
              </w:rPr>
              <w:t>声环境</w:t>
            </w:r>
          </w:p>
        </w:tc>
        <w:tc>
          <w:tcPr>
            <w:tcW w:w="3027" w:type="dxa"/>
            <w:vAlign w:val="top"/>
          </w:tcPr>
          <w:p w14:paraId="786DD0B7">
            <w:pPr>
              <w:pStyle w:val="6"/>
              <w:spacing w:before="46" w:line="229" w:lineRule="auto"/>
              <w:ind w:left="182" w:right="84"/>
              <w:rPr>
                <w:sz w:val="22"/>
                <w:szCs w:val="22"/>
              </w:rPr>
            </w:pPr>
            <w:r>
              <w:rPr>
                <w:spacing w:val="-1"/>
                <w:sz w:val="22"/>
                <w:szCs w:val="22"/>
              </w:rPr>
              <w:t>合理安排施工计划和施工机</w:t>
            </w:r>
            <w:r>
              <w:rPr>
                <w:sz w:val="22"/>
                <w:szCs w:val="22"/>
              </w:rPr>
              <w:t xml:space="preserve">  </w:t>
            </w:r>
            <w:r>
              <w:rPr>
                <w:spacing w:val="9"/>
                <w:sz w:val="22"/>
                <w:szCs w:val="22"/>
              </w:rPr>
              <w:t>械设备组合以及施工时间、</w:t>
            </w:r>
          </w:p>
          <w:p w14:paraId="3DCE8477">
            <w:pPr>
              <w:pStyle w:val="6"/>
              <w:spacing w:before="13" w:line="220" w:lineRule="auto"/>
              <w:ind w:left="182" w:right="183"/>
              <w:rPr>
                <w:sz w:val="22"/>
                <w:szCs w:val="22"/>
              </w:rPr>
            </w:pPr>
            <w:r>
              <w:rPr>
                <w:sz w:val="22"/>
                <w:szCs w:val="22"/>
              </w:rPr>
              <w:t>合理安排施工工序；合理布</w:t>
            </w:r>
            <w:r>
              <w:rPr>
                <w:spacing w:val="10"/>
                <w:sz w:val="22"/>
                <w:szCs w:val="22"/>
              </w:rPr>
              <w:t xml:space="preserve"> </w:t>
            </w:r>
            <w:r>
              <w:rPr>
                <w:spacing w:val="-1"/>
                <w:sz w:val="22"/>
                <w:szCs w:val="22"/>
              </w:rPr>
              <w:t>置机械设备；合理规划施工</w:t>
            </w:r>
          </w:p>
          <w:p w14:paraId="15D431EC">
            <w:pPr>
              <w:pStyle w:val="6"/>
              <w:spacing w:before="36" w:line="214" w:lineRule="auto"/>
              <w:ind w:left="182" w:right="182"/>
              <w:rPr>
                <w:sz w:val="22"/>
                <w:szCs w:val="22"/>
              </w:rPr>
            </w:pPr>
            <w:r>
              <w:rPr>
                <w:spacing w:val="1"/>
                <w:sz w:val="22"/>
                <w:szCs w:val="22"/>
              </w:rPr>
              <w:t>时间及施工时序，靠近居民</w:t>
            </w:r>
            <w:r>
              <w:rPr>
                <w:sz w:val="22"/>
                <w:szCs w:val="22"/>
              </w:rPr>
              <w:t xml:space="preserve"> 点位置的光伏阵区支架或集</w:t>
            </w:r>
          </w:p>
          <w:p w14:paraId="5CFE29C3">
            <w:pPr>
              <w:pStyle w:val="6"/>
              <w:spacing w:before="8" w:line="213" w:lineRule="auto"/>
              <w:ind w:left="182" w:right="185"/>
              <w:rPr>
                <w:sz w:val="22"/>
                <w:szCs w:val="22"/>
              </w:rPr>
            </w:pPr>
            <w:r>
              <w:rPr>
                <w:sz w:val="22"/>
                <w:szCs w:val="22"/>
              </w:rPr>
              <w:t>电线路施工采用人工开挖基</w:t>
            </w:r>
            <w:r>
              <w:rPr>
                <w:spacing w:val="8"/>
                <w:sz w:val="22"/>
                <w:szCs w:val="22"/>
              </w:rPr>
              <w:t xml:space="preserve"> </w:t>
            </w:r>
            <w:r>
              <w:rPr>
                <w:spacing w:val="-1"/>
                <w:sz w:val="22"/>
                <w:szCs w:val="22"/>
              </w:rPr>
              <w:t>础等措施；运输车辆在通过</w:t>
            </w:r>
          </w:p>
        </w:tc>
        <w:tc>
          <w:tcPr>
            <w:tcW w:w="1248" w:type="dxa"/>
            <w:vAlign w:val="top"/>
          </w:tcPr>
          <w:p w14:paraId="368583BD">
            <w:pPr>
              <w:pStyle w:val="6"/>
              <w:spacing w:before="47" w:line="231" w:lineRule="auto"/>
              <w:ind w:left="174" w:right="170"/>
              <w:rPr>
                <w:sz w:val="22"/>
                <w:szCs w:val="22"/>
              </w:rPr>
            </w:pPr>
            <w:r>
              <w:rPr>
                <w:spacing w:val="-3"/>
                <w:sz w:val="22"/>
                <w:szCs w:val="22"/>
              </w:rPr>
              <w:t>满足《建</w:t>
            </w:r>
            <w:r>
              <w:rPr>
                <w:spacing w:val="2"/>
                <w:sz w:val="22"/>
                <w:szCs w:val="22"/>
              </w:rPr>
              <w:t xml:space="preserve"> </w:t>
            </w:r>
            <w:r>
              <w:rPr>
                <w:spacing w:val="-10"/>
                <w:sz w:val="22"/>
                <w:szCs w:val="22"/>
              </w:rPr>
              <w:t>筑</w:t>
            </w:r>
            <w:r>
              <w:rPr>
                <w:spacing w:val="18"/>
                <w:sz w:val="22"/>
                <w:szCs w:val="22"/>
              </w:rPr>
              <w:t xml:space="preserve"> </w:t>
            </w:r>
            <w:r>
              <w:rPr>
                <w:spacing w:val="-10"/>
                <w:sz w:val="22"/>
                <w:szCs w:val="22"/>
              </w:rPr>
              <w:t>施</w:t>
            </w:r>
            <w:r>
              <w:rPr>
                <w:spacing w:val="23"/>
                <w:sz w:val="22"/>
                <w:szCs w:val="22"/>
              </w:rPr>
              <w:t xml:space="preserve"> </w:t>
            </w:r>
            <w:r>
              <w:rPr>
                <w:spacing w:val="-10"/>
                <w:sz w:val="22"/>
                <w:szCs w:val="22"/>
              </w:rPr>
              <w:t>工</w:t>
            </w:r>
          </w:p>
          <w:p w14:paraId="47275E6D">
            <w:pPr>
              <w:pStyle w:val="6"/>
              <w:spacing w:line="218" w:lineRule="auto"/>
              <w:ind w:left="174"/>
              <w:rPr>
                <w:sz w:val="22"/>
                <w:szCs w:val="22"/>
              </w:rPr>
            </w:pPr>
            <w:r>
              <w:rPr>
                <w:spacing w:val="-8"/>
                <w:sz w:val="22"/>
                <w:szCs w:val="22"/>
              </w:rPr>
              <w:t>场</w:t>
            </w:r>
            <w:r>
              <w:rPr>
                <w:spacing w:val="24"/>
                <w:sz w:val="22"/>
                <w:szCs w:val="22"/>
              </w:rPr>
              <w:t xml:space="preserve"> </w:t>
            </w:r>
            <w:r>
              <w:rPr>
                <w:spacing w:val="-8"/>
                <w:sz w:val="22"/>
                <w:szCs w:val="22"/>
              </w:rPr>
              <w:t>界</w:t>
            </w:r>
            <w:r>
              <w:rPr>
                <w:spacing w:val="18"/>
                <w:sz w:val="22"/>
                <w:szCs w:val="22"/>
              </w:rPr>
              <w:t xml:space="preserve"> </w:t>
            </w:r>
            <w:r>
              <w:rPr>
                <w:spacing w:val="-8"/>
                <w:sz w:val="22"/>
                <w:szCs w:val="22"/>
              </w:rPr>
              <w:t>环</w:t>
            </w:r>
          </w:p>
          <w:p w14:paraId="7BF14DAD">
            <w:pPr>
              <w:pStyle w:val="6"/>
              <w:spacing w:line="220" w:lineRule="auto"/>
              <w:ind w:left="164"/>
              <w:rPr>
                <w:sz w:val="22"/>
                <w:szCs w:val="22"/>
              </w:rPr>
            </w:pPr>
            <w:r>
              <w:rPr>
                <w:spacing w:val="-10"/>
                <w:sz w:val="22"/>
                <w:szCs w:val="22"/>
              </w:rPr>
              <w:t>境</w:t>
            </w:r>
            <w:r>
              <w:rPr>
                <w:spacing w:val="41"/>
                <w:sz w:val="22"/>
                <w:szCs w:val="22"/>
              </w:rPr>
              <w:t xml:space="preserve"> </w:t>
            </w:r>
            <w:r>
              <w:rPr>
                <w:spacing w:val="-10"/>
                <w:sz w:val="22"/>
                <w:szCs w:val="22"/>
              </w:rPr>
              <w:t>噪</w:t>
            </w:r>
            <w:r>
              <w:rPr>
                <w:spacing w:val="35"/>
                <w:sz w:val="22"/>
                <w:szCs w:val="22"/>
              </w:rPr>
              <w:t xml:space="preserve"> </w:t>
            </w:r>
            <w:r>
              <w:rPr>
                <w:spacing w:val="-10"/>
                <w:sz w:val="22"/>
                <w:szCs w:val="22"/>
              </w:rPr>
              <w:t>声</w:t>
            </w:r>
          </w:p>
          <w:p w14:paraId="46304ACC">
            <w:pPr>
              <w:pStyle w:val="6"/>
              <w:spacing w:before="37" w:line="220" w:lineRule="auto"/>
              <w:ind w:left="174"/>
              <w:rPr>
                <w:sz w:val="22"/>
                <w:szCs w:val="22"/>
              </w:rPr>
            </w:pPr>
            <w:r>
              <w:rPr>
                <w:spacing w:val="-6"/>
                <w:sz w:val="22"/>
                <w:szCs w:val="22"/>
              </w:rPr>
              <w:t>排</w:t>
            </w:r>
            <w:r>
              <w:rPr>
                <w:spacing w:val="17"/>
                <w:sz w:val="22"/>
                <w:szCs w:val="22"/>
              </w:rPr>
              <w:t xml:space="preserve"> </w:t>
            </w:r>
            <w:r>
              <w:rPr>
                <w:spacing w:val="-6"/>
                <w:sz w:val="22"/>
                <w:szCs w:val="22"/>
              </w:rPr>
              <w:t>放</w:t>
            </w:r>
            <w:r>
              <w:rPr>
                <w:spacing w:val="18"/>
                <w:sz w:val="22"/>
                <w:szCs w:val="22"/>
              </w:rPr>
              <w:t xml:space="preserve"> </w:t>
            </w:r>
            <w:r>
              <w:rPr>
                <w:spacing w:val="-6"/>
                <w:sz w:val="22"/>
                <w:szCs w:val="22"/>
              </w:rPr>
              <w:t>标</w:t>
            </w:r>
          </w:p>
          <w:p w14:paraId="0876CAE7">
            <w:pPr>
              <w:pStyle w:val="6"/>
              <w:spacing w:before="18" w:line="221" w:lineRule="auto"/>
              <w:ind w:left="284"/>
              <w:rPr>
                <w:sz w:val="22"/>
                <w:szCs w:val="22"/>
              </w:rPr>
            </w:pPr>
            <w:r>
              <w:rPr>
                <w:spacing w:val="-6"/>
                <w:sz w:val="22"/>
                <w:szCs w:val="22"/>
              </w:rPr>
              <w:t>准</w:t>
            </w:r>
            <w:r>
              <w:rPr>
                <w:spacing w:val="7"/>
                <w:sz w:val="22"/>
                <w:szCs w:val="22"/>
              </w:rPr>
              <w:t xml:space="preserve">   </w:t>
            </w:r>
            <w:r>
              <w:rPr>
                <w:spacing w:val="-6"/>
                <w:sz w:val="22"/>
                <w:szCs w:val="22"/>
              </w:rPr>
              <w:t>》</w:t>
            </w:r>
          </w:p>
          <w:p w14:paraId="5F83E19D">
            <w:pPr>
              <w:pStyle w:val="6"/>
              <w:spacing w:before="9" w:line="222" w:lineRule="auto"/>
              <w:ind w:left="284"/>
              <w:rPr>
                <w:sz w:val="22"/>
                <w:szCs w:val="22"/>
              </w:rPr>
            </w:pPr>
            <w:r>
              <w:rPr>
                <w:spacing w:val="-7"/>
                <w:sz w:val="22"/>
                <w:szCs w:val="22"/>
              </w:rPr>
              <w:t>(GB125</w:t>
            </w:r>
          </w:p>
          <w:p w14:paraId="57023B19">
            <w:pPr>
              <w:pStyle w:val="6"/>
              <w:spacing w:before="3" w:line="180" w:lineRule="auto"/>
              <w:ind w:left="164"/>
              <w:rPr>
                <w:sz w:val="22"/>
                <w:szCs w:val="22"/>
              </w:rPr>
            </w:pPr>
            <w:r>
              <w:rPr>
                <w:spacing w:val="-3"/>
                <w:sz w:val="22"/>
                <w:szCs w:val="22"/>
              </w:rPr>
              <w:t>23-20</w:t>
            </w:r>
          </w:p>
        </w:tc>
        <w:tc>
          <w:tcPr>
            <w:tcW w:w="1958" w:type="dxa"/>
            <w:vAlign w:val="top"/>
          </w:tcPr>
          <w:p w14:paraId="54283E75">
            <w:pPr>
              <w:spacing w:line="393" w:lineRule="auto"/>
              <w:rPr>
                <w:rFonts w:ascii="Arial"/>
                <w:sz w:val="21"/>
              </w:rPr>
            </w:pPr>
          </w:p>
          <w:p w14:paraId="63AA0E6C">
            <w:pPr>
              <w:pStyle w:val="6"/>
              <w:spacing w:before="72" w:line="232" w:lineRule="auto"/>
              <w:ind w:left="166" w:right="180" w:firstLine="40"/>
              <w:jc w:val="both"/>
              <w:rPr>
                <w:sz w:val="22"/>
                <w:szCs w:val="22"/>
              </w:rPr>
            </w:pPr>
            <w:r>
              <w:rPr>
                <w:spacing w:val="-2"/>
                <w:sz w:val="22"/>
                <w:szCs w:val="22"/>
              </w:rPr>
              <w:t>低噪设备；升压</w:t>
            </w:r>
            <w:r>
              <w:rPr>
                <w:spacing w:val="5"/>
                <w:sz w:val="22"/>
                <w:szCs w:val="22"/>
              </w:rPr>
              <w:t xml:space="preserve"> </w:t>
            </w:r>
            <w:r>
              <w:rPr>
                <w:spacing w:val="6"/>
                <w:sz w:val="22"/>
                <w:szCs w:val="22"/>
              </w:rPr>
              <w:t>站厂界设2.5m围</w:t>
            </w:r>
            <w:r>
              <w:rPr>
                <w:spacing w:val="5"/>
                <w:sz w:val="22"/>
                <w:szCs w:val="22"/>
              </w:rPr>
              <w:t xml:space="preserve"> </w:t>
            </w:r>
            <w:r>
              <w:rPr>
                <w:spacing w:val="7"/>
                <w:sz w:val="22"/>
                <w:szCs w:val="22"/>
              </w:rPr>
              <w:t>墙；水泵夜间不</w:t>
            </w:r>
            <w:r>
              <w:rPr>
                <w:spacing w:val="2"/>
                <w:sz w:val="22"/>
                <w:szCs w:val="22"/>
              </w:rPr>
              <w:t xml:space="preserve"> </w:t>
            </w:r>
            <w:r>
              <w:rPr>
                <w:spacing w:val="8"/>
                <w:sz w:val="22"/>
                <w:szCs w:val="22"/>
              </w:rPr>
              <w:t>运行；定期维护</w:t>
            </w:r>
            <w:r>
              <w:rPr>
                <w:sz w:val="22"/>
                <w:szCs w:val="22"/>
              </w:rPr>
              <w:t xml:space="preserve"> 设备。</w:t>
            </w:r>
          </w:p>
        </w:tc>
        <w:tc>
          <w:tcPr>
            <w:tcW w:w="1613" w:type="dxa"/>
            <w:vAlign w:val="top"/>
          </w:tcPr>
          <w:p w14:paraId="2BCC2DA5">
            <w:pPr>
              <w:spacing w:line="248" w:lineRule="auto"/>
              <w:rPr>
                <w:rFonts w:ascii="Arial"/>
                <w:sz w:val="21"/>
              </w:rPr>
            </w:pPr>
          </w:p>
          <w:p w14:paraId="6E0122A4">
            <w:pPr>
              <w:pStyle w:val="6"/>
              <w:tabs>
                <w:tab w:val="left" w:pos="197"/>
              </w:tabs>
              <w:spacing w:before="71" w:line="230" w:lineRule="auto"/>
              <w:ind w:left="88" w:right="34" w:firstLine="50"/>
              <w:rPr>
                <w:sz w:val="22"/>
                <w:szCs w:val="22"/>
              </w:rPr>
            </w:pPr>
            <w:r>
              <w:rPr>
                <w:spacing w:val="2"/>
                <w:sz w:val="22"/>
                <w:szCs w:val="22"/>
              </w:rPr>
              <w:t>厂界噪声达到</w:t>
            </w:r>
            <w:r>
              <w:rPr>
                <w:spacing w:val="1"/>
                <w:sz w:val="22"/>
                <w:szCs w:val="22"/>
              </w:rPr>
              <w:t xml:space="preserve">  </w:t>
            </w:r>
            <w:r>
              <w:rPr>
                <w:sz w:val="22"/>
                <w:szCs w:val="22"/>
              </w:rPr>
              <w:t xml:space="preserve">《工业企业厂  </w:t>
            </w:r>
            <w:r>
              <w:rPr>
                <w:spacing w:val="9"/>
                <w:sz w:val="22"/>
                <w:szCs w:val="22"/>
              </w:rPr>
              <w:t>界环境噪声排</w:t>
            </w:r>
            <w:r>
              <w:rPr>
                <w:spacing w:val="1"/>
                <w:sz w:val="22"/>
                <w:szCs w:val="22"/>
              </w:rPr>
              <w:t xml:space="preserve">  </w:t>
            </w:r>
            <w:r>
              <w:rPr>
                <w:spacing w:val="-2"/>
                <w:sz w:val="22"/>
                <w:szCs w:val="22"/>
              </w:rPr>
              <w:t>放</w:t>
            </w:r>
            <w:r>
              <w:rPr>
                <w:spacing w:val="13"/>
                <w:sz w:val="22"/>
                <w:szCs w:val="22"/>
              </w:rPr>
              <w:t xml:space="preserve"> </w:t>
            </w:r>
            <w:r>
              <w:rPr>
                <w:spacing w:val="-2"/>
                <w:sz w:val="22"/>
                <w:szCs w:val="22"/>
              </w:rPr>
              <w:t>标</w:t>
            </w:r>
            <w:r>
              <w:rPr>
                <w:spacing w:val="6"/>
                <w:sz w:val="22"/>
                <w:szCs w:val="22"/>
              </w:rPr>
              <w:t xml:space="preserve">   </w:t>
            </w:r>
            <w:r>
              <w:rPr>
                <w:spacing w:val="-2"/>
                <w:sz w:val="22"/>
                <w:szCs w:val="22"/>
              </w:rPr>
              <w:t>准</w:t>
            </w:r>
            <w:r>
              <w:rPr>
                <w:spacing w:val="26"/>
                <w:sz w:val="22"/>
                <w:szCs w:val="22"/>
              </w:rPr>
              <w:t xml:space="preserve"> </w:t>
            </w:r>
            <w:r>
              <w:rPr>
                <w:spacing w:val="-2"/>
                <w:sz w:val="22"/>
                <w:szCs w:val="22"/>
              </w:rPr>
              <w:t>》</w:t>
            </w:r>
            <w:r>
              <w:rPr>
                <w:sz w:val="22"/>
                <w:szCs w:val="22"/>
              </w:rPr>
              <w:t xml:space="preserve"> </w:t>
            </w:r>
            <w:r>
              <w:rPr>
                <w:sz w:val="22"/>
                <w:szCs w:val="22"/>
              </w:rPr>
              <w:tab/>
            </w:r>
            <w:r>
              <w:rPr>
                <w:spacing w:val="-5"/>
                <w:sz w:val="22"/>
                <w:szCs w:val="22"/>
              </w:rPr>
              <w:t>(GB12348-20</w:t>
            </w:r>
            <w:r>
              <w:rPr>
                <w:spacing w:val="2"/>
                <w:sz w:val="22"/>
                <w:szCs w:val="22"/>
              </w:rPr>
              <w:t xml:space="preserve">   </w:t>
            </w:r>
            <w:r>
              <w:rPr>
                <w:spacing w:val="5"/>
                <w:sz w:val="22"/>
                <w:szCs w:val="22"/>
              </w:rPr>
              <w:t>08)1类要求</w:t>
            </w:r>
          </w:p>
        </w:tc>
      </w:tr>
    </w:tbl>
    <w:p w14:paraId="2C101AD8">
      <w:pPr>
        <w:pStyle w:val="2"/>
      </w:pPr>
    </w:p>
    <w:p w14:paraId="737113B0">
      <w:pPr>
        <w:sectPr>
          <w:footerReference r:id="rId133" w:type="default"/>
          <w:pgSz w:w="11910" w:h="16840"/>
          <w:pgMar w:top="1431" w:right="1425" w:bottom="1255" w:left="1405" w:header="0" w:footer="1093" w:gutter="0"/>
          <w:cols w:space="720" w:num="1"/>
        </w:sectPr>
      </w:pPr>
    </w:p>
    <w:p w14:paraId="5C0F03B7">
      <w:pPr>
        <w:spacing w:line="93" w:lineRule="exact"/>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3006"/>
        <w:gridCol w:w="1239"/>
        <w:gridCol w:w="1998"/>
        <w:gridCol w:w="1583"/>
      </w:tblGrid>
      <w:tr w14:paraId="054F4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1233" w:type="dxa"/>
            <w:vAlign w:val="top"/>
          </w:tcPr>
          <w:p w14:paraId="7EA497E4">
            <w:pPr>
              <w:rPr>
                <w:rFonts w:ascii="Arial"/>
                <w:sz w:val="21"/>
              </w:rPr>
            </w:pPr>
          </w:p>
        </w:tc>
        <w:tc>
          <w:tcPr>
            <w:tcW w:w="3006" w:type="dxa"/>
            <w:vAlign w:val="top"/>
          </w:tcPr>
          <w:p w14:paraId="74314120">
            <w:pPr>
              <w:pStyle w:val="6"/>
              <w:spacing w:before="12" w:line="250" w:lineRule="auto"/>
              <w:ind w:left="172" w:right="253" w:firstLine="59"/>
              <w:rPr>
                <w:sz w:val="21"/>
                <w:szCs w:val="21"/>
              </w:rPr>
            </w:pPr>
            <w:r>
              <w:rPr>
                <w:spacing w:val="-1"/>
                <w:sz w:val="21"/>
                <w:szCs w:val="21"/>
              </w:rPr>
              <w:t>村庄路段时要减慢车速，禁</w:t>
            </w:r>
            <w:r>
              <w:rPr>
                <w:spacing w:val="1"/>
                <w:sz w:val="21"/>
                <w:szCs w:val="21"/>
              </w:rPr>
              <w:t xml:space="preserve"> </w:t>
            </w:r>
            <w:r>
              <w:rPr>
                <w:spacing w:val="-3"/>
                <w:sz w:val="21"/>
                <w:szCs w:val="21"/>
              </w:rPr>
              <w:t>止鸣笛</w:t>
            </w:r>
          </w:p>
        </w:tc>
        <w:tc>
          <w:tcPr>
            <w:tcW w:w="1239" w:type="dxa"/>
            <w:vAlign w:val="top"/>
          </w:tcPr>
          <w:p w14:paraId="2B5B7431">
            <w:pPr>
              <w:pStyle w:val="6"/>
              <w:spacing w:before="36" w:line="222" w:lineRule="auto"/>
              <w:ind w:left="116"/>
              <w:rPr>
                <w:sz w:val="21"/>
                <w:szCs w:val="21"/>
              </w:rPr>
            </w:pPr>
            <w:r>
              <w:rPr>
                <w:spacing w:val="-6"/>
                <w:sz w:val="21"/>
                <w:szCs w:val="21"/>
              </w:rPr>
              <w:t>11)</w:t>
            </w:r>
          </w:p>
        </w:tc>
        <w:tc>
          <w:tcPr>
            <w:tcW w:w="1998" w:type="dxa"/>
            <w:vAlign w:val="top"/>
          </w:tcPr>
          <w:p w14:paraId="248E967E">
            <w:pPr>
              <w:rPr>
                <w:rFonts w:ascii="Arial"/>
                <w:sz w:val="21"/>
              </w:rPr>
            </w:pPr>
          </w:p>
        </w:tc>
        <w:tc>
          <w:tcPr>
            <w:tcW w:w="1583" w:type="dxa"/>
            <w:vAlign w:val="top"/>
          </w:tcPr>
          <w:p w14:paraId="46E14D5A">
            <w:pPr>
              <w:rPr>
                <w:rFonts w:ascii="Arial"/>
                <w:sz w:val="21"/>
              </w:rPr>
            </w:pPr>
          </w:p>
        </w:tc>
      </w:tr>
      <w:tr w14:paraId="0FF1A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233" w:type="dxa"/>
            <w:vAlign w:val="top"/>
          </w:tcPr>
          <w:p w14:paraId="4CDFA86A">
            <w:pPr>
              <w:pStyle w:val="6"/>
              <w:spacing w:before="240" w:line="220" w:lineRule="auto"/>
              <w:ind w:left="394"/>
              <w:rPr>
                <w:sz w:val="21"/>
                <w:szCs w:val="21"/>
              </w:rPr>
            </w:pPr>
            <w:r>
              <w:rPr>
                <w:spacing w:val="7"/>
                <w:sz w:val="21"/>
                <w:szCs w:val="21"/>
              </w:rPr>
              <w:t>振动</w:t>
            </w:r>
          </w:p>
        </w:tc>
        <w:tc>
          <w:tcPr>
            <w:tcW w:w="3006" w:type="dxa"/>
            <w:vAlign w:val="top"/>
          </w:tcPr>
          <w:p w14:paraId="399CAF92">
            <w:pPr>
              <w:pStyle w:val="6"/>
              <w:spacing w:before="245" w:line="224" w:lineRule="auto"/>
              <w:ind w:left="1441"/>
              <w:rPr>
                <w:sz w:val="21"/>
                <w:szCs w:val="21"/>
              </w:rPr>
            </w:pPr>
            <w:r>
              <w:rPr>
                <w:sz w:val="21"/>
                <w:szCs w:val="21"/>
              </w:rPr>
              <w:t>/</w:t>
            </w:r>
          </w:p>
        </w:tc>
        <w:tc>
          <w:tcPr>
            <w:tcW w:w="1239" w:type="dxa"/>
            <w:vAlign w:val="top"/>
          </w:tcPr>
          <w:p w14:paraId="6E395413">
            <w:pPr>
              <w:pStyle w:val="6"/>
              <w:spacing w:before="245" w:line="224" w:lineRule="auto"/>
              <w:ind w:left="555"/>
              <w:rPr>
                <w:sz w:val="21"/>
                <w:szCs w:val="21"/>
              </w:rPr>
            </w:pPr>
            <w:r>
              <w:rPr>
                <w:sz w:val="21"/>
                <w:szCs w:val="21"/>
              </w:rPr>
              <w:t>/</w:t>
            </w:r>
          </w:p>
        </w:tc>
        <w:tc>
          <w:tcPr>
            <w:tcW w:w="1998" w:type="dxa"/>
            <w:vAlign w:val="top"/>
          </w:tcPr>
          <w:p w14:paraId="4B6548CC">
            <w:pPr>
              <w:pStyle w:val="6"/>
              <w:spacing w:before="245" w:line="224" w:lineRule="auto"/>
              <w:ind w:left="936"/>
              <w:rPr>
                <w:sz w:val="21"/>
                <w:szCs w:val="21"/>
              </w:rPr>
            </w:pPr>
            <w:r>
              <w:rPr>
                <w:sz w:val="21"/>
                <w:szCs w:val="21"/>
              </w:rPr>
              <w:t>/</w:t>
            </w:r>
          </w:p>
        </w:tc>
        <w:tc>
          <w:tcPr>
            <w:tcW w:w="1583" w:type="dxa"/>
            <w:vAlign w:val="top"/>
          </w:tcPr>
          <w:p w14:paraId="0A7CFC6D">
            <w:pPr>
              <w:pStyle w:val="6"/>
              <w:spacing w:before="245" w:line="224" w:lineRule="auto"/>
              <w:ind w:left="728"/>
              <w:rPr>
                <w:sz w:val="21"/>
                <w:szCs w:val="21"/>
              </w:rPr>
            </w:pPr>
            <w:r>
              <w:rPr>
                <w:sz w:val="21"/>
                <w:szCs w:val="21"/>
              </w:rPr>
              <w:t>/</w:t>
            </w:r>
          </w:p>
        </w:tc>
      </w:tr>
      <w:tr w14:paraId="7A22F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8" w:hRule="atLeast"/>
        </w:trPr>
        <w:tc>
          <w:tcPr>
            <w:tcW w:w="1233" w:type="dxa"/>
            <w:vAlign w:val="top"/>
          </w:tcPr>
          <w:p w14:paraId="0EF695DB">
            <w:pPr>
              <w:spacing w:line="264" w:lineRule="auto"/>
              <w:rPr>
                <w:rFonts w:ascii="Arial"/>
                <w:sz w:val="21"/>
              </w:rPr>
            </w:pPr>
          </w:p>
          <w:p w14:paraId="7F57040B">
            <w:pPr>
              <w:spacing w:line="264" w:lineRule="auto"/>
              <w:rPr>
                <w:rFonts w:ascii="Arial"/>
                <w:sz w:val="21"/>
              </w:rPr>
            </w:pPr>
          </w:p>
          <w:p w14:paraId="10FBE11B">
            <w:pPr>
              <w:spacing w:line="264" w:lineRule="auto"/>
              <w:rPr>
                <w:rFonts w:ascii="Arial"/>
                <w:sz w:val="21"/>
              </w:rPr>
            </w:pPr>
          </w:p>
          <w:p w14:paraId="07ACE50B">
            <w:pPr>
              <w:spacing w:line="264" w:lineRule="auto"/>
              <w:rPr>
                <w:rFonts w:ascii="Arial"/>
                <w:sz w:val="21"/>
              </w:rPr>
            </w:pPr>
          </w:p>
          <w:p w14:paraId="37205609">
            <w:pPr>
              <w:pStyle w:val="6"/>
              <w:spacing w:before="68" w:line="220" w:lineRule="auto"/>
              <w:ind w:left="184"/>
              <w:rPr>
                <w:sz w:val="21"/>
                <w:szCs w:val="21"/>
              </w:rPr>
            </w:pPr>
            <w:r>
              <w:rPr>
                <w:spacing w:val="-3"/>
                <w:sz w:val="21"/>
                <w:szCs w:val="21"/>
              </w:rPr>
              <w:t>大气环境</w:t>
            </w:r>
          </w:p>
        </w:tc>
        <w:tc>
          <w:tcPr>
            <w:tcW w:w="3006" w:type="dxa"/>
            <w:vAlign w:val="top"/>
          </w:tcPr>
          <w:p w14:paraId="693C837A">
            <w:pPr>
              <w:pStyle w:val="6"/>
              <w:spacing w:before="179" w:line="246" w:lineRule="auto"/>
              <w:ind w:left="182" w:right="88" w:hanging="50"/>
              <w:rPr>
                <w:sz w:val="21"/>
                <w:szCs w:val="21"/>
              </w:rPr>
            </w:pPr>
            <w:r>
              <w:rPr>
                <w:spacing w:val="-1"/>
                <w:sz w:val="21"/>
                <w:szCs w:val="21"/>
              </w:rPr>
              <w:t>施工场地及运输路面采取洒水</w:t>
            </w:r>
            <w:r>
              <w:rPr>
                <w:spacing w:val="4"/>
                <w:sz w:val="21"/>
                <w:szCs w:val="21"/>
              </w:rPr>
              <w:t xml:space="preserve"> </w:t>
            </w:r>
            <w:r>
              <w:rPr>
                <w:spacing w:val="-1"/>
                <w:sz w:val="21"/>
                <w:szCs w:val="21"/>
              </w:rPr>
              <w:t>降尘；开挖土石方及时回填，</w:t>
            </w:r>
          </w:p>
          <w:p w14:paraId="32BEFB9E">
            <w:pPr>
              <w:pStyle w:val="6"/>
              <w:spacing w:line="218" w:lineRule="auto"/>
              <w:ind w:left="231"/>
              <w:rPr>
                <w:sz w:val="21"/>
                <w:szCs w:val="21"/>
              </w:rPr>
            </w:pPr>
            <w:r>
              <w:rPr>
                <w:sz w:val="21"/>
                <w:szCs w:val="21"/>
              </w:rPr>
              <w:t>临时堆存的采取临时遮盖措</w:t>
            </w:r>
          </w:p>
          <w:p w14:paraId="1FB3EFBC">
            <w:pPr>
              <w:pStyle w:val="6"/>
              <w:spacing w:before="8" w:line="241" w:lineRule="auto"/>
              <w:ind w:left="132"/>
              <w:rPr>
                <w:sz w:val="21"/>
                <w:szCs w:val="21"/>
              </w:rPr>
            </w:pPr>
            <w:r>
              <w:rPr>
                <w:spacing w:val="-8"/>
                <w:sz w:val="21"/>
                <w:szCs w:val="21"/>
              </w:rPr>
              <w:t>施；临时堆放的砂石采取遮盖</w:t>
            </w:r>
            <w:r>
              <w:rPr>
                <w:sz w:val="21"/>
                <w:szCs w:val="21"/>
              </w:rPr>
              <w:t xml:space="preserve">   </w:t>
            </w:r>
            <w:r>
              <w:rPr>
                <w:spacing w:val="-8"/>
                <w:sz w:val="21"/>
                <w:szCs w:val="21"/>
              </w:rPr>
              <w:t>措施；运输石灰、中砂、水泥</w:t>
            </w:r>
            <w:r>
              <w:rPr>
                <w:sz w:val="21"/>
                <w:szCs w:val="21"/>
              </w:rPr>
              <w:t xml:space="preserve">   等粉状材料的车辆覆盖蓬布；</w:t>
            </w:r>
            <w:r>
              <w:rPr>
                <w:spacing w:val="5"/>
                <w:sz w:val="21"/>
                <w:szCs w:val="21"/>
              </w:rPr>
              <w:t xml:space="preserve">  </w:t>
            </w:r>
            <w:r>
              <w:rPr>
                <w:spacing w:val="-6"/>
                <w:sz w:val="21"/>
                <w:szCs w:val="21"/>
              </w:rPr>
              <w:t>加强对机械、车辆的维修保养；</w:t>
            </w:r>
            <w:r>
              <w:rPr>
                <w:spacing w:val="6"/>
                <w:sz w:val="21"/>
                <w:szCs w:val="21"/>
              </w:rPr>
              <w:t xml:space="preserve"> </w:t>
            </w:r>
            <w:r>
              <w:rPr>
                <w:spacing w:val="-4"/>
                <w:sz w:val="21"/>
                <w:szCs w:val="21"/>
              </w:rPr>
              <w:t>提高施工人员环保意识等</w:t>
            </w:r>
          </w:p>
        </w:tc>
        <w:tc>
          <w:tcPr>
            <w:tcW w:w="1239" w:type="dxa"/>
            <w:vAlign w:val="top"/>
          </w:tcPr>
          <w:p w14:paraId="4836442A">
            <w:pPr>
              <w:pStyle w:val="6"/>
              <w:spacing w:before="49" w:line="238" w:lineRule="auto"/>
              <w:ind w:left="96" w:right="79" w:hanging="10"/>
              <w:rPr>
                <w:sz w:val="21"/>
                <w:szCs w:val="21"/>
              </w:rPr>
            </w:pPr>
            <w:r>
              <w:rPr>
                <w:spacing w:val="2"/>
                <w:sz w:val="21"/>
                <w:szCs w:val="21"/>
              </w:rPr>
              <w:t xml:space="preserve">满足《大气 </w:t>
            </w:r>
            <w:r>
              <w:rPr>
                <w:spacing w:val="-11"/>
                <w:sz w:val="21"/>
                <w:szCs w:val="21"/>
              </w:rPr>
              <w:t>污</w:t>
            </w:r>
            <w:r>
              <w:rPr>
                <w:spacing w:val="-18"/>
                <w:sz w:val="21"/>
                <w:szCs w:val="21"/>
              </w:rPr>
              <w:t xml:space="preserve"> </w:t>
            </w:r>
            <w:r>
              <w:rPr>
                <w:spacing w:val="-11"/>
                <w:sz w:val="21"/>
                <w:szCs w:val="21"/>
              </w:rPr>
              <w:t>染</w:t>
            </w:r>
            <w:r>
              <w:rPr>
                <w:spacing w:val="-24"/>
                <w:sz w:val="21"/>
                <w:szCs w:val="21"/>
              </w:rPr>
              <w:t xml:space="preserve"> </w:t>
            </w:r>
            <w:r>
              <w:rPr>
                <w:spacing w:val="-11"/>
                <w:sz w:val="21"/>
                <w:szCs w:val="21"/>
              </w:rPr>
              <w:t>物</w:t>
            </w:r>
            <w:r>
              <w:rPr>
                <w:spacing w:val="-21"/>
                <w:sz w:val="21"/>
                <w:szCs w:val="21"/>
              </w:rPr>
              <w:t xml:space="preserve"> </w:t>
            </w:r>
            <w:r>
              <w:rPr>
                <w:spacing w:val="-11"/>
                <w:sz w:val="21"/>
                <w:szCs w:val="21"/>
              </w:rPr>
              <w:t>综</w:t>
            </w:r>
          </w:p>
          <w:p w14:paraId="6A9207DC">
            <w:pPr>
              <w:pStyle w:val="6"/>
              <w:spacing w:line="220" w:lineRule="auto"/>
              <w:ind w:left="96"/>
              <w:rPr>
                <w:sz w:val="21"/>
                <w:szCs w:val="21"/>
              </w:rPr>
            </w:pPr>
            <w:r>
              <w:rPr>
                <w:spacing w:val="-7"/>
                <w:sz w:val="21"/>
                <w:szCs w:val="21"/>
              </w:rPr>
              <w:t>合</w:t>
            </w:r>
            <w:r>
              <w:rPr>
                <w:spacing w:val="-23"/>
                <w:sz w:val="21"/>
                <w:szCs w:val="21"/>
              </w:rPr>
              <w:t xml:space="preserve"> </w:t>
            </w:r>
            <w:r>
              <w:rPr>
                <w:spacing w:val="-7"/>
                <w:sz w:val="21"/>
                <w:szCs w:val="21"/>
              </w:rPr>
              <w:t>排</w:t>
            </w:r>
            <w:r>
              <w:rPr>
                <w:spacing w:val="-25"/>
                <w:sz w:val="21"/>
                <w:szCs w:val="21"/>
              </w:rPr>
              <w:t xml:space="preserve"> </w:t>
            </w:r>
            <w:r>
              <w:rPr>
                <w:spacing w:val="-7"/>
                <w:sz w:val="21"/>
                <w:szCs w:val="21"/>
              </w:rPr>
              <w:t>放</w:t>
            </w:r>
            <w:r>
              <w:rPr>
                <w:spacing w:val="-23"/>
                <w:sz w:val="21"/>
                <w:szCs w:val="21"/>
              </w:rPr>
              <w:t xml:space="preserve"> </w:t>
            </w:r>
            <w:r>
              <w:rPr>
                <w:spacing w:val="-7"/>
                <w:sz w:val="21"/>
                <w:szCs w:val="21"/>
              </w:rPr>
              <w:t>标</w:t>
            </w:r>
          </w:p>
          <w:p w14:paraId="651EEF8A">
            <w:pPr>
              <w:pStyle w:val="6"/>
              <w:spacing w:before="30" w:line="221" w:lineRule="auto"/>
              <w:jc w:val="right"/>
              <w:rPr>
                <w:sz w:val="21"/>
                <w:szCs w:val="21"/>
              </w:rPr>
            </w:pPr>
            <w:r>
              <w:rPr>
                <w:spacing w:val="-19"/>
                <w:sz w:val="21"/>
                <w:szCs w:val="21"/>
              </w:rPr>
              <w:t>准</w:t>
            </w:r>
            <w:r>
              <w:rPr>
                <w:spacing w:val="12"/>
                <w:sz w:val="21"/>
                <w:szCs w:val="21"/>
              </w:rPr>
              <w:t xml:space="preserve">      </w:t>
            </w:r>
            <w:r>
              <w:rPr>
                <w:spacing w:val="-19"/>
                <w:sz w:val="21"/>
                <w:szCs w:val="21"/>
              </w:rPr>
              <w:t>》</w:t>
            </w:r>
          </w:p>
          <w:p w14:paraId="1F47E55E">
            <w:pPr>
              <w:pStyle w:val="6"/>
              <w:spacing w:before="30" w:line="222" w:lineRule="auto"/>
              <w:ind w:left="245"/>
              <w:rPr>
                <w:sz w:val="21"/>
                <w:szCs w:val="21"/>
              </w:rPr>
            </w:pPr>
            <w:r>
              <w:rPr>
                <w:spacing w:val="-6"/>
                <w:sz w:val="21"/>
                <w:szCs w:val="21"/>
              </w:rPr>
              <w:t>(GB1629</w:t>
            </w:r>
          </w:p>
          <w:p w14:paraId="12594E6C">
            <w:pPr>
              <w:pStyle w:val="6"/>
              <w:spacing w:before="4" w:line="220" w:lineRule="auto"/>
              <w:ind w:left="136"/>
              <w:rPr>
                <w:sz w:val="21"/>
                <w:szCs w:val="21"/>
              </w:rPr>
            </w:pPr>
            <w:r>
              <w:rPr>
                <w:spacing w:val="3"/>
                <w:sz w:val="21"/>
                <w:szCs w:val="21"/>
              </w:rPr>
              <w:t>7-1996)中</w:t>
            </w:r>
          </w:p>
          <w:p w14:paraId="524CA6E8">
            <w:pPr>
              <w:pStyle w:val="6"/>
              <w:spacing w:before="19" w:line="219" w:lineRule="auto"/>
              <w:ind w:left="96"/>
              <w:rPr>
                <w:sz w:val="21"/>
                <w:szCs w:val="21"/>
              </w:rPr>
            </w:pPr>
            <w:r>
              <w:rPr>
                <w:spacing w:val="-7"/>
                <w:sz w:val="21"/>
                <w:szCs w:val="21"/>
              </w:rPr>
              <w:t>粉</w:t>
            </w:r>
            <w:r>
              <w:rPr>
                <w:spacing w:val="-24"/>
                <w:sz w:val="21"/>
                <w:szCs w:val="21"/>
              </w:rPr>
              <w:t xml:space="preserve"> </w:t>
            </w:r>
            <w:r>
              <w:rPr>
                <w:spacing w:val="-7"/>
                <w:sz w:val="21"/>
                <w:szCs w:val="21"/>
              </w:rPr>
              <w:t>尘</w:t>
            </w:r>
            <w:r>
              <w:rPr>
                <w:spacing w:val="-24"/>
                <w:sz w:val="21"/>
                <w:szCs w:val="21"/>
              </w:rPr>
              <w:t xml:space="preserve"> </w:t>
            </w:r>
            <w:r>
              <w:rPr>
                <w:spacing w:val="-7"/>
                <w:sz w:val="21"/>
                <w:szCs w:val="21"/>
              </w:rPr>
              <w:t>无</w:t>
            </w:r>
            <w:r>
              <w:rPr>
                <w:spacing w:val="-22"/>
                <w:sz w:val="21"/>
                <w:szCs w:val="21"/>
              </w:rPr>
              <w:t xml:space="preserve"> </w:t>
            </w:r>
            <w:r>
              <w:rPr>
                <w:spacing w:val="-7"/>
                <w:sz w:val="21"/>
                <w:szCs w:val="21"/>
              </w:rPr>
              <w:t>组</w:t>
            </w:r>
          </w:p>
          <w:p w14:paraId="30D00E8A">
            <w:pPr>
              <w:pStyle w:val="6"/>
              <w:spacing w:before="32" w:line="214" w:lineRule="auto"/>
              <w:ind w:left="96" w:right="84"/>
              <w:rPr>
                <w:sz w:val="21"/>
                <w:szCs w:val="21"/>
              </w:rPr>
            </w:pPr>
            <w:r>
              <w:rPr>
                <w:spacing w:val="-10"/>
                <w:sz w:val="21"/>
                <w:szCs w:val="21"/>
              </w:rPr>
              <w:t>织</w:t>
            </w:r>
            <w:r>
              <w:rPr>
                <w:spacing w:val="-22"/>
                <w:sz w:val="21"/>
                <w:szCs w:val="21"/>
              </w:rPr>
              <w:t xml:space="preserve"> </w:t>
            </w:r>
            <w:r>
              <w:rPr>
                <w:spacing w:val="-10"/>
                <w:sz w:val="21"/>
                <w:szCs w:val="21"/>
              </w:rPr>
              <w:t>排</w:t>
            </w:r>
            <w:r>
              <w:rPr>
                <w:spacing w:val="-24"/>
                <w:sz w:val="21"/>
                <w:szCs w:val="21"/>
              </w:rPr>
              <w:t xml:space="preserve"> </w:t>
            </w:r>
            <w:r>
              <w:rPr>
                <w:spacing w:val="-10"/>
                <w:sz w:val="21"/>
                <w:szCs w:val="21"/>
              </w:rPr>
              <w:t>放</w:t>
            </w:r>
            <w:r>
              <w:rPr>
                <w:spacing w:val="-22"/>
                <w:sz w:val="21"/>
                <w:szCs w:val="21"/>
              </w:rPr>
              <w:t xml:space="preserve"> </w:t>
            </w:r>
            <w:r>
              <w:rPr>
                <w:spacing w:val="-10"/>
                <w:sz w:val="21"/>
                <w:szCs w:val="21"/>
              </w:rPr>
              <w:t>标</w:t>
            </w:r>
            <w:r>
              <w:rPr>
                <w:sz w:val="21"/>
                <w:szCs w:val="21"/>
              </w:rPr>
              <w:t xml:space="preserve"> </w:t>
            </w:r>
            <w:r>
              <w:rPr>
                <w:spacing w:val="-2"/>
                <w:sz w:val="21"/>
                <w:szCs w:val="21"/>
              </w:rPr>
              <w:t>准。</w:t>
            </w:r>
          </w:p>
        </w:tc>
        <w:tc>
          <w:tcPr>
            <w:tcW w:w="1998" w:type="dxa"/>
            <w:vAlign w:val="top"/>
          </w:tcPr>
          <w:p w14:paraId="4A5C06B2">
            <w:pPr>
              <w:spacing w:line="266" w:lineRule="auto"/>
              <w:rPr>
                <w:rFonts w:ascii="Arial"/>
                <w:sz w:val="21"/>
              </w:rPr>
            </w:pPr>
          </w:p>
          <w:p w14:paraId="1D6A8952">
            <w:pPr>
              <w:spacing w:line="266" w:lineRule="auto"/>
              <w:rPr>
                <w:rFonts w:ascii="Arial"/>
                <w:sz w:val="21"/>
              </w:rPr>
            </w:pPr>
          </w:p>
          <w:p w14:paraId="0A224E4D">
            <w:pPr>
              <w:spacing w:line="266" w:lineRule="auto"/>
              <w:rPr>
                <w:rFonts w:ascii="Arial"/>
                <w:sz w:val="21"/>
              </w:rPr>
            </w:pPr>
          </w:p>
          <w:p w14:paraId="5BA42DFD">
            <w:pPr>
              <w:pStyle w:val="6"/>
              <w:spacing w:before="68" w:line="239" w:lineRule="auto"/>
              <w:ind w:left="176" w:right="248" w:firstLine="80"/>
              <w:jc w:val="both"/>
              <w:rPr>
                <w:sz w:val="21"/>
                <w:szCs w:val="21"/>
              </w:rPr>
            </w:pPr>
            <w:r>
              <w:rPr>
                <w:spacing w:val="1"/>
                <w:sz w:val="21"/>
                <w:szCs w:val="21"/>
              </w:rPr>
              <w:t>升压站厨房油烟</w:t>
            </w:r>
            <w:r>
              <w:rPr>
                <w:spacing w:val="4"/>
                <w:sz w:val="21"/>
                <w:szCs w:val="21"/>
              </w:rPr>
              <w:t xml:space="preserve"> </w:t>
            </w:r>
            <w:r>
              <w:rPr>
                <w:spacing w:val="10"/>
                <w:sz w:val="21"/>
                <w:szCs w:val="21"/>
              </w:rPr>
              <w:t>经油烟净化器处</w:t>
            </w:r>
            <w:r>
              <w:rPr>
                <w:sz w:val="21"/>
                <w:szCs w:val="21"/>
              </w:rPr>
              <w:t xml:space="preserve"> </w:t>
            </w:r>
            <w:r>
              <w:rPr>
                <w:spacing w:val="-3"/>
                <w:sz w:val="21"/>
                <w:szCs w:val="21"/>
              </w:rPr>
              <w:t>理后排放</w:t>
            </w:r>
          </w:p>
        </w:tc>
        <w:tc>
          <w:tcPr>
            <w:tcW w:w="1583" w:type="dxa"/>
            <w:vAlign w:val="top"/>
          </w:tcPr>
          <w:p w14:paraId="3D5F0A8D">
            <w:pPr>
              <w:spacing w:line="259" w:lineRule="auto"/>
              <w:rPr>
                <w:rFonts w:ascii="Arial"/>
                <w:sz w:val="21"/>
              </w:rPr>
            </w:pPr>
          </w:p>
          <w:p w14:paraId="0A39970E">
            <w:pPr>
              <w:spacing w:line="260" w:lineRule="auto"/>
              <w:rPr>
                <w:rFonts w:ascii="Arial"/>
                <w:sz w:val="21"/>
              </w:rPr>
            </w:pPr>
          </w:p>
          <w:p w14:paraId="64E6876A">
            <w:pPr>
              <w:pStyle w:val="6"/>
              <w:tabs>
                <w:tab w:val="left" w:pos="257"/>
              </w:tabs>
              <w:spacing w:before="68" w:line="241" w:lineRule="auto"/>
              <w:ind w:left="139" w:right="58" w:firstLine="20"/>
              <w:rPr>
                <w:sz w:val="21"/>
                <w:szCs w:val="21"/>
              </w:rPr>
            </w:pPr>
            <w:r>
              <w:rPr>
                <w:spacing w:val="-2"/>
                <w:sz w:val="21"/>
                <w:szCs w:val="21"/>
              </w:rPr>
              <w:t>满足《饮食业</w:t>
            </w:r>
            <w:r>
              <w:rPr>
                <w:spacing w:val="1"/>
                <w:sz w:val="21"/>
                <w:szCs w:val="21"/>
              </w:rPr>
              <w:t xml:space="preserve">  </w:t>
            </w:r>
            <w:r>
              <w:rPr>
                <w:spacing w:val="-10"/>
                <w:sz w:val="21"/>
                <w:szCs w:val="21"/>
              </w:rPr>
              <w:t>油</w:t>
            </w:r>
            <w:r>
              <w:rPr>
                <w:spacing w:val="-26"/>
                <w:sz w:val="21"/>
                <w:szCs w:val="21"/>
              </w:rPr>
              <w:t xml:space="preserve"> </w:t>
            </w:r>
            <w:r>
              <w:rPr>
                <w:spacing w:val="-10"/>
                <w:sz w:val="21"/>
                <w:szCs w:val="21"/>
              </w:rPr>
              <w:t>烟</w:t>
            </w:r>
            <w:r>
              <w:rPr>
                <w:spacing w:val="-29"/>
                <w:sz w:val="21"/>
                <w:szCs w:val="21"/>
              </w:rPr>
              <w:t xml:space="preserve"> </w:t>
            </w:r>
            <w:r>
              <w:rPr>
                <w:spacing w:val="-10"/>
                <w:sz w:val="21"/>
                <w:szCs w:val="21"/>
              </w:rPr>
              <w:t>排</w:t>
            </w:r>
            <w:r>
              <w:rPr>
                <w:spacing w:val="-30"/>
                <w:sz w:val="21"/>
                <w:szCs w:val="21"/>
              </w:rPr>
              <w:t xml:space="preserve"> </w:t>
            </w:r>
            <w:r>
              <w:rPr>
                <w:spacing w:val="-10"/>
                <w:sz w:val="21"/>
                <w:szCs w:val="21"/>
              </w:rPr>
              <w:t>放</w:t>
            </w:r>
            <w:r>
              <w:rPr>
                <w:spacing w:val="-28"/>
                <w:sz w:val="21"/>
                <w:szCs w:val="21"/>
              </w:rPr>
              <w:t xml:space="preserve"> </w:t>
            </w:r>
            <w:r>
              <w:rPr>
                <w:spacing w:val="-10"/>
                <w:sz w:val="21"/>
                <w:szCs w:val="21"/>
              </w:rPr>
              <w:t>标</w:t>
            </w:r>
            <w:r>
              <w:rPr>
                <w:sz w:val="21"/>
                <w:szCs w:val="21"/>
              </w:rPr>
              <w:t xml:space="preserve"> </w:t>
            </w:r>
            <w:r>
              <w:rPr>
                <w:spacing w:val="-4"/>
                <w:sz w:val="21"/>
                <w:szCs w:val="21"/>
              </w:rPr>
              <w:t>准</w:t>
            </w:r>
            <w:r>
              <w:rPr>
                <w:spacing w:val="1"/>
                <w:sz w:val="21"/>
                <w:szCs w:val="21"/>
              </w:rPr>
              <w:t xml:space="preserve">         </w:t>
            </w:r>
            <w:r>
              <w:rPr>
                <w:spacing w:val="-4"/>
                <w:sz w:val="21"/>
                <w:szCs w:val="21"/>
              </w:rPr>
              <w:t>》</w:t>
            </w:r>
            <w:r>
              <w:rPr>
                <w:spacing w:val="7"/>
                <w:sz w:val="21"/>
                <w:szCs w:val="21"/>
              </w:rPr>
              <w:t xml:space="preserve"> </w:t>
            </w:r>
            <w:r>
              <w:rPr>
                <w:sz w:val="21"/>
                <w:szCs w:val="21"/>
              </w:rPr>
              <w:tab/>
            </w:r>
            <w:r>
              <w:rPr>
                <w:spacing w:val="-5"/>
                <w:sz w:val="21"/>
                <w:szCs w:val="21"/>
              </w:rPr>
              <w:t>(GB18483-2</w:t>
            </w:r>
            <w:r>
              <w:rPr>
                <w:spacing w:val="1"/>
                <w:sz w:val="21"/>
                <w:szCs w:val="21"/>
              </w:rPr>
              <w:t xml:space="preserve">   </w:t>
            </w:r>
            <w:r>
              <w:rPr>
                <w:spacing w:val="-8"/>
                <w:sz w:val="21"/>
                <w:szCs w:val="21"/>
              </w:rPr>
              <w:t>0</w:t>
            </w:r>
            <w:r>
              <w:rPr>
                <w:spacing w:val="-43"/>
                <w:sz w:val="21"/>
                <w:szCs w:val="21"/>
              </w:rPr>
              <w:t xml:space="preserve"> </w:t>
            </w:r>
            <w:r>
              <w:rPr>
                <w:spacing w:val="-8"/>
                <w:sz w:val="21"/>
                <w:szCs w:val="21"/>
              </w:rPr>
              <w:t>0</w:t>
            </w:r>
            <w:r>
              <w:rPr>
                <w:spacing w:val="-47"/>
                <w:sz w:val="21"/>
                <w:szCs w:val="21"/>
              </w:rPr>
              <w:t xml:space="preserve"> </w:t>
            </w:r>
            <w:r>
              <w:rPr>
                <w:spacing w:val="-8"/>
                <w:sz w:val="21"/>
                <w:szCs w:val="21"/>
              </w:rPr>
              <w:t>)</w:t>
            </w:r>
            <w:r>
              <w:rPr>
                <w:spacing w:val="-32"/>
                <w:sz w:val="21"/>
                <w:szCs w:val="21"/>
              </w:rPr>
              <w:t xml:space="preserve"> </w:t>
            </w:r>
            <w:r>
              <w:rPr>
                <w:spacing w:val="-8"/>
                <w:sz w:val="21"/>
                <w:szCs w:val="21"/>
              </w:rPr>
              <w:t>1</w:t>
            </w:r>
            <w:r>
              <w:rPr>
                <w:spacing w:val="-47"/>
                <w:sz w:val="21"/>
                <w:szCs w:val="21"/>
              </w:rPr>
              <w:t xml:space="preserve"> </w:t>
            </w:r>
            <w:r>
              <w:rPr>
                <w:spacing w:val="-8"/>
                <w:sz w:val="21"/>
                <w:szCs w:val="21"/>
              </w:rPr>
              <w:t>要</w:t>
            </w:r>
            <w:r>
              <w:rPr>
                <w:spacing w:val="-46"/>
                <w:sz w:val="21"/>
                <w:szCs w:val="21"/>
              </w:rPr>
              <w:t xml:space="preserve"> </w:t>
            </w:r>
            <w:r>
              <w:rPr>
                <w:spacing w:val="-8"/>
                <w:sz w:val="21"/>
                <w:szCs w:val="21"/>
              </w:rPr>
              <w:t>求</w:t>
            </w:r>
            <w:r>
              <w:rPr>
                <w:spacing w:val="-56"/>
                <w:sz w:val="21"/>
                <w:szCs w:val="21"/>
              </w:rPr>
              <w:t xml:space="preserve"> </w:t>
            </w:r>
            <w:r>
              <w:rPr>
                <w:spacing w:val="-8"/>
                <w:sz w:val="21"/>
                <w:szCs w:val="21"/>
              </w:rPr>
              <w:t>。</w:t>
            </w:r>
          </w:p>
        </w:tc>
      </w:tr>
      <w:tr w14:paraId="54B85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7" w:hRule="atLeast"/>
        </w:trPr>
        <w:tc>
          <w:tcPr>
            <w:tcW w:w="1233" w:type="dxa"/>
            <w:vAlign w:val="top"/>
          </w:tcPr>
          <w:p w14:paraId="2DE1BAC6">
            <w:pPr>
              <w:spacing w:line="251" w:lineRule="auto"/>
              <w:rPr>
                <w:rFonts w:ascii="Arial"/>
                <w:sz w:val="21"/>
              </w:rPr>
            </w:pPr>
          </w:p>
          <w:p w14:paraId="253C74F4">
            <w:pPr>
              <w:spacing w:line="251" w:lineRule="auto"/>
              <w:rPr>
                <w:rFonts w:ascii="Arial"/>
                <w:sz w:val="21"/>
              </w:rPr>
            </w:pPr>
          </w:p>
          <w:p w14:paraId="1D8578AC">
            <w:pPr>
              <w:spacing w:line="251" w:lineRule="auto"/>
              <w:rPr>
                <w:rFonts w:ascii="Arial"/>
                <w:sz w:val="21"/>
              </w:rPr>
            </w:pPr>
          </w:p>
          <w:p w14:paraId="1769565B">
            <w:pPr>
              <w:spacing w:line="251" w:lineRule="auto"/>
              <w:rPr>
                <w:rFonts w:ascii="Arial"/>
                <w:sz w:val="21"/>
              </w:rPr>
            </w:pPr>
          </w:p>
          <w:p w14:paraId="1D2F4964">
            <w:pPr>
              <w:spacing w:line="251" w:lineRule="auto"/>
              <w:rPr>
                <w:rFonts w:ascii="Arial"/>
                <w:sz w:val="21"/>
              </w:rPr>
            </w:pPr>
          </w:p>
          <w:p w14:paraId="5B6ADE14">
            <w:pPr>
              <w:spacing w:line="251" w:lineRule="auto"/>
              <w:rPr>
                <w:rFonts w:ascii="Arial"/>
                <w:sz w:val="21"/>
              </w:rPr>
            </w:pPr>
          </w:p>
          <w:p w14:paraId="2014E6DC">
            <w:pPr>
              <w:spacing w:line="251" w:lineRule="auto"/>
              <w:rPr>
                <w:rFonts w:ascii="Arial"/>
                <w:sz w:val="21"/>
              </w:rPr>
            </w:pPr>
          </w:p>
          <w:p w14:paraId="54C40432">
            <w:pPr>
              <w:spacing w:line="252" w:lineRule="auto"/>
              <w:rPr>
                <w:rFonts w:ascii="Arial"/>
                <w:sz w:val="21"/>
              </w:rPr>
            </w:pPr>
          </w:p>
          <w:p w14:paraId="4F774686">
            <w:pPr>
              <w:spacing w:line="252" w:lineRule="auto"/>
              <w:rPr>
                <w:rFonts w:ascii="Arial"/>
                <w:sz w:val="21"/>
              </w:rPr>
            </w:pPr>
          </w:p>
          <w:p w14:paraId="134AF1E7">
            <w:pPr>
              <w:pStyle w:val="6"/>
              <w:spacing w:before="68" w:line="220" w:lineRule="auto"/>
              <w:ind w:left="184"/>
              <w:rPr>
                <w:sz w:val="21"/>
                <w:szCs w:val="21"/>
              </w:rPr>
            </w:pPr>
            <w:r>
              <w:rPr>
                <w:spacing w:val="2"/>
                <w:sz w:val="21"/>
                <w:szCs w:val="21"/>
              </w:rPr>
              <w:t>固体废物</w:t>
            </w:r>
          </w:p>
        </w:tc>
        <w:tc>
          <w:tcPr>
            <w:tcW w:w="3006" w:type="dxa"/>
            <w:vAlign w:val="top"/>
          </w:tcPr>
          <w:p w14:paraId="1D35D316">
            <w:pPr>
              <w:spacing w:line="266" w:lineRule="auto"/>
              <w:rPr>
                <w:rFonts w:ascii="Arial"/>
                <w:sz w:val="21"/>
              </w:rPr>
            </w:pPr>
          </w:p>
          <w:p w14:paraId="6CF13F4C">
            <w:pPr>
              <w:spacing w:line="266" w:lineRule="auto"/>
              <w:rPr>
                <w:rFonts w:ascii="Arial"/>
                <w:sz w:val="21"/>
              </w:rPr>
            </w:pPr>
          </w:p>
          <w:p w14:paraId="1E91FB0A">
            <w:pPr>
              <w:spacing w:line="266" w:lineRule="auto"/>
              <w:rPr>
                <w:rFonts w:ascii="Arial"/>
                <w:sz w:val="21"/>
              </w:rPr>
            </w:pPr>
          </w:p>
          <w:p w14:paraId="2F38C83F">
            <w:pPr>
              <w:spacing w:line="266" w:lineRule="auto"/>
              <w:rPr>
                <w:rFonts w:ascii="Arial"/>
                <w:sz w:val="21"/>
              </w:rPr>
            </w:pPr>
          </w:p>
          <w:p w14:paraId="3E28FDE8">
            <w:pPr>
              <w:pStyle w:val="6"/>
              <w:spacing w:before="69" w:line="238" w:lineRule="auto"/>
              <w:ind w:left="111" w:right="118" w:firstLine="20"/>
              <w:rPr>
                <w:sz w:val="21"/>
                <w:szCs w:val="21"/>
              </w:rPr>
            </w:pPr>
            <w:r>
              <w:rPr>
                <w:spacing w:val="-1"/>
                <w:sz w:val="21"/>
                <w:szCs w:val="21"/>
              </w:rPr>
              <w:t>开挖土石方全部回填，不产生</w:t>
            </w:r>
            <w:r>
              <w:rPr>
                <w:spacing w:val="2"/>
                <w:sz w:val="21"/>
                <w:szCs w:val="21"/>
              </w:rPr>
              <w:t xml:space="preserve"> </w:t>
            </w:r>
            <w:r>
              <w:rPr>
                <w:sz w:val="21"/>
                <w:szCs w:val="21"/>
              </w:rPr>
              <w:t>永久性弃渣；建筑垃圾可回收</w:t>
            </w:r>
            <w:r>
              <w:rPr>
                <w:spacing w:val="9"/>
                <w:sz w:val="21"/>
                <w:szCs w:val="21"/>
              </w:rPr>
              <w:t xml:space="preserve"> </w:t>
            </w:r>
            <w:r>
              <w:rPr>
                <w:spacing w:val="2"/>
                <w:sz w:val="21"/>
                <w:szCs w:val="21"/>
              </w:rPr>
              <w:t>利用的部分材料回收处理，剩</w:t>
            </w:r>
            <w:r>
              <w:rPr>
                <w:spacing w:val="8"/>
                <w:sz w:val="21"/>
                <w:szCs w:val="21"/>
              </w:rPr>
              <w:t xml:space="preserve"> </w:t>
            </w:r>
            <w:r>
              <w:rPr>
                <w:sz w:val="21"/>
                <w:szCs w:val="21"/>
              </w:rPr>
              <w:t>余部分集中收集后统一清运至</w:t>
            </w:r>
            <w:r>
              <w:rPr>
                <w:spacing w:val="9"/>
                <w:sz w:val="21"/>
                <w:szCs w:val="21"/>
              </w:rPr>
              <w:t xml:space="preserve"> </w:t>
            </w:r>
            <w:r>
              <w:rPr>
                <w:spacing w:val="-1"/>
                <w:sz w:val="21"/>
                <w:szCs w:val="21"/>
              </w:rPr>
              <w:t>相关部门指定堆放点集中处</w:t>
            </w:r>
          </w:p>
          <w:p w14:paraId="5E2926DC">
            <w:pPr>
              <w:pStyle w:val="6"/>
              <w:spacing w:before="5" w:line="239" w:lineRule="auto"/>
              <w:ind w:left="91" w:right="115" w:firstLine="40"/>
              <w:rPr>
                <w:sz w:val="21"/>
                <w:szCs w:val="21"/>
              </w:rPr>
            </w:pPr>
            <w:r>
              <w:rPr>
                <w:spacing w:val="1"/>
                <w:sz w:val="21"/>
                <w:szCs w:val="21"/>
              </w:rPr>
              <w:t>理；旱厕定期委托周围农户定</w:t>
            </w:r>
            <w:r>
              <w:rPr>
                <w:sz w:val="21"/>
                <w:szCs w:val="21"/>
              </w:rPr>
              <w:t xml:space="preserve"> </w:t>
            </w:r>
            <w:r>
              <w:rPr>
                <w:spacing w:val="2"/>
                <w:sz w:val="21"/>
                <w:szCs w:val="21"/>
              </w:rPr>
              <w:t>期清掏用作农肥，施工生活垃 圾设临时垃圾堆放点，统一收</w:t>
            </w:r>
            <w:r>
              <w:rPr>
                <w:spacing w:val="3"/>
                <w:sz w:val="21"/>
                <w:szCs w:val="21"/>
              </w:rPr>
              <w:t xml:space="preserve"> </w:t>
            </w:r>
            <w:r>
              <w:rPr>
                <w:spacing w:val="4"/>
                <w:sz w:val="21"/>
                <w:szCs w:val="21"/>
              </w:rPr>
              <w:t>集后运至附近村庄垃圾收集点</w:t>
            </w:r>
            <w:r>
              <w:rPr>
                <w:spacing w:val="5"/>
                <w:sz w:val="21"/>
                <w:szCs w:val="21"/>
              </w:rPr>
              <w:t xml:space="preserve"> </w:t>
            </w:r>
            <w:r>
              <w:rPr>
                <w:spacing w:val="-2"/>
                <w:sz w:val="21"/>
                <w:szCs w:val="21"/>
              </w:rPr>
              <w:t>处理。</w:t>
            </w:r>
          </w:p>
        </w:tc>
        <w:tc>
          <w:tcPr>
            <w:tcW w:w="1239" w:type="dxa"/>
            <w:vAlign w:val="top"/>
          </w:tcPr>
          <w:p w14:paraId="1FF69E29">
            <w:pPr>
              <w:spacing w:line="268" w:lineRule="auto"/>
              <w:rPr>
                <w:rFonts w:ascii="Arial"/>
                <w:sz w:val="21"/>
              </w:rPr>
            </w:pPr>
          </w:p>
          <w:p w14:paraId="5685FB33">
            <w:pPr>
              <w:spacing w:line="269" w:lineRule="auto"/>
              <w:rPr>
                <w:rFonts w:ascii="Arial"/>
                <w:sz w:val="21"/>
              </w:rPr>
            </w:pPr>
          </w:p>
          <w:p w14:paraId="541EE06C">
            <w:pPr>
              <w:spacing w:line="269" w:lineRule="auto"/>
              <w:rPr>
                <w:rFonts w:ascii="Arial"/>
                <w:sz w:val="21"/>
              </w:rPr>
            </w:pPr>
          </w:p>
          <w:p w14:paraId="23DD6CC7">
            <w:pPr>
              <w:spacing w:line="269" w:lineRule="auto"/>
              <w:rPr>
                <w:rFonts w:ascii="Arial"/>
                <w:sz w:val="21"/>
              </w:rPr>
            </w:pPr>
          </w:p>
          <w:p w14:paraId="3046858A">
            <w:pPr>
              <w:spacing w:line="269" w:lineRule="auto"/>
              <w:rPr>
                <w:rFonts w:ascii="Arial"/>
                <w:sz w:val="21"/>
              </w:rPr>
            </w:pPr>
          </w:p>
          <w:p w14:paraId="3656DBAC">
            <w:pPr>
              <w:spacing w:line="269" w:lineRule="auto"/>
              <w:rPr>
                <w:rFonts w:ascii="Arial"/>
                <w:sz w:val="21"/>
              </w:rPr>
            </w:pPr>
          </w:p>
          <w:p w14:paraId="1E5F808A">
            <w:pPr>
              <w:spacing w:line="269" w:lineRule="auto"/>
              <w:rPr>
                <w:rFonts w:ascii="Arial"/>
                <w:sz w:val="21"/>
              </w:rPr>
            </w:pPr>
          </w:p>
          <w:p w14:paraId="0346095E">
            <w:pPr>
              <w:spacing w:line="269" w:lineRule="auto"/>
              <w:rPr>
                <w:rFonts w:ascii="Arial"/>
                <w:sz w:val="21"/>
              </w:rPr>
            </w:pPr>
          </w:p>
          <w:p w14:paraId="110C5C43">
            <w:pPr>
              <w:pStyle w:val="6"/>
              <w:spacing w:before="68" w:line="230" w:lineRule="auto"/>
              <w:ind w:left="106" w:right="85" w:hanging="10"/>
              <w:rPr>
                <w:sz w:val="21"/>
                <w:szCs w:val="21"/>
              </w:rPr>
            </w:pPr>
            <w:r>
              <w:rPr>
                <w:spacing w:val="-14"/>
                <w:sz w:val="21"/>
                <w:szCs w:val="21"/>
              </w:rPr>
              <w:t>固</w:t>
            </w:r>
            <w:r>
              <w:rPr>
                <w:spacing w:val="-18"/>
                <w:sz w:val="21"/>
                <w:szCs w:val="21"/>
              </w:rPr>
              <w:t xml:space="preserve"> </w:t>
            </w:r>
            <w:r>
              <w:rPr>
                <w:spacing w:val="-14"/>
                <w:sz w:val="21"/>
                <w:szCs w:val="21"/>
              </w:rPr>
              <w:t>废</w:t>
            </w:r>
            <w:r>
              <w:rPr>
                <w:spacing w:val="-15"/>
                <w:sz w:val="21"/>
                <w:szCs w:val="21"/>
              </w:rPr>
              <w:t xml:space="preserve"> </w:t>
            </w:r>
            <w:r>
              <w:rPr>
                <w:spacing w:val="-14"/>
                <w:sz w:val="21"/>
                <w:szCs w:val="21"/>
              </w:rPr>
              <w:t>处</w:t>
            </w:r>
            <w:r>
              <w:rPr>
                <w:spacing w:val="-20"/>
                <w:sz w:val="21"/>
                <w:szCs w:val="21"/>
              </w:rPr>
              <w:t xml:space="preserve"> </w:t>
            </w:r>
            <w:r>
              <w:rPr>
                <w:spacing w:val="-14"/>
                <w:sz w:val="21"/>
                <w:szCs w:val="21"/>
              </w:rPr>
              <w:t>置</w:t>
            </w:r>
            <w:r>
              <w:rPr>
                <w:sz w:val="21"/>
                <w:szCs w:val="21"/>
              </w:rPr>
              <w:t xml:space="preserve"> </w:t>
            </w:r>
            <w:r>
              <w:rPr>
                <w:spacing w:val="21"/>
                <w:w w:val="111"/>
                <w:sz w:val="21"/>
                <w:szCs w:val="21"/>
              </w:rPr>
              <w:t>率100%</w:t>
            </w:r>
          </w:p>
        </w:tc>
        <w:tc>
          <w:tcPr>
            <w:tcW w:w="1998" w:type="dxa"/>
            <w:vAlign w:val="top"/>
          </w:tcPr>
          <w:p w14:paraId="494D8117">
            <w:pPr>
              <w:pStyle w:val="6"/>
              <w:spacing w:before="45" w:line="239" w:lineRule="auto"/>
              <w:ind w:left="116" w:right="97" w:firstLine="40"/>
              <w:jc w:val="both"/>
              <w:rPr>
                <w:sz w:val="21"/>
                <w:szCs w:val="21"/>
              </w:rPr>
            </w:pPr>
            <w:r>
              <w:rPr>
                <w:spacing w:val="-2"/>
                <w:sz w:val="21"/>
                <w:szCs w:val="21"/>
              </w:rPr>
              <w:t>生活垃圾收集后运</w:t>
            </w:r>
            <w:r>
              <w:rPr>
                <w:spacing w:val="5"/>
                <w:sz w:val="21"/>
                <w:szCs w:val="21"/>
              </w:rPr>
              <w:t xml:space="preserve"> </w:t>
            </w:r>
            <w:r>
              <w:rPr>
                <w:spacing w:val="3"/>
                <w:sz w:val="21"/>
                <w:szCs w:val="21"/>
              </w:rPr>
              <w:t>至项目附近村庄垃</w:t>
            </w:r>
            <w:r>
              <w:rPr>
                <w:spacing w:val="5"/>
                <w:sz w:val="21"/>
                <w:szCs w:val="21"/>
              </w:rPr>
              <w:t xml:space="preserve"> </w:t>
            </w:r>
            <w:r>
              <w:rPr>
                <w:spacing w:val="3"/>
                <w:sz w:val="21"/>
                <w:szCs w:val="21"/>
              </w:rPr>
              <w:t>圾收集点，由当地</w:t>
            </w:r>
            <w:r>
              <w:rPr>
                <w:spacing w:val="5"/>
                <w:sz w:val="21"/>
                <w:szCs w:val="21"/>
              </w:rPr>
              <w:t xml:space="preserve"> </w:t>
            </w:r>
            <w:r>
              <w:rPr>
                <w:spacing w:val="3"/>
                <w:sz w:val="21"/>
                <w:szCs w:val="21"/>
              </w:rPr>
              <w:t>环卫部门统一处理</w:t>
            </w:r>
            <w:r>
              <w:rPr>
                <w:spacing w:val="6"/>
                <w:sz w:val="21"/>
                <w:szCs w:val="21"/>
              </w:rPr>
              <w:t xml:space="preserve"> 处置；化粪池及一</w:t>
            </w:r>
            <w:r>
              <w:rPr>
                <w:spacing w:val="2"/>
                <w:sz w:val="21"/>
                <w:szCs w:val="21"/>
              </w:rPr>
              <w:t xml:space="preserve"> </w:t>
            </w:r>
            <w:r>
              <w:rPr>
                <w:spacing w:val="3"/>
                <w:sz w:val="21"/>
                <w:szCs w:val="21"/>
              </w:rPr>
              <w:t>体化污水处理设施</w:t>
            </w:r>
            <w:r>
              <w:rPr>
                <w:spacing w:val="6"/>
                <w:sz w:val="21"/>
                <w:szCs w:val="21"/>
              </w:rPr>
              <w:t xml:space="preserve"> 运行污泥清掏后作</w:t>
            </w:r>
            <w:r>
              <w:rPr>
                <w:spacing w:val="4"/>
                <w:sz w:val="21"/>
                <w:szCs w:val="21"/>
              </w:rPr>
              <w:t xml:space="preserve"> </w:t>
            </w:r>
            <w:r>
              <w:rPr>
                <w:spacing w:val="8"/>
                <w:sz w:val="21"/>
                <w:szCs w:val="21"/>
              </w:rPr>
              <w:t>为农肥使用；废旧</w:t>
            </w:r>
            <w:r>
              <w:rPr>
                <w:sz w:val="21"/>
                <w:szCs w:val="21"/>
              </w:rPr>
              <w:t xml:space="preserve"> </w:t>
            </w:r>
            <w:r>
              <w:rPr>
                <w:spacing w:val="7"/>
                <w:sz w:val="21"/>
                <w:szCs w:val="21"/>
              </w:rPr>
              <w:t>太阳能电池板集中</w:t>
            </w:r>
            <w:r>
              <w:rPr>
                <w:spacing w:val="5"/>
                <w:sz w:val="21"/>
                <w:szCs w:val="21"/>
              </w:rPr>
              <w:t xml:space="preserve"> </w:t>
            </w:r>
            <w:r>
              <w:rPr>
                <w:spacing w:val="43"/>
                <w:sz w:val="21"/>
                <w:szCs w:val="21"/>
              </w:rPr>
              <w:t>收集至升压站库</w:t>
            </w:r>
            <w:r>
              <w:rPr>
                <w:spacing w:val="1"/>
                <w:sz w:val="21"/>
                <w:szCs w:val="21"/>
              </w:rPr>
              <w:t xml:space="preserve"> </w:t>
            </w:r>
            <w:r>
              <w:rPr>
                <w:spacing w:val="3"/>
                <w:sz w:val="21"/>
                <w:szCs w:val="21"/>
              </w:rPr>
              <w:t>房，由厂家回收处</w:t>
            </w:r>
            <w:r>
              <w:rPr>
                <w:spacing w:val="5"/>
                <w:sz w:val="21"/>
                <w:szCs w:val="21"/>
              </w:rPr>
              <w:t xml:space="preserve"> </w:t>
            </w:r>
            <w:r>
              <w:rPr>
                <w:spacing w:val="6"/>
                <w:sz w:val="21"/>
                <w:szCs w:val="21"/>
              </w:rPr>
              <w:t>理；废润滑油、废</w:t>
            </w:r>
            <w:r>
              <w:rPr>
                <w:spacing w:val="1"/>
                <w:sz w:val="21"/>
                <w:szCs w:val="21"/>
              </w:rPr>
              <w:t xml:space="preserve"> </w:t>
            </w:r>
            <w:r>
              <w:rPr>
                <w:spacing w:val="3"/>
                <w:sz w:val="21"/>
                <w:szCs w:val="21"/>
              </w:rPr>
              <w:t>变压器油暂存于危</w:t>
            </w:r>
            <w:r>
              <w:rPr>
                <w:spacing w:val="6"/>
                <w:sz w:val="21"/>
                <w:szCs w:val="21"/>
              </w:rPr>
              <w:t xml:space="preserve"> </w:t>
            </w:r>
            <w:r>
              <w:rPr>
                <w:spacing w:val="4"/>
                <w:sz w:val="21"/>
                <w:szCs w:val="21"/>
              </w:rPr>
              <w:t>废暂存间，委托有</w:t>
            </w:r>
            <w:r>
              <w:rPr>
                <w:sz w:val="21"/>
                <w:szCs w:val="21"/>
              </w:rPr>
              <w:t xml:space="preserve"> </w:t>
            </w:r>
            <w:r>
              <w:rPr>
                <w:spacing w:val="7"/>
                <w:sz w:val="21"/>
                <w:szCs w:val="21"/>
              </w:rPr>
              <w:t>危险废物回收资质</w:t>
            </w:r>
          </w:p>
          <w:p w14:paraId="0162493C">
            <w:pPr>
              <w:pStyle w:val="6"/>
              <w:spacing w:before="3" w:line="220" w:lineRule="auto"/>
              <w:ind w:left="96" w:right="106" w:firstLine="110"/>
              <w:jc w:val="both"/>
              <w:rPr>
                <w:sz w:val="21"/>
                <w:szCs w:val="21"/>
              </w:rPr>
            </w:pPr>
            <w:r>
              <w:rPr>
                <w:spacing w:val="-1"/>
                <w:sz w:val="21"/>
                <w:szCs w:val="21"/>
              </w:rPr>
              <w:t>的单位妥善处理，</w:t>
            </w:r>
            <w:r>
              <w:rPr>
                <w:spacing w:val="1"/>
                <w:sz w:val="21"/>
                <w:szCs w:val="21"/>
              </w:rPr>
              <w:t xml:space="preserve"> </w:t>
            </w:r>
            <w:r>
              <w:rPr>
                <w:spacing w:val="8"/>
                <w:sz w:val="21"/>
                <w:szCs w:val="21"/>
              </w:rPr>
              <w:t>严格执行危废转移</w:t>
            </w:r>
            <w:r>
              <w:rPr>
                <w:spacing w:val="6"/>
                <w:sz w:val="21"/>
                <w:szCs w:val="21"/>
              </w:rPr>
              <w:t xml:space="preserve"> </w:t>
            </w:r>
            <w:r>
              <w:rPr>
                <w:spacing w:val="-1"/>
                <w:sz w:val="21"/>
                <w:szCs w:val="21"/>
              </w:rPr>
              <w:t>联单制度。</w:t>
            </w:r>
          </w:p>
        </w:tc>
        <w:tc>
          <w:tcPr>
            <w:tcW w:w="1583" w:type="dxa"/>
            <w:vAlign w:val="top"/>
          </w:tcPr>
          <w:p w14:paraId="2145B268">
            <w:pPr>
              <w:spacing w:line="269" w:lineRule="auto"/>
              <w:rPr>
                <w:rFonts w:ascii="Arial"/>
                <w:sz w:val="21"/>
              </w:rPr>
            </w:pPr>
          </w:p>
          <w:p w14:paraId="4AC87BCD">
            <w:pPr>
              <w:spacing w:line="270" w:lineRule="auto"/>
              <w:rPr>
                <w:rFonts w:ascii="Arial"/>
                <w:sz w:val="21"/>
              </w:rPr>
            </w:pPr>
          </w:p>
          <w:p w14:paraId="6EA51CB7">
            <w:pPr>
              <w:spacing w:line="270" w:lineRule="auto"/>
              <w:rPr>
                <w:rFonts w:ascii="Arial"/>
                <w:sz w:val="21"/>
              </w:rPr>
            </w:pPr>
          </w:p>
          <w:p w14:paraId="07666E3B">
            <w:pPr>
              <w:spacing w:line="270" w:lineRule="auto"/>
              <w:rPr>
                <w:rFonts w:ascii="Arial"/>
                <w:sz w:val="21"/>
              </w:rPr>
            </w:pPr>
          </w:p>
          <w:p w14:paraId="757EB1FA">
            <w:pPr>
              <w:spacing w:line="270" w:lineRule="auto"/>
              <w:rPr>
                <w:rFonts w:ascii="Arial"/>
                <w:sz w:val="21"/>
              </w:rPr>
            </w:pPr>
          </w:p>
          <w:p w14:paraId="63339F23">
            <w:pPr>
              <w:spacing w:line="270" w:lineRule="auto"/>
              <w:rPr>
                <w:rFonts w:ascii="Arial"/>
                <w:sz w:val="21"/>
              </w:rPr>
            </w:pPr>
          </w:p>
          <w:p w14:paraId="2C6A8E60">
            <w:pPr>
              <w:spacing w:line="270" w:lineRule="auto"/>
              <w:rPr>
                <w:rFonts w:ascii="Arial"/>
                <w:sz w:val="21"/>
              </w:rPr>
            </w:pPr>
          </w:p>
          <w:p w14:paraId="0277EE08">
            <w:pPr>
              <w:spacing w:line="270" w:lineRule="auto"/>
              <w:rPr>
                <w:rFonts w:ascii="Arial"/>
                <w:sz w:val="21"/>
              </w:rPr>
            </w:pPr>
          </w:p>
          <w:p w14:paraId="7C396C51">
            <w:pPr>
              <w:pStyle w:val="6"/>
              <w:spacing w:before="69" w:line="251" w:lineRule="auto"/>
              <w:ind w:left="98" w:right="74" w:hanging="10"/>
              <w:rPr>
                <w:sz w:val="21"/>
                <w:szCs w:val="21"/>
              </w:rPr>
            </w:pPr>
            <w:r>
              <w:rPr>
                <w:spacing w:val="-10"/>
                <w:sz w:val="21"/>
                <w:szCs w:val="21"/>
              </w:rPr>
              <w:t>固 废</w:t>
            </w:r>
            <w:r>
              <w:rPr>
                <w:spacing w:val="7"/>
                <w:sz w:val="21"/>
                <w:szCs w:val="21"/>
              </w:rPr>
              <w:t xml:space="preserve"> </w:t>
            </w:r>
            <w:r>
              <w:rPr>
                <w:spacing w:val="-10"/>
                <w:sz w:val="21"/>
                <w:szCs w:val="21"/>
              </w:rPr>
              <w:t>处 置</w:t>
            </w:r>
            <w:r>
              <w:rPr>
                <w:spacing w:val="1"/>
                <w:sz w:val="21"/>
                <w:szCs w:val="21"/>
              </w:rPr>
              <w:t xml:space="preserve"> </w:t>
            </w:r>
            <w:r>
              <w:rPr>
                <w:spacing w:val="-10"/>
                <w:sz w:val="21"/>
                <w:szCs w:val="21"/>
              </w:rPr>
              <w:t>率</w:t>
            </w:r>
            <w:r>
              <w:rPr>
                <w:sz w:val="21"/>
                <w:szCs w:val="21"/>
              </w:rPr>
              <w:t xml:space="preserve"> </w:t>
            </w:r>
            <w:r>
              <w:rPr>
                <w:spacing w:val="-5"/>
                <w:sz w:val="21"/>
                <w:szCs w:val="21"/>
              </w:rPr>
              <w:t>100%</w:t>
            </w:r>
          </w:p>
        </w:tc>
      </w:tr>
      <w:tr w14:paraId="61DD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7" w:hRule="atLeast"/>
        </w:trPr>
        <w:tc>
          <w:tcPr>
            <w:tcW w:w="1233" w:type="dxa"/>
            <w:vAlign w:val="top"/>
          </w:tcPr>
          <w:p w14:paraId="5BB9BC3E">
            <w:pPr>
              <w:spacing w:line="266" w:lineRule="auto"/>
              <w:rPr>
                <w:rFonts w:ascii="Arial"/>
                <w:sz w:val="21"/>
              </w:rPr>
            </w:pPr>
          </w:p>
          <w:p w14:paraId="286C4D4B">
            <w:pPr>
              <w:spacing w:line="266" w:lineRule="auto"/>
              <w:rPr>
                <w:rFonts w:ascii="Arial"/>
                <w:sz w:val="21"/>
              </w:rPr>
            </w:pPr>
          </w:p>
          <w:p w14:paraId="23269141">
            <w:pPr>
              <w:spacing w:line="266" w:lineRule="auto"/>
              <w:rPr>
                <w:rFonts w:ascii="Arial"/>
                <w:sz w:val="21"/>
              </w:rPr>
            </w:pPr>
          </w:p>
          <w:p w14:paraId="29E0C21B">
            <w:pPr>
              <w:spacing w:line="266" w:lineRule="auto"/>
              <w:rPr>
                <w:rFonts w:ascii="Arial"/>
                <w:sz w:val="21"/>
              </w:rPr>
            </w:pPr>
          </w:p>
          <w:p w14:paraId="2440CEAD">
            <w:pPr>
              <w:spacing w:line="267" w:lineRule="auto"/>
              <w:rPr>
                <w:rFonts w:ascii="Arial"/>
                <w:sz w:val="21"/>
              </w:rPr>
            </w:pPr>
          </w:p>
          <w:p w14:paraId="52A2F09F">
            <w:pPr>
              <w:spacing w:line="267" w:lineRule="auto"/>
              <w:rPr>
                <w:rFonts w:ascii="Arial"/>
                <w:sz w:val="21"/>
              </w:rPr>
            </w:pPr>
          </w:p>
          <w:p w14:paraId="59C39CA9">
            <w:pPr>
              <w:pStyle w:val="6"/>
              <w:spacing w:before="68" w:line="220" w:lineRule="auto"/>
              <w:ind w:left="184"/>
              <w:rPr>
                <w:sz w:val="21"/>
                <w:szCs w:val="21"/>
              </w:rPr>
            </w:pPr>
            <w:r>
              <w:rPr>
                <w:spacing w:val="2"/>
                <w:sz w:val="21"/>
                <w:szCs w:val="21"/>
              </w:rPr>
              <w:t>电磁环境</w:t>
            </w:r>
          </w:p>
        </w:tc>
        <w:tc>
          <w:tcPr>
            <w:tcW w:w="6243" w:type="dxa"/>
            <w:gridSpan w:val="3"/>
            <w:vAlign w:val="top"/>
          </w:tcPr>
          <w:p w14:paraId="0D593E3B">
            <w:pPr>
              <w:pStyle w:val="6"/>
              <w:spacing w:before="44" w:line="219" w:lineRule="auto"/>
              <w:ind w:left="182"/>
              <w:rPr>
                <w:sz w:val="21"/>
                <w:szCs w:val="21"/>
              </w:rPr>
            </w:pPr>
            <w:r>
              <w:rPr>
                <w:sz w:val="21"/>
                <w:szCs w:val="21"/>
              </w:rPr>
              <w:t>(1)升压站内电气设备采取集中布置，在设计阶段应按有关规程</w:t>
            </w:r>
          </w:p>
          <w:p w14:paraId="3D4771AB">
            <w:pPr>
              <w:pStyle w:val="6"/>
              <w:spacing w:before="20" w:line="234" w:lineRule="auto"/>
              <w:ind w:left="101" w:right="58" w:hanging="10"/>
              <w:rPr>
                <w:sz w:val="21"/>
                <w:szCs w:val="21"/>
              </w:rPr>
            </w:pPr>
            <w:r>
              <w:rPr>
                <w:sz w:val="21"/>
                <w:szCs w:val="21"/>
              </w:rPr>
              <w:t>采取控制过电压、电磁感应场强水平的措施，</w:t>
            </w:r>
            <w:r>
              <w:rPr>
                <w:spacing w:val="-1"/>
                <w:sz w:val="21"/>
                <w:szCs w:val="21"/>
              </w:rPr>
              <w:t>保证导体和电气设备</w:t>
            </w:r>
            <w:r>
              <w:rPr>
                <w:sz w:val="21"/>
                <w:szCs w:val="21"/>
              </w:rPr>
              <w:t xml:space="preserve"> </w:t>
            </w:r>
            <w:r>
              <w:rPr>
                <w:spacing w:val="10"/>
                <w:sz w:val="21"/>
                <w:szCs w:val="21"/>
              </w:rPr>
              <w:t>之间的电气安全距离；</w:t>
            </w:r>
          </w:p>
          <w:p w14:paraId="3F3B73A5">
            <w:pPr>
              <w:pStyle w:val="6"/>
              <w:spacing w:before="29" w:line="234" w:lineRule="auto"/>
              <w:ind w:left="101" w:right="56" w:firstLine="90"/>
              <w:rPr>
                <w:sz w:val="21"/>
                <w:szCs w:val="21"/>
              </w:rPr>
            </w:pPr>
            <w:r>
              <w:rPr>
                <w:spacing w:val="3"/>
                <w:sz w:val="21"/>
                <w:szCs w:val="21"/>
              </w:rPr>
              <w:t>(2)电器设备选型中应合理选用电气设备及金属配件(如保护环、</w:t>
            </w:r>
            <w:r>
              <w:rPr>
                <w:spacing w:val="13"/>
                <w:sz w:val="21"/>
                <w:szCs w:val="21"/>
              </w:rPr>
              <w:t xml:space="preserve"> </w:t>
            </w:r>
            <w:r>
              <w:rPr>
                <w:sz w:val="21"/>
                <w:szCs w:val="21"/>
              </w:rPr>
              <w:t>垫片、接头等),选用具有低辐射、抗干扰能力的设备，设置防雷</w:t>
            </w:r>
            <w:r>
              <w:rPr>
                <w:spacing w:val="5"/>
                <w:sz w:val="21"/>
                <w:szCs w:val="21"/>
              </w:rPr>
              <w:t xml:space="preserve">  </w:t>
            </w:r>
            <w:r>
              <w:rPr>
                <w:spacing w:val="4"/>
                <w:sz w:val="21"/>
                <w:szCs w:val="21"/>
              </w:rPr>
              <w:t>接地保护装置，选用带屏蔽层的电缆、屏蔽层接地；</w:t>
            </w:r>
          </w:p>
          <w:p w14:paraId="0E11CCA1">
            <w:pPr>
              <w:pStyle w:val="6"/>
              <w:spacing w:before="21" w:line="223" w:lineRule="auto"/>
              <w:ind w:left="101" w:right="260" w:firstLine="90"/>
              <w:rPr>
                <w:sz w:val="21"/>
                <w:szCs w:val="21"/>
              </w:rPr>
            </w:pPr>
            <w:r>
              <w:rPr>
                <w:sz w:val="21"/>
                <w:szCs w:val="21"/>
              </w:rPr>
              <w:t>(3)使用合理、优良的绝缘子来减少绝缘子的表面放电，尽量使</w:t>
            </w:r>
            <w:r>
              <w:rPr>
                <w:spacing w:val="4"/>
                <w:sz w:val="21"/>
                <w:szCs w:val="21"/>
              </w:rPr>
              <w:t xml:space="preserve"> 用能改善绝缘子表面或沿绝缘子串电压分布的保护装置；</w:t>
            </w:r>
          </w:p>
          <w:p w14:paraId="4573EF7C">
            <w:pPr>
              <w:pStyle w:val="6"/>
              <w:spacing w:before="40" w:line="219" w:lineRule="auto"/>
              <w:ind w:left="182"/>
              <w:rPr>
                <w:sz w:val="21"/>
                <w:szCs w:val="21"/>
              </w:rPr>
            </w:pPr>
            <w:r>
              <w:rPr>
                <w:spacing w:val="3"/>
                <w:sz w:val="21"/>
                <w:szCs w:val="21"/>
              </w:rPr>
              <w:t>(4)对大功率的电磁振荡设备采取必要的屏蔽，密封机箱的孔、</w:t>
            </w:r>
          </w:p>
          <w:p w14:paraId="402ECB78">
            <w:pPr>
              <w:pStyle w:val="6"/>
              <w:spacing w:before="22" w:line="219" w:lineRule="auto"/>
              <w:ind w:left="91" w:right="21" w:firstLine="20"/>
              <w:rPr>
                <w:sz w:val="21"/>
                <w:szCs w:val="21"/>
              </w:rPr>
            </w:pPr>
            <w:r>
              <w:rPr>
                <w:sz w:val="21"/>
                <w:szCs w:val="21"/>
              </w:rPr>
              <w:t>口、门缝的连接处；控制箱、断路器端子箱、设备的放油阀门及分</w:t>
            </w:r>
            <w:r>
              <w:rPr>
                <w:spacing w:val="8"/>
                <w:sz w:val="21"/>
                <w:szCs w:val="21"/>
              </w:rPr>
              <w:t xml:space="preserve"> </w:t>
            </w:r>
            <w:r>
              <w:rPr>
                <w:sz w:val="21"/>
                <w:szCs w:val="21"/>
              </w:rPr>
              <w:t>接开关尽量布置在较低场强区，以便于运行和检</w:t>
            </w:r>
            <w:r>
              <w:rPr>
                <w:spacing w:val="-1"/>
                <w:sz w:val="21"/>
                <w:szCs w:val="21"/>
              </w:rPr>
              <w:t>修人员接近。</w:t>
            </w:r>
          </w:p>
          <w:p w14:paraId="72510AF4">
            <w:pPr>
              <w:pStyle w:val="6"/>
              <w:spacing w:before="51" w:line="208" w:lineRule="auto"/>
              <w:ind w:left="111" w:right="267" w:firstLine="70"/>
              <w:rPr>
                <w:sz w:val="21"/>
                <w:szCs w:val="21"/>
              </w:rPr>
            </w:pPr>
            <w:r>
              <w:rPr>
                <w:sz w:val="21"/>
                <w:szCs w:val="21"/>
              </w:rPr>
              <w:t>(5)在危险区域设立相应的警示标志，并做好警示宣传工作，项</w:t>
            </w:r>
            <w:r>
              <w:rPr>
                <w:spacing w:val="7"/>
                <w:sz w:val="21"/>
                <w:szCs w:val="21"/>
              </w:rPr>
              <w:t xml:space="preserve"> </w:t>
            </w:r>
            <w:r>
              <w:rPr>
                <w:spacing w:val="-1"/>
                <w:sz w:val="21"/>
                <w:szCs w:val="21"/>
              </w:rPr>
              <w:t>目位置设置安全警示图文标志。</w:t>
            </w:r>
          </w:p>
        </w:tc>
        <w:tc>
          <w:tcPr>
            <w:tcW w:w="1583" w:type="dxa"/>
            <w:vAlign w:val="top"/>
          </w:tcPr>
          <w:p w14:paraId="5CA071D8">
            <w:pPr>
              <w:spacing w:line="267" w:lineRule="auto"/>
              <w:rPr>
                <w:rFonts w:ascii="Arial"/>
                <w:sz w:val="21"/>
              </w:rPr>
            </w:pPr>
          </w:p>
          <w:p w14:paraId="78198A11">
            <w:pPr>
              <w:spacing w:line="267" w:lineRule="auto"/>
              <w:rPr>
                <w:rFonts w:ascii="Arial"/>
                <w:sz w:val="21"/>
              </w:rPr>
            </w:pPr>
          </w:p>
          <w:p w14:paraId="3DE1088A">
            <w:pPr>
              <w:spacing w:line="268" w:lineRule="auto"/>
              <w:rPr>
                <w:rFonts w:ascii="Arial"/>
                <w:sz w:val="21"/>
              </w:rPr>
            </w:pPr>
          </w:p>
          <w:p w14:paraId="4C69B777">
            <w:pPr>
              <w:pStyle w:val="6"/>
              <w:spacing w:before="68" w:line="219" w:lineRule="auto"/>
              <w:ind w:left="48"/>
              <w:rPr>
                <w:sz w:val="21"/>
                <w:szCs w:val="21"/>
              </w:rPr>
            </w:pPr>
            <w:r>
              <w:rPr>
                <w:spacing w:val="-2"/>
                <w:sz w:val="21"/>
                <w:szCs w:val="21"/>
              </w:rPr>
              <w:t>满足《电磁环境</w:t>
            </w:r>
          </w:p>
          <w:p w14:paraId="73C62A0B">
            <w:pPr>
              <w:pStyle w:val="6"/>
              <w:spacing w:before="10" w:line="219" w:lineRule="auto"/>
              <w:jc w:val="right"/>
              <w:rPr>
                <w:sz w:val="21"/>
                <w:szCs w:val="21"/>
              </w:rPr>
            </w:pPr>
            <w:r>
              <w:rPr>
                <w:spacing w:val="-13"/>
                <w:sz w:val="21"/>
                <w:szCs w:val="21"/>
              </w:rPr>
              <w:t>控 制</w:t>
            </w:r>
            <w:r>
              <w:rPr>
                <w:spacing w:val="18"/>
                <w:sz w:val="21"/>
                <w:szCs w:val="21"/>
              </w:rPr>
              <w:t xml:space="preserve"> </w:t>
            </w:r>
            <w:r>
              <w:rPr>
                <w:spacing w:val="-13"/>
                <w:sz w:val="21"/>
                <w:szCs w:val="21"/>
              </w:rPr>
              <w:t>限</w:t>
            </w:r>
            <w:r>
              <w:rPr>
                <w:spacing w:val="1"/>
                <w:sz w:val="21"/>
                <w:szCs w:val="21"/>
              </w:rPr>
              <w:t xml:space="preserve"> </w:t>
            </w:r>
            <w:r>
              <w:rPr>
                <w:spacing w:val="-13"/>
                <w:sz w:val="21"/>
                <w:szCs w:val="21"/>
              </w:rPr>
              <w:t>值</w:t>
            </w:r>
            <w:r>
              <w:rPr>
                <w:spacing w:val="13"/>
                <w:sz w:val="21"/>
                <w:szCs w:val="21"/>
              </w:rPr>
              <w:t xml:space="preserve"> </w:t>
            </w:r>
            <w:r>
              <w:rPr>
                <w:spacing w:val="-13"/>
                <w:sz w:val="21"/>
                <w:szCs w:val="21"/>
              </w:rPr>
              <w:t>》</w:t>
            </w:r>
          </w:p>
          <w:p w14:paraId="6023AF99">
            <w:pPr>
              <w:pStyle w:val="6"/>
              <w:spacing w:before="43" w:line="217" w:lineRule="auto"/>
              <w:ind w:left="258"/>
              <w:rPr>
                <w:sz w:val="21"/>
                <w:szCs w:val="21"/>
              </w:rPr>
            </w:pPr>
            <w:r>
              <w:rPr>
                <w:spacing w:val="-10"/>
                <w:sz w:val="21"/>
                <w:szCs w:val="21"/>
              </w:rPr>
              <w:t>(GB8702—20</w:t>
            </w:r>
          </w:p>
          <w:p w14:paraId="09AD9021">
            <w:pPr>
              <w:pStyle w:val="6"/>
              <w:spacing w:line="219" w:lineRule="auto"/>
              <w:ind w:left="88"/>
              <w:rPr>
                <w:sz w:val="21"/>
                <w:szCs w:val="21"/>
              </w:rPr>
            </w:pPr>
            <w:r>
              <w:rPr>
                <w:spacing w:val="36"/>
                <w:sz w:val="21"/>
                <w:szCs w:val="21"/>
              </w:rPr>
              <w:t>14)中频率为</w:t>
            </w:r>
          </w:p>
          <w:p w14:paraId="4CDDBCB2">
            <w:pPr>
              <w:pStyle w:val="6"/>
              <w:spacing w:before="32" w:line="220" w:lineRule="auto"/>
              <w:ind w:left="159"/>
              <w:rPr>
                <w:sz w:val="21"/>
                <w:szCs w:val="21"/>
              </w:rPr>
            </w:pPr>
            <w:r>
              <w:rPr>
                <w:spacing w:val="17"/>
                <w:sz w:val="21"/>
                <w:szCs w:val="21"/>
              </w:rPr>
              <w:t>50</w:t>
            </w:r>
            <w:r>
              <w:rPr>
                <w:sz w:val="21"/>
                <w:szCs w:val="21"/>
              </w:rPr>
              <w:t>Hz</w:t>
            </w:r>
            <w:r>
              <w:rPr>
                <w:spacing w:val="17"/>
                <w:sz w:val="21"/>
                <w:szCs w:val="21"/>
              </w:rPr>
              <w:t>的电场、</w:t>
            </w:r>
          </w:p>
          <w:p w14:paraId="771FC10E">
            <w:pPr>
              <w:pStyle w:val="6"/>
              <w:spacing w:before="19" w:line="219" w:lineRule="auto"/>
              <w:ind w:left="159"/>
              <w:rPr>
                <w:sz w:val="21"/>
                <w:szCs w:val="21"/>
              </w:rPr>
            </w:pPr>
            <w:r>
              <w:rPr>
                <w:spacing w:val="-2"/>
                <w:sz w:val="21"/>
                <w:szCs w:val="21"/>
              </w:rPr>
              <w:t>磁场公众曝露</w:t>
            </w:r>
          </w:p>
          <w:p w14:paraId="2E0FE618">
            <w:pPr>
              <w:pStyle w:val="6"/>
              <w:spacing w:before="31" w:line="219" w:lineRule="auto"/>
              <w:ind w:left="78"/>
              <w:rPr>
                <w:sz w:val="21"/>
                <w:szCs w:val="21"/>
              </w:rPr>
            </w:pPr>
            <w:r>
              <w:rPr>
                <w:spacing w:val="-2"/>
                <w:sz w:val="21"/>
                <w:szCs w:val="21"/>
              </w:rPr>
              <w:t>控制限值</w:t>
            </w:r>
          </w:p>
        </w:tc>
      </w:tr>
      <w:tr w14:paraId="7E334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1233" w:type="dxa"/>
            <w:vAlign w:val="top"/>
          </w:tcPr>
          <w:p w14:paraId="330C4A01">
            <w:pPr>
              <w:spacing w:line="258" w:lineRule="auto"/>
              <w:rPr>
                <w:rFonts w:ascii="Arial"/>
                <w:sz w:val="21"/>
              </w:rPr>
            </w:pPr>
          </w:p>
          <w:p w14:paraId="3DEDF77A">
            <w:pPr>
              <w:spacing w:line="259" w:lineRule="auto"/>
              <w:rPr>
                <w:rFonts w:ascii="Arial"/>
                <w:sz w:val="21"/>
              </w:rPr>
            </w:pPr>
          </w:p>
          <w:p w14:paraId="17EE2CF7">
            <w:pPr>
              <w:pStyle w:val="6"/>
              <w:spacing w:before="69" w:line="220" w:lineRule="auto"/>
              <w:ind w:left="184"/>
              <w:rPr>
                <w:sz w:val="21"/>
                <w:szCs w:val="21"/>
              </w:rPr>
            </w:pPr>
            <w:r>
              <w:rPr>
                <w:spacing w:val="-2"/>
                <w:sz w:val="21"/>
                <w:szCs w:val="21"/>
              </w:rPr>
              <w:t>环境风险</w:t>
            </w:r>
          </w:p>
        </w:tc>
        <w:tc>
          <w:tcPr>
            <w:tcW w:w="7826" w:type="dxa"/>
            <w:gridSpan w:val="4"/>
            <w:vAlign w:val="top"/>
          </w:tcPr>
          <w:p w14:paraId="769EB97C">
            <w:pPr>
              <w:pStyle w:val="6"/>
              <w:spacing w:before="38" w:line="219" w:lineRule="auto"/>
              <w:ind w:left="231"/>
              <w:rPr>
                <w:sz w:val="21"/>
                <w:szCs w:val="21"/>
              </w:rPr>
            </w:pPr>
            <w:r>
              <w:rPr>
                <w:sz w:val="21"/>
                <w:szCs w:val="21"/>
              </w:rPr>
              <w:t>升压站内主变压器处设置1个集油坑和1个事故油池，事故油池设置为地埋式，容</w:t>
            </w:r>
          </w:p>
          <w:p w14:paraId="7E758C1A">
            <w:pPr>
              <w:pStyle w:val="6"/>
              <w:spacing w:before="19" w:line="230" w:lineRule="auto"/>
              <w:ind w:left="101" w:right="124" w:firstLine="129"/>
              <w:rPr>
                <w:sz w:val="21"/>
                <w:szCs w:val="21"/>
              </w:rPr>
            </w:pPr>
            <w:r>
              <w:rPr>
                <w:spacing w:val="5"/>
                <w:sz w:val="21"/>
                <w:szCs w:val="21"/>
              </w:rPr>
              <w:t>积为45m³。光伏阵列区51台箱变配置51个集油坑，单个集油坑容积不低于1m³。</w:t>
            </w:r>
            <w:r>
              <w:rPr>
                <w:spacing w:val="9"/>
                <w:sz w:val="21"/>
                <w:szCs w:val="21"/>
              </w:rPr>
              <w:t xml:space="preserve"> </w:t>
            </w:r>
            <w:r>
              <w:rPr>
                <w:sz w:val="21"/>
                <w:szCs w:val="21"/>
              </w:rPr>
              <w:t>箱变集油坑雨季增加检查频率排水，增加排水频率。采用钢筋混凝土结构，满足单</w:t>
            </w:r>
            <w:r>
              <w:rPr>
                <w:spacing w:val="9"/>
                <w:sz w:val="21"/>
                <w:szCs w:val="21"/>
              </w:rPr>
              <w:t xml:space="preserve"> </w:t>
            </w:r>
            <w:r>
              <w:rPr>
                <w:spacing w:val="1"/>
                <w:sz w:val="21"/>
                <w:szCs w:val="21"/>
              </w:rPr>
              <w:t>台主变压器或箱变事故后排油存储。发生变压器油泄漏事故时，</w:t>
            </w:r>
            <w:r>
              <w:rPr>
                <w:sz w:val="21"/>
                <w:szCs w:val="21"/>
              </w:rPr>
              <w:t xml:space="preserve">事故油收集至变压 </w:t>
            </w:r>
            <w:r>
              <w:rPr>
                <w:spacing w:val="-1"/>
                <w:sz w:val="21"/>
                <w:szCs w:val="21"/>
              </w:rPr>
              <w:t>器下方事故池，并按要求落实应急反应体系。</w:t>
            </w:r>
          </w:p>
        </w:tc>
      </w:tr>
    </w:tbl>
    <w:p w14:paraId="51538076">
      <w:pPr>
        <w:pStyle w:val="2"/>
      </w:pPr>
    </w:p>
    <w:p w14:paraId="3FB856DA">
      <w:pPr>
        <w:sectPr>
          <w:footerReference r:id="rId134" w:type="default"/>
          <w:pgSz w:w="11910" w:h="16840"/>
          <w:pgMar w:top="1431" w:right="1435" w:bottom="1269" w:left="1405" w:header="0" w:footer="1089" w:gutter="0"/>
          <w:cols w:space="720" w:num="1"/>
        </w:sectPr>
      </w:pPr>
    </w:p>
    <w:p w14:paraId="34979A82">
      <w:pPr>
        <w:spacing w:line="93" w:lineRule="exact"/>
      </w:pPr>
    </w:p>
    <w:tbl>
      <w:tblPr>
        <w:tblStyle w:val="5"/>
        <w:tblW w:w="9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3017"/>
        <w:gridCol w:w="1238"/>
        <w:gridCol w:w="1968"/>
        <w:gridCol w:w="1603"/>
      </w:tblGrid>
      <w:tr w14:paraId="34FCF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1" w:hRule="atLeast"/>
        </w:trPr>
        <w:tc>
          <w:tcPr>
            <w:tcW w:w="1243" w:type="dxa"/>
            <w:vMerge w:val="restart"/>
            <w:tcBorders>
              <w:bottom w:val="nil"/>
            </w:tcBorders>
            <w:vAlign w:val="top"/>
          </w:tcPr>
          <w:p w14:paraId="7F98905F">
            <w:pPr>
              <w:spacing w:line="255" w:lineRule="auto"/>
              <w:rPr>
                <w:rFonts w:ascii="Arial"/>
                <w:sz w:val="21"/>
              </w:rPr>
            </w:pPr>
          </w:p>
          <w:p w14:paraId="5CD4DC81">
            <w:pPr>
              <w:spacing w:line="255" w:lineRule="auto"/>
              <w:rPr>
                <w:rFonts w:ascii="Arial"/>
                <w:sz w:val="21"/>
              </w:rPr>
            </w:pPr>
          </w:p>
          <w:p w14:paraId="7096798E">
            <w:pPr>
              <w:spacing w:line="255" w:lineRule="auto"/>
              <w:rPr>
                <w:rFonts w:ascii="Arial"/>
                <w:sz w:val="21"/>
              </w:rPr>
            </w:pPr>
          </w:p>
          <w:p w14:paraId="25D01FFC">
            <w:pPr>
              <w:spacing w:line="255" w:lineRule="auto"/>
              <w:rPr>
                <w:rFonts w:ascii="Arial"/>
                <w:sz w:val="21"/>
              </w:rPr>
            </w:pPr>
          </w:p>
          <w:p w14:paraId="0CF02ADD">
            <w:pPr>
              <w:spacing w:line="255" w:lineRule="auto"/>
              <w:rPr>
                <w:rFonts w:ascii="Arial"/>
                <w:sz w:val="21"/>
              </w:rPr>
            </w:pPr>
          </w:p>
          <w:p w14:paraId="26E31744">
            <w:pPr>
              <w:spacing w:line="255" w:lineRule="auto"/>
              <w:rPr>
                <w:rFonts w:ascii="Arial"/>
                <w:sz w:val="21"/>
              </w:rPr>
            </w:pPr>
          </w:p>
          <w:p w14:paraId="7FE4E456">
            <w:pPr>
              <w:spacing w:line="255" w:lineRule="auto"/>
              <w:rPr>
                <w:rFonts w:ascii="Arial"/>
                <w:sz w:val="21"/>
              </w:rPr>
            </w:pPr>
          </w:p>
          <w:p w14:paraId="3C68C9F1">
            <w:pPr>
              <w:spacing w:line="255" w:lineRule="auto"/>
              <w:rPr>
                <w:rFonts w:ascii="Arial"/>
                <w:sz w:val="21"/>
              </w:rPr>
            </w:pPr>
          </w:p>
          <w:p w14:paraId="2646FD4D">
            <w:pPr>
              <w:spacing w:line="256" w:lineRule="auto"/>
              <w:rPr>
                <w:rFonts w:ascii="Arial"/>
                <w:sz w:val="21"/>
              </w:rPr>
            </w:pPr>
          </w:p>
          <w:p w14:paraId="08250A59">
            <w:pPr>
              <w:spacing w:line="256" w:lineRule="auto"/>
              <w:rPr>
                <w:rFonts w:ascii="Arial"/>
                <w:sz w:val="21"/>
              </w:rPr>
            </w:pPr>
          </w:p>
          <w:p w14:paraId="686933AE">
            <w:pPr>
              <w:spacing w:line="256" w:lineRule="auto"/>
              <w:rPr>
                <w:rFonts w:ascii="Arial"/>
                <w:sz w:val="21"/>
              </w:rPr>
            </w:pPr>
          </w:p>
          <w:p w14:paraId="1A6BDEC8">
            <w:pPr>
              <w:spacing w:line="256" w:lineRule="auto"/>
              <w:rPr>
                <w:rFonts w:ascii="Arial"/>
                <w:sz w:val="21"/>
              </w:rPr>
            </w:pPr>
          </w:p>
          <w:p w14:paraId="66B235B9">
            <w:pPr>
              <w:pStyle w:val="6"/>
              <w:spacing w:before="71" w:line="220" w:lineRule="auto"/>
              <w:ind w:left="174"/>
              <w:rPr>
                <w:sz w:val="22"/>
                <w:szCs w:val="22"/>
              </w:rPr>
            </w:pPr>
            <w:r>
              <w:rPr>
                <w:spacing w:val="4"/>
                <w:sz w:val="22"/>
                <w:szCs w:val="22"/>
              </w:rPr>
              <w:t>环境监测</w:t>
            </w:r>
          </w:p>
        </w:tc>
        <w:tc>
          <w:tcPr>
            <w:tcW w:w="3017" w:type="dxa"/>
            <w:vAlign w:val="top"/>
          </w:tcPr>
          <w:p w14:paraId="1F88249D">
            <w:pPr>
              <w:spacing w:line="260" w:lineRule="auto"/>
              <w:rPr>
                <w:rFonts w:ascii="Arial"/>
                <w:sz w:val="21"/>
              </w:rPr>
            </w:pPr>
          </w:p>
          <w:p w14:paraId="0483E908">
            <w:pPr>
              <w:spacing w:line="261" w:lineRule="auto"/>
              <w:rPr>
                <w:rFonts w:ascii="Arial"/>
                <w:sz w:val="21"/>
              </w:rPr>
            </w:pPr>
          </w:p>
          <w:p w14:paraId="4D37C673">
            <w:pPr>
              <w:spacing w:line="261" w:lineRule="auto"/>
              <w:rPr>
                <w:rFonts w:ascii="Arial"/>
                <w:sz w:val="21"/>
              </w:rPr>
            </w:pPr>
          </w:p>
          <w:p w14:paraId="40B9165F">
            <w:pPr>
              <w:spacing w:line="261" w:lineRule="auto"/>
              <w:rPr>
                <w:rFonts w:ascii="Arial"/>
                <w:sz w:val="21"/>
              </w:rPr>
            </w:pPr>
          </w:p>
          <w:p w14:paraId="051BB084">
            <w:pPr>
              <w:pStyle w:val="6"/>
              <w:spacing w:before="72" w:line="225" w:lineRule="auto"/>
              <w:ind w:left="122" w:right="143" w:firstLine="20"/>
              <w:rPr>
                <w:sz w:val="22"/>
                <w:szCs w:val="22"/>
              </w:rPr>
            </w:pPr>
            <w:r>
              <w:rPr>
                <w:spacing w:val="1"/>
                <w:sz w:val="22"/>
                <w:szCs w:val="22"/>
              </w:rPr>
              <w:t>施工场地场界上风向布设1</w:t>
            </w:r>
            <w:r>
              <w:rPr>
                <w:spacing w:val="4"/>
                <w:sz w:val="22"/>
                <w:szCs w:val="22"/>
              </w:rPr>
              <w:t xml:space="preserve">  </w:t>
            </w:r>
            <w:r>
              <w:rPr>
                <w:spacing w:val="-1"/>
                <w:sz w:val="22"/>
                <w:szCs w:val="22"/>
              </w:rPr>
              <w:t>个对照点、下风向布设2个监</w:t>
            </w:r>
            <w:r>
              <w:rPr>
                <w:spacing w:val="3"/>
                <w:sz w:val="22"/>
                <w:szCs w:val="22"/>
              </w:rPr>
              <w:t xml:space="preserve"> </w:t>
            </w:r>
            <w:r>
              <w:rPr>
                <w:spacing w:val="-1"/>
                <w:sz w:val="22"/>
                <w:szCs w:val="22"/>
              </w:rPr>
              <w:t>测点，监测大气中的TSP</w:t>
            </w:r>
          </w:p>
        </w:tc>
        <w:tc>
          <w:tcPr>
            <w:tcW w:w="1238" w:type="dxa"/>
            <w:vAlign w:val="top"/>
          </w:tcPr>
          <w:p w14:paraId="5B4C2F75">
            <w:pPr>
              <w:pStyle w:val="6"/>
              <w:spacing w:before="34" w:line="219" w:lineRule="auto"/>
              <w:ind w:left="65"/>
              <w:rPr>
                <w:sz w:val="22"/>
                <w:szCs w:val="22"/>
              </w:rPr>
            </w:pPr>
            <w:r>
              <w:rPr>
                <w:spacing w:val="2"/>
                <w:sz w:val="22"/>
                <w:szCs w:val="22"/>
              </w:rPr>
              <w:t>满足《大气</w:t>
            </w:r>
          </w:p>
          <w:p w14:paraId="6196C521">
            <w:pPr>
              <w:pStyle w:val="6"/>
              <w:spacing w:before="9" w:line="220" w:lineRule="auto"/>
              <w:ind w:left="174"/>
              <w:rPr>
                <w:sz w:val="22"/>
                <w:szCs w:val="22"/>
              </w:rPr>
            </w:pPr>
            <w:r>
              <w:rPr>
                <w:spacing w:val="-2"/>
                <w:sz w:val="22"/>
                <w:szCs w:val="22"/>
              </w:rPr>
              <w:t>污染物综</w:t>
            </w:r>
          </w:p>
          <w:p w14:paraId="4CC0EDC9">
            <w:pPr>
              <w:pStyle w:val="6"/>
              <w:spacing w:before="7" w:line="220" w:lineRule="auto"/>
              <w:ind w:left="174"/>
              <w:rPr>
                <w:sz w:val="22"/>
                <w:szCs w:val="22"/>
              </w:rPr>
            </w:pPr>
            <w:r>
              <w:rPr>
                <w:spacing w:val="-2"/>
                <w:sz w:val="22"/>
                <w:szCs w:val="22"/>
              </w:rPr>
              <w:t>合排放标</w:t>
            </w:r>
          </w:p>
          <w:p w14:paraId="1F1AA29D">
            <w:pPr>
              <w:pStyle w:val="6"/>
              <w:spacing w:before="8" w:line="221" w:lineRule="auto"/>
              <w:ind w:left="125"/>
              <w:rPr>
                <w:sz w:val="22"/>
                <w:szCs w:val="22"/>
              </w:rPr>
            </w:pPr>
            <w:r>
              <w:rPr>
                <w:spacing w:val="-6"/>
                <w:sz w:val="22"/>
                <w:szCs w:val="22"/>
              </w:rPr>
              <w:t>准</w:t>
            </w:r>
            <w:r>
              <w:rPr>
                <w:spacing w:val="20"/>
                <w:sz w:val="22"/>
                <w:szCs w:val="22"/>
              </w:rPr>
              <w:t xml:space="preserve">    </w:t>
            </w:r>
            <w:r>
              <w:rPr>
                <w:spacing w:val="-6"/>
                <w:sz w:val="22"/>
                <w:szCs w:val="22"/>
              </w:rPr>
              <w:t>》</w:t>
            </w:r>
          </w:p>
          <w:p w14:paraId="14664587">
            <w:pPr>
              <w:pStyle w:val="6"/>
              <w:spacing w:before="28" w:line="223" w:lineRule="auto"/>
              <w:ind w:left="115" w:right="110" w:firstLine="109"/>
              <w:rPr>
                <w:sz w:val="22"/>
                <w:szCs w:val="22"/>
              </w:rPr>
            </w:pPr>
            <w:r>
              <w:rPr>
                <w:spacing w:val="-7"/>
                <w:sz w:val="22"/>
                <w:szCs w:val="22"/>
              </w:rPr>
              <w:t>(GB1629</w:t>
            </w:r>
            <w:r>
              <w:rPr>
                <w:sz w:val="22"/>
                <w:szCs w:val="22"/>
              </w:rPr>
              <w:t xml:space="preserve">  </w:t>
            </w:r>
            <w:r>
              <w:rPr>
                <w:spacing w:val="1"/>
                <w:sz w:val="22"/>
                <w:szCs w:val="22"/>
              </w:rPr>
              <w:t xml:space="preserve">7-1996)表 </w:t>
            </w:r>
            <w:r>
              <w:rPr>
                <w:spacing w:val="2"/>
                <w:sz w:val="22"/>
                <w:szCs w:val="22"/>
              </w:rPr>
              <w:t>2中无组织</w:t>
            </w:r>
          </w:p>
          <w:p w14:paraId="0E9C4940">
            <w:pPr>
              <w:pStyle w:val="6"/>
              <w:spacing w:before="1" w:line="213" w:lineRule="auto"/>
              <w:ind w:left="65" w:right="13" w:firstLine="109"/>
              <w:rPr>
                <w:sz w:val="22"/>
                <w:szCs w:val="22"/>
              </w:rPr>
            </w:pPr>
            <w:r>
              <w:rPr>
                <w:spacing w:val="-3"/>
                <w:sz w:val="22"/>
                <w:szCs w:val="22"/>
              </w:rPr>
              <w:t>排放监控</w:t>
            </w:r>
            <w:r>
              <w:rPr>
                <w:spacing w:val="1"/>
                <w:sz w:val="22"/>
                <w:szCs w:val="22"/>
              </w:rPr>
              <w:t xml:space="preserve">  </w:t>
            </w:r>
            <w:r>
              <w:rPr>
                <w:spacing w:val="9"/>
                <w:sz w:val="22"/>
                <w:szCs w:val="22"/>
              </w:rPr>
              <w:t>浓度限值，</w:t>
            </w:r>
            <w:r>
              <w:rPr>
                <w:spacing w:val="3"/>
                <w:sz w:val="22"/>
                <w:szCs w:val="22"/>
              </w:rPr>
              <w:t xml:space="preserve"> </w:t>
            </w:r>
            <w:r>
              <w:rPr>
                <w:sz w:val="22"/>
                <w:szCs w:val="22"/>
              </w:rPr>
              <w:t>TSP</w:t>
            </w:r>
            <w:r>
              <w:rPr>
                <w:spacing w:val="14"/>
                <w:sz w:val="22"/>
                <w:szCs w:val="22"/>
              </w:rPr>
              <w:t>≤1</w:t>
            </w:r>
            <w:r>
              <w:rPr>
                <w:sz w:val="22"/>
                <w:szCs w:val="22"/>
              </w:rPr>
              <w:t>mg</w:t>
            </w:r>
            <w:r>
              <w:rPr>
                <w:spacing w:val="14"/>
                <w:sz w:val="22"/>
                <w:szCs w:val="22"/>
              </w:rPr>
              <w:t>/</w:t>
            </w:r>
            <w:r>
              <w:rPr>
                <w:sz w:val="22"/>
                <w:szCs w:val="22"/>
              </w:rPr>
              <w:t xml:space="preserve">  </w:t>
            </w:r>
            <w:r>
              <w:rPr>
                <w:spacing w:val="-6"/>
                <w:sz w:val="22"/>
                <w:szCs w:val="22"/>
              </w:rPr>
              <w:t>m³。</w:t>
            </w:r>
          </w:p>
        </w:tc>
        <w:tc>
          <w:tcPr>
            <w:tcW w:w="1968" w:type="dxa"/>
            <w:vAlign w:val="top"/>
          </w:tcPr>
          <w:p w14:paraId="5412218F">
            <w:pPr>
              <w:spacing w:line="261" w:lineRule="auto"/>
              <w:rPr>
                <w:rFonts w:ascii="Arial"/>
                <w:sz w:val="21"/>
              </w:rPr>
            </w:pPr>
          </w:p>
          <w:p w14:paraId="091D8788">
            <w:pPr>
              <w:spacing w:line="261" w:lineRule="auto"/>
              <w:rPr>
                <w:rFonts w:ascii="Arial"/>
                <w:sz w:val="21"/>
              </w:rPr>
            </w:pPr>
          </w:p>
          <w:p w14:paraId="42638E91">
            <w:pPr>
              <w:spacing w:line="261" w:lineRule="auto"/>
              <w:rPr>
                <w:rFonts w:ascii="Arial"/>
                <w:sz w:val="21"/>
              </w:rPr>
            </w:pPr>
          </w:p>
          <w:p w14:paraId="0D08DFE7">
            <w:pPr>
              <w:spacing w:line="261" w:lineRule="auto"/>
              <w:rPr>
                <w:rFonts w:ascii="Arial"/>
                <w:sz w:val="21"/>
              </w:rPr>
            </w:pPr>
          </w:p>
          <w:p w14:paraId="359D89E8">
            <w:pPr>
              <w:pStyle w:val="6"/>
              <w:spacing w:before="72" w:line="224" w:lineRule="auto"/>
              <w:ind w:left="96" w:right="110"/>
              <w:jc w:val="both"/>
              <w:rPr>
                <w:sz w:val="22"/>
                <w:szCs w:val="22"/>
              </w:rPr>
            </w:pPr>
            <w:r>
              <w:rPr>
                <w:spacing w:val="-2"/>
                <w:sz w:val="22"/>
                <w:szCs w:val="22"/>
              </w:rPr>
              <w:t>监测：竣工环境保</w:t>
            </w:r>
            <w:r>
              <w:rPr>
                <w:spacing w:val="5"/>
                <w:sz w:val="22"/>
                <w:szCs w:val="22"/>
              </w:rPr>
              <w:t xml:space="preserve"> </w:t>
            </w:r>
            <w:r>
              <w:rPr>
                <w:spacing w:val="9"/>
                <w:sz w:val="22"/>
                <w:szCs w:val="22"/>
              </w:rPr>
              <w:t>护验收1次，后期</w:t>
            </w:r>
            <w:r>
              <w:rPr>
                <w:spacing w:val="1"/>
                <w:sz w:val="22"/>
                <w:szCs w:val="22"/>
              </w:rPr>
              <w:t xml:space="preserve"> </w:t>
            </w:r>
            <w:r>
              <w:rPr>
                <w:sz w:val="22"/>
                <w:szCs w:val="22"/>
              </w:rPr>
              <w:t>管理不作要求。</w:t>
            </w:r>
          </w:p>
        </w:tc>
        <w:tc>
          <w:tcPr>
            <w:tcW w:w="1603" w:type="dxa"/>
            <w:vAlign w:val="top"/>
          </w:tcPr>
          <w:p w14:paraId="236F511B">
            <w:pPr>
              <w:spacing w:line="299" w:lineRule="auto"/>
              <w:rPr>
                <w:rFonts w:ascii="Arial"/>
                <w:sz w:val="21"/>
              </w:rPr>
            </w:pPr>
          </w:p>
          <w:p w14:paraId="295007D8">
            <w:pPr>
              <w:spacing w:line="299" w:lineRule="auto"/>
              <w:rPr>
                <w:rFonts w:ascii="Arial"/>
                <w:sz w:val="21"/>
              </w:rPr>
            </w:pPr>
          </w:p>
          <w:p w14:paraId="619019E2">
            <w:pPr>
              <w:spacing w:line="299" w:lineRule="auto"/>
              <w:rPr>
                <w:rFonts w:ascii="Arial"/>
                <w:sz w:val="21"/>
              </w:rPr>
            </w:pPr>
          </w:p>
          <w:p w14:paraId="0799A44E">
            <w:pPr>
              <w:pStyle w:val="6"/>
              <w:spacing w:before="71" w:line="233" w:lineRule="auto"/>
              <w:ind w:left="138" w:right="24" w:hanging="110"/>
              <w:rPr>
                <w:sz w:val="22"/>
                <w:szCs w:val="22"/>
              </w:rPr>
            </w:pPr>
            <w:r>
              <w:rPr>
                <w:spacing w:val="-2"/>
                <w:sz w:val="22"/>
                <w:szCs w:val="22"/>
              </w:rPr>
              <w:t>满足《电磁环境</w:t>
            </w:r>
            <w:r>
              <w:rPr>
                <w:spacing w:val="4"/>
                <w:sz w:val="22"/>
                <w:szCs w:val="22"/>
              </w:rPr>
              <w:t xml:space="preserve"> </w:t>
            </w:r>
            <w:r>
              <w:rPr>
                <w:spacing w:val="-13"/>
                <w:sz w:val="22"/>
                <w:szCs w:val="22"/>
              </w:rPr>
              <w:t>控</w:t>
            </w:r>
            <w:r>
              <w:rPr>
                <w:spacing w:val="-8"/>
                <w:sz w:val="22"/>
                <w:szCs w:val="22"/>
              </w:rPr>
              <w:t xml:space="preserve"> </w:t>
            </w:r>
            <w:r>
              <w:rPr>
                <w:spacing w:val="-13"/>
                <w:sz w:val="22"/>
                <w:szCs w:val="22"/>
              </w:rPr>
              <w:t>制 限 值 》</w:t>
            </w:r>
            <w:r>
              <w:rPr>
                <w:sz w:val="22"/>
                <w:szCs w:val="22"/>
              </w:rPr>
              <w:t xml:space="preserve"> (GB8702-201</w:t>
            </w:r>
          </w:p>
          <w:p w14:paraId="1F88A9AC">
            <w:pPr>
              <w:pStyle w:val="6"/>
              <w:spacing w:line="222" w:lineRule="auto"/>
              <w:ind w:left="98"/>
              <w:rPr>
                <w:sz w:val="22"/>
                <w:szCs w:val="22"/>
              </w:rPr>
            </w:pPr>
            <w:r>
              <w:rPr>
                <w:spacing w:val="-2"/>
                <w:sz w:val="22"/>
                <w:szCs w:val="22"/>
              </w:rPr>
              <w:t>4)</w:t>
            </w:r>
          </w:p>
        </w:tc>
      </w:tr>
      <w:tr w14:paraId="44128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7" w:hRule="atLeast"/>
        </w:trPr>
        <w:tc>
          <w:tcPr>
            <w:tcW w:w="1243" w:type="dxa"/>
            <w:vMerge w:val="continue"/>
            <w:tcBorders>
              <w:top w:val="nil"/>
              <w:bottom w:val="nil"/>
            </w:tcBorders>
            <w:vAlign w:val="top"/>
          </w:tcPr>
          <w:p w14:paraId="3FD937D5">
            <w:pPr>
              <w:rPr>
                <w:rFonts w:ascii="Arial"/>
                <w:sz w:val="21"/>
              </w:rPr>
            </w:pPr>
          </w:p>
        </w:tc>
        <w:tc>
          <w:tcPr>
            <w:tcW w:w="3017" w:type="dxa"/>
            <w:vAlign w:val="top"/>
          </w:tcPr>
          <w:p w14:paraId="36F5D174">
            <w:pPr>
              <w:spacing w:line="253" w:lineRule="auto"/>
              <w:rPr>
                <w:rFonts w:ascii="Arial"/>
                <w:sz w:val="21"/>
              </w:rPr>
            </w:pPr>
          </w:p>
          <w:p w14:paraId="7FD53C47">
            <w:pPr>
              <w:spacing w:line="254" w:lineRule="auto"/>
              <w:rPr>
                <w:rFonts w:ascii="Arial"/>
                <w:sz w:val="21"/>
              </w:rPr>
            </w:pPr>
          </w:p>
          <w:p w14:paraId="0A388F7A">
            <w:pPr>
              <w:pStyle w:val="6"/>
              <w:spacing w:before="71" w:line="230" w:lineRule="auto"/>
              <w:ind w:left="122" w:right="32"/>
              <w:rPr>
                <w:sz w:val="22"/>
                <w:szCs w:val="22"/>
              </w:rPr>
            </w:pPr>
            <w:r>
              <w:rPr>
                <w:spacing w:val="-1"/>
                <w:sz w:val="22"/>
                <w:szCs w:val="22"/>
              </w:rPr>
              <w:t>施工区东、南、西、北场界噪</w:t>
            </w:r>
            <w:r>
              <w:rPr>
                <w:spacing w:val="4"/>
                <w:sz w:val="22"/>
                <w:szCs w:val="22"/>
              </w:rPr>
              <w:t xml:space="preserve"> </w:t>
            </w:r>
            <w:r>
              <w:rPr>
                <w:sz w:val="22"/>
                <w:szCs w:val="22"/>
              </w:rPr>
              <w:t>声</w:t>
            </w:r>
          </w:p>
        </w:tc>
        <w:tc>
          <w:tcPr>
            <w:tcW w:w="1238" w:type="dxa"/>
            <w:vAlign w:val="top"/>
          </w:tcPr>
          <w:p w14:paraId="4429A967">
            <w:pPr>
              <w:pStyle w:val="6"/>
              <w:spacing w:before="52" w:line="211" w:lineRule="auto"/>
              <w:ind w:left="65"/>
              <w:rPr>
                <w:sz w:val="22"/>
                <w:szCs w:val="22"/>
              </w:rPr>
            </w:pPr>
            <w:r>
              <w:rPr>
                <w:spacing w:val="-2"/>
                <w:sz w:val="22"/>
                <w:szCs w:val="22"/>
              </w:rPr>
              <w:t>满足《建筑</w:t>
            </w:r>
          </w:p>
          <w:p w14:paraId="1109446B">
            <w:pPr>
              <w:pStyle w:val="6"/>
              <w:spacing w:line="220" w:lineRule="auto"/>
              <w:ind w:left="174"/>
              <w:rPr>
                <w:sz w:val="22"/>
                <w:szCs w:val="22"/>
              </w:rPr>
            </w:pPr>
            <w:r>
              <w:rPr>
                <w:spacing w:val="-2"/>
                <w:sz w:val="22"/>
                <w:szCs w:val="22"/>
              </w:rPr>
              <w:t>施工场界</w:t>
            </w:r>
          </w:p>
          <w:p w14:paraId="4CECB025">
            <w:pPr>
              <w:pStyle w:val="6"/>
              <w:spacing w:before="17" w:line="220" w:lineRule="auto"/>
              <w:ind w:left="174"/>
              <w:rPr>
                <w:sz w:val="22"/>
                <w:szCs w:val="22"/>
              </w:rPr>
            </w:pPr>
            <w:r>
              <w:rPr>
                <w:spacing w:val="3"/>
                <w:sz w:val="22"/>
                <w:szCs w:val="22"/>
              </w:rPr>
              <w:t>环境噪声</w:t>
            </w:r>
          </w:p>
          <w:p w14:paraId="76A8AB4B">
            <w:pPr>
              <w:pStyle w:val="6"/>
              <w:spacing w:before="17" w:line="219" w:lineRule="auto"/>
              <w:ind w:left="115"/>
              <w:rPr>
                <w:sz w:val="22"/>
                <w:szCs w:val="22"/>
              </w:rPr>
            </w:pPr>
            <w:r>
              <w:rPr>
                <w:spacing w:val="-3"/>
                <w:sz w:val="22"/>
                <w:szCs w:val="22"/>
              </w:rPr>
              <w:t>排放限值》</w:t>
            </w:r>
          </w:p>
          <w:p w14:paraId="1E167945">
            <w:pPr>
              <w:pStyle w:val="6"/>
              <w:spacing w:before="31" w:line="202" w:lineRule="auto"/>
              <w:ind w:left="224"/>
              <w:rPr>
                <w:sz w:val="22"/>
                <w:szCs w:val="22"/>
              </w:rPr>
            </w:pPr>
            <w:r>
              <w:rPr>
                <w:spacing w:val="-6"/>
                <w:sz w:val="22"/>
                <w:szCs w:val="22"/>
              </w:rPr>
              <w:t>(GB1252</w:t>
            </w:r>
          </w:p>
          <w:p w14:paraId="447D8ED2">
            <w:pPr>
              <w:pStyle w:val="6"/>
              <w:spacing w:line="193" w:lineRule="auto"/>
              <w:ind w:left="95"/>
              <w:rPr>
                <w:sz w:val="22"/>
                <w:szCs w:val="22"/>
              </w:rPr>
            </w:pPr>
            <w:r>
              <w:rPr>
                <w:spacing w:val="-2"/>
                <w:sz w:val="22"/>
                <w:szCs w:val="22"/>
              </w:rPr>
              <w:t>3-2011)</w:t>
            </w:r>
          </w:p>
        </w:tc>
        <w:tc>
          <w:tcPr>
            <w:tcW w:w="1968" w:type="dxa"/>
            <w:vAlign w:val="top"/>
          </w:tcPr>
          <w:p w14:paraId="12EEE7E9">
            <w:pPr>
              <w:spacing w:line="387" w:lineRule="auto"/>
              <w:rPr>
                <w:rFonts w:ascii="Arial"/>
                <w:sz w:val="21"/>
              </w:rPr>
            </w:pPr>
          </w:p>
          <w:p w14:paraId="7C52A171">
            <w:pPr>
              <w:pStyle w:val="6"/>
              <w:spacing w:before="71" w:line="229" w:lineRule="auto"/>
              <w:ind w:left="86" w:right="40" w:firstLine="70"/>
              <w:jc w:val="both"/>
              <w:rPr>
                <w:sz w:val="22"/>
                <w:szCs w:val="22"/>
              </w:rPr>
            </w:pPr>
            <w:r>
              <w:rPr>
                <w:spacing w:val="13"/>
                <w:sz w:val="22"/>
                <w:szCs w:val="22"/>
              </w:rPr>
              <w:t>220</w:t>
            </w:r>
            <w:r>
              <w:rPr>
                <w:sz w:val="22"/>
                <w:szCs w:val="22"/>
              </w:rPr>
              <w:t>kV</w:t>
            </w:r>
            <w:r>
              <w:rPr>
                <w:spacing w:val="13"/>
                <w:sz w:val="22"/>
                <w:szCs w:val="22"/>
              </w:rPr>
              <w:t>升压站东、</w:t>
            </w:r>
            <w:r>
              <w:rPr>
                <w:spacing w:val="5"/>
                <w:sz w:val="22"/>
                <w:szCs w:val="22"/>
              </w:rPr>
              <w:t xml:space="preserve"> </w:t>
            </w:r>
            <w:r>
              <w:rPr>
                <w:spacing w:val="3"/>
                <w:sz w:val="22"/>
                <w:szCs w:val="22"/>
              </w:rPr>
              <w:t>南、西、北厂界围</w:t>
            </w:r>
            <w:r>
              <w:rPr>
                <w:spacing w:val="5"/>
                <w:sz w:val="22"/>
                <w:szCs w:val="22"/>
              </w:rPr>
              <w:t xml:space="preserve"> </w:t>
            </w:r>
            <w:r>
              <w:rPr>
                <w:spacing w:val="2"/>
                <w:sz w:val="22"/>
                <w:szCs w:val="22"/>
              </w:rPr>
              <w:t>墙外1m噪声</w:t>
            </w:r>
          </w:p>
        </w:tc>
        <w:tc>
          <w:tcPr>
            <w:tcW w:w="1603" w:type="dxa"/>
            <w:vAlign w:val="top"/>
          </w:tcPr>
          <w:p w14:paraId="5FA8FE49">
            <w:pPr>
              <w:pStyle w:val="6"/>
              <w:spacing w:before="171" w:line="229" w:lineRule="auto"/>
              <w:ind w:left="138" w:right="24" w:hanging="110"/>
              <w:rPr>
                <w:sz w:val="22"/>
                <w:szCs w:val="22"/>
              </w:rPr>
            </w:pPr>
            <w:r>
              <w:rPr>
                <w:spacing w:val="-2"/>
                <w:sz w:val="22"/>
                <w:szCs w:val="22"/>
              </w:rPr>
              <w:t>满足《工业企业</w:t>
            </w:r>
            <w:r>
              <w:rPr>
                <w:spacing w:val="4"/>
                <w:sz w:val="22"/>
                <w:szCs w:val="22"/>
              </w:rPr>
              <w:t xml:space="preserve"> </w:t>
            </w:r>
            <w:r>
              <w:rPr>
                <w:spacing w:val="2"/>
                <w:sz w:val="22"/>
                <w:szCs w:val="22"/>
              </w:rPr>
              <w:t>厂界环境噪声</w:t>
            </w:r>
            <w:r>
              <w:rPr>
                <w:sz w:val="22"/>
                <w:szCs w:val="22"/>
              </w:rPr>
              <w:t xml:space="preserve">  </w:t>
            </w:r>
            <w:r>
              <w:rPr>
                <w:spacing w:val="-12"/>
                <w:sz w:val="22"/>
                <w:szCs w:val="22"/>
              </w:rPr>
              <w:t>排</w:t>
            </w:r>
            <w:r>
              <w:rPr>
                <w:spacing w:val="-14"/>
                <w:sz w:val="22"/>
                <w:szCs w:val="22"/>
              </w:rPr>
              <w:t xml:space="preserve"> </w:t>
            </w:r>
            <w:r>
              <w:rPr>
                <w:spacing w:val="-12"/>
                <w:sz w:val="22"/>
                <w:szCs w:val="22"/>
              </w:rPr>
              <w:t>放</w:t>
            </w:r>
            <w:r>
              <w:rPr>
                <w:spacing w:val="-14"/>
                <w:sz w:val="22"/>
                <w:szCs w:val="22"/>
              </w:rPr>
              <w:t xml:space="preserve"> </w:t>
            </w:r>
            <w:r>
              <w:rPr>
                <w:spacing w:val="-12"/>
                <w:sz w:val="22"/>
                <w:szCs w:val="22"/>
              </w:rPr>
              <w:t>标 准 》</w:t>
            </w:r>
            <w:r>
              <w:rPr>
                <w:sz w:val="22"/>
                <w:szCs w:val="22"/>
              </w:rPr>
              <w:t xml:space="preserve"> (GB12348-20</w:t>
            </w:r>
          </w:p>
          <w:p w14:paraId="20103C2B">
            <w:pPr>
              <w:pStyle w:val="6"/>
              <w:spacing w:line="219" w:lineRule="auto"/>
              <w:ind w:left="88"/>
              <w:rPr>
                <w:sz w:val="22"/>
                <w:szCs w:val="22"/>
              </w:rPr>
            </w:pPr>
            <w:r>
              <w:rPr>
                <w:spacing w:val="24"/>
                <w:w w:val="110"/>
                <w:sz w:val="22"/>
                <w:szCs w:val="22"/>
              </w:rPr>
              <w:t>08)1类</w:t>
            </w:r>
          </w:p>
        </w:tc>
      </w:tr>
      <w:tr w14:paraId="2C40A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7" w:hRule="atLeast"/>
        </w:trPr>
        <w:tc>
          <w:tcPr>
            <w:tcW w:w="1243" w:type="dxa"/>
            <w:vMerge w:val="continue"/>
            <w:tcBorders>
              <w:top w:val="nil"/>
            </w:tcBorders>
            <w:vAlign w:val="top"/>
          </w:tcPr>
          <w:p w14:paraId="6F6E00F5">
            <w:pPr>
              <w:rPr>
                <w:rFonts w:ascii="Arial"/>
                <w:sz w:val="21"/>
              </w:rPr>
            </w:pPr>
          </w:p>
        </w:tc>
        <w:tc>
          <w:tcPr>
            <w:tcW w:w="3017" w:type="dxa"/>
            <w:vAlign w:val="top"/>
          </w:tcPr>
          <w:p w14:paraId="430ACF70">
            <w:pPr>
              <w:spacing w:line="258" w:lineRule="auto"/>
              <w:rPr>
                <w:rFonts w:ascii="Arial"/>
                <w:sz w:val="21"/>
              </w:rPr>
            </w:pPr>
          </w:p>
          <w:p w14:paraId="5D2959A7">
            <w:pPr>
              <w:spacing w:line="259" w:lineRule="auto"/>
              <w:rPr>
                <w:rFonts w:ascii="Arial"/>
                <w:sz w:val="21"/>
              </w:rPr>
            </w:pPr>
          </w:p>
          <w:p w14:paraId="127E561D">
            <w:pPr>
              <w:spacing w:line="259" w:lineRule="auto"/>
              <w:rPr>
                <w:rFonts w:ascii="Arial"/>
                <w:sz w:val="21"/>
              </w:rPr>
            </w:pPr>
          </w:p>
          <w:p w14:paraId="6CF08FC4">
            <w:pPr>
              <w:pStyle w:val="6"/>
              <w:spacing w:before="71" w:line="224" w:lineRule="auto"/>
              <w:ind w:left="122"/>
              <w:rPr>
                <w:sz w:val="22"/>
                <w:szCs w:val="22"/>
              </w:rPr>
            </w:pPr>
            <w:r>
              <w:rPr>
                <w:sz w:val="22"/>
                <w:szCs w:val="22"/>
              </w:rPr>
              <w:t>/</w:t>
            </w:r>
          </w:p>
        </w:tc>
        <w:tc>
          <w:tcPr>
            <w:tcW w:w="1238" w:type="dxa"/>
            <w:vAlign w:val="top"/>
          </w:tcPr>
          <w:p w14:paraId="42F3BCE6">
            <w:pPr>
              <w:spacing w:line="258" w:lineRule="auto"/>
              <w:rPr>
                <w:rFonts w:ascii="Arial"/>
                <w:sz w:val="21"/>
              </w:rPr>
            </w:pPr>
          </w:p>
          <w:p w14:paraId="690983DE">
            <w:pPr>
              <w:spacing w:line="259" w:lineRule="auto"/>
              <w:rPr>
                <w:rFonts w:ascii="Arial"/>
                <w:sz w:val="21"/>
              </w:rPr>
            </w:pPr>
          </w:p>
          <w:p w14:paraId="1ACA6E23">
            <w:pPr>
              <w:spacing w:line="259" w:lineRule="auto"/>
              <w:rPr>
                <w:rFonts w:ascii="Arial"/>
                <w:sz w:val="21"/>
              </w:rPr>
            </w:pPr>
          </w:p>
          <w:p w14:paraId="5F7F6B26">
            <w:pPr>
              <w:pStyle w:val="6"/>
              <w:spacing w:before="71" w:line="224" w:lineRule="auto"/>
              <w:ind w:left="54"/>
              <w:rPr>
                <w:sz w:val="22"/>
                <w:szCs w:val="22"/>
              </w:rPr>
            </w:pPr>
            <w:r>
              <w:rPr>
                <w:sz w:val="22"/>
                <w:szCs w:val="22"/>
              </w:rPr>
              <w:t>/</w:t>
            </w:r>
          </w:p>
        </w:tc>
        <w:tc>
          <w:tcPr>
            <w:tcW w:w="1968" w:type="dxa"/>
            <w:vAlign w:val="top"/>
          </w:tcPr>
          <w:p w14:paraId="536F175A">
            <w:pPr>
              <w:spacing w:line="329" w:lineRule="auto"/>
              <w:rPr>
                <w:rFonts w:ascii="Arial"/>
                <w:sz w:val="21"/>
              </w:rPr>
            </w:pPr>
          </w:p>
          <w:p w14:paraId="1E85D6B7">
            <w:pPr>
              <w:spacing w:line="330" w:lineRule="auto"/>
              <w:rPr>
                <w:rFonts w:ascii="Arial"/>
                <w:sz w:val="21"/>
              </w:rPr>
            </w:pPr>
          </w:p>
          <w:p w14:paraId="756FC570">
            <w:pPr>
              <w:pStyle w:val="6"/>
              <w:spacing w:before="71" w:line="229" w:lineRule="auto"/>
              <w:ind w:left="96" w:right="90"/>
              <w:rPr>
                <w:sz w:val="22"/>
                <w:szCs w:val="22"/>
              </w:rPr>
            </w:pPr>
            <w:r>
              <w:rPr>
                <w:spacing w:val="1"/>
                <w:sz w:val="22"/>
                <w:szCs w:val="22"/>
              </w:rPr>
              <w:t>一体化生活废水处</w:t>
            </w:r>
            <w:r>
              <w:rPr>
                <w:sz w:val="22"/>
                <w:szCs w:val="22"/>
              </w:rPr>
              <w:t xml:space="preserve"> </w:t>
            </w:r>
            <w:r>
              <w:rPr>
                <w:spacing w:val="1"/>
                <w:sz w:val="22"/>
                <w:szCs w:val="22"/>
              </w:rPr>
              <w:t>理站出水口的中水</w:t>
            </w:r>
          </w:p>
        </w:tc>
        <w:tc>
          <w:tcPr>
            <w:tcW w:w="1603" w:type="dxa"/>
            <w:vAlign w:val="top"/>
          </w:tcPr>
          <w:p w14:paraId="21972604">
            <w:pPr>
              <w:pStyle w:val="6"/>
              <w:spacing w:before="56" w:line="219" w:lineRule="auto"/>
              <w:ind w:left="28"/>
              <w:rPr>
                <w:sz w:val="22"/>
                <w:szCs w:val="22"/>
              </w:rPr>
            </w:pPr>
            <w:r>
              <w:rPr>
                <w:spacing w:val="-2"/>
                <w:sz w:val="22"/>
                <w:szCs w:val="22"/>
              </w:rPr>
              <w:t>满足《城市污水</w:t>
            </w:r>
          </w:p>
          <w:p w14:paraId="225B7131">
            <w:pPr>
              <w:pStyle w:val="6"/>
              <w:spacing w:before="8" w:line="219" w:lineRule="auto"/>
              <w:ind w:left="139"/>
              <w:rPr>
                <w:sz w:val="22"/>
                <w:szCs w:val="22"/>
              </w:rPr>
            </w:pPr>
            <w:r>
              <w:rPr>
                <w:spacing w:val="2"/>
                <w:sz w:val="22"/>
                <w:szCs w:val="22"/>
              </w:rPr>
              <w:t>再生利用城市</w:t>
            </w:r>
          </w:p>
          <w:p w14:paraId="67C40296">
            <w:pPr>
              <w:pStyle w:val="6"/>
              <w:spacing w:before="8" w:line="219" w:lineRule="auto"/>
              <w:ind w:left="188"/>
              <w:rPr>
                <w:sz w:val="22"/>
                <w:szCs w:val="22"/>
              </w:rPr>
            </w:pPr>
            <w:r>
              <w:rPr>
                <w:spacing w:val="-3"/>
                <w:sz w:val="22"/>
                <w:szCs w:val="22"/>
              </w:rPr>
              <w:t>杂用水水质》</w:t>
            </w:r>
          </w:p>
          <w:p w14:paraId="3AE6F0C5">
            <w:pPr>
              <w:pStyle w:val="6"/>
              <w:spacing w:before="22" w:line="222" w:lineRule="auto"/>
              <w:ind w:left="188"/>
              <w:rPr>
                <w:sz w:val="22"/>
                <w:szCs w:val="22"/>
              </w:rPr>
            </w:pPr>
            <w:r>
              <w:rPr>
                <w:spacing w:val="-4"/>
                <w:sz w:val="22"/>
                <w:szCs w:val="22"/>
              </w:rPr>
              <w:t>(GB/T18920-</w:t>
            </w:r>
          </w:p>
          <w:p w14:paraId="5AAF5DFC">
            <w:pPr>
              <w:pStyle w:val="6"/>
              <w:spacing w:before="2" w:line="218" w:lineRule="auto"/>
              <w:ind w:left="78"/>
              <w:rPr>
                <w:sz w:val="22"/>
                <w:szCs w:val="22"/>
              </w:rPr>
            </w:pPr>
            <w:r>
              <w:rPr>
                <w:spacing w:val="1"/>
                <w:sz w:val="22"/>
                <w:szCs w:val="22"/>
              </w:rPr>
              <w:t>2020)中“城市</w:t>
            </w:r>
          </w:p>
          <w:p w14:paraId="0BF11795">
            <w:pPr>
              <w:pStyle w:val="6"/>
              <w:spacing w:before="1" w:line="218" w:lineRule="auto"/>
              <w:ind w:left="139"/>
              <w:rPr>
                <w:sz w:val="22"/>
                <w:szCs w:val="22"/>
              </w:rPr>
            </w:pPr>
            <w:r>
              <w:rPr>
                <w:spacing w:val="1"/>
                <w:sz w:val="22"/>
                <w:szCs w:val="22"/>
              </w:rPr>
              <w:t>绿化、道路清</w:t>
            </w:r>
          </w:p>
          <w:p w14:paraId="4BC1B38B">
            <w:pPr>
              <w:pStyle w:val="6"/>
              <w:spacing w:before="1" w:line="184" w:lineRule="auto"/>
              <w:ind w:left="358"/>
              <w:rPr>
                <w:sz w:val="22"/>
                <w:szCs w:val="22"/>
              </w:rPr>
            </w:pPr>
            <w:r>
              <w:rPr>
                <w:spacing w:val="2"/>
                <w:sz w:val="22"/>
                <w:szCs w:val="22"/>
              </w:rPr>
              <w:t>扫”标准</w:t>
            </w:r>
          </w:p>
        </w:tc>
      </w:tr>
      <w:tr w14:paraId="02480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243" w:type="dxa"/>
            <w:vAlign w:val="top"/>
          </w:tcPr>
          <w:p w14:paraId="193C4393">
            <w:pPr>
              <w:pStyle w:val="6"/>
              <w:spacing w:before="249" w:line="220" w:lineRule="auto"/>
              <w:ind w:left="394"/>
              <w:rPr>
                <w:sz w:val="22"/>
                <w:szCs w:val="22"/>
              </w:rPr>
            </w:pPr>
            <w:r>
              <w:rPr>
                <w:spacing w:val="-3"/>
                <w:sz w:val="22"/>
                <w:szCs w:val="22"/>
              </w:rPr>
              <w:t>其他</w:t>
            </w:r>
          </w:p>
        </w:tc>
        <w:tc>
          <w:tcPr>
            <w:tcW w:w="7826" w:type="dxa"/>
            <w:gridSpan w:val="4"/>
            <w:vAlign w:val="top"/>
          </w:tcPr>
          <w:p w14:paraId="61192270">
            <w:pPr>
              <w:pStyle w:val="6"/>
              <w:spacing w:before="107" w:line="246" w:lineRule="auto"/>
              <w:ind w:left="91" w:firstLine="9"/>
              <w:rPr>
                <w:sz w:val="22"/>
                <w:szCs w:val="22"/>
              </w:rPr>
            </w:pPr>
            <w:r>
              <w:rPr>
                <w:spacing w:val="-6"/>
                <w:sz w:val="22"/>
                <w:szCs w:val="22"/>
              </w:rPr>
              <w:t>项目竣工后应按照《建设项目竣工环境保护验收暂行办法》的要求进行自主验收，</w:t>
            </w:r>
            <w:r>
              <w:rPr>
                <w:spacing w:val="9"/>
                <w:sz w:val="22"/>
                <w:szCs w:val="22"/>
              </w:rPr>
              <w:t xml:space="preserve"> </w:t>
            </w:r>
            <w:r>
              <w:rPr>
                <w:spacing w:val="-2"/>
                <w:sz w:val="22"/>
                <w:szCs w:val="22"/>
              </w:rPr>
              <w:t>验收合格后方可投入正式运营</w:t>
            </w:r>
          </w:p>
        </w:tc>
      </w:tr>
    </w:tbl>
    <w:p w14:paraId="57CABA34">
      <w:pPr>
        <w:pStyle w:val="2"/>
      </w:pPr>
    </w:p>
    <w:p w14:paraId="7B4458AE">
      <w:pPr>
        <w:sectPr>
          <w:footerReference r:id="rId135" w:type="default"/>
          <w:pgSz w:w="11910" w:h="16840"/>
          <w:pgMar w:top="1431" w:right="1425" w:bottom="1269" w:left="1405" w:header="0" w:footer="1089" w:gutter="0"/>
          <w:cols w:space="720" w:num="1"/>
        </w:sectPr>
      </w:pPr>
    </w:p>
    <w:p w14:paraId="54B357C2">
      <w:pPr>
        <w:spacing w:before="128" w:line="221" w:lineRule="auto"/>
        <w:ind w:left="3924"/>
        <w:outlineLvl w:val="0"/>
        <w:rPr>
          <w:rFonts w:ascii="宋体" w:hAnsi="宋体" w:eastAsia="宋体" w:cs="宋体"/>
          <w:sz w:val="31"/>
          <w:szCs w:val="31"/>
        </w:rPr>
      </w:pPr>
      <w:bookmarkStart w:id="12" w:name="bookmark7"/>
      <w:bookmarkEnd w:id="12"/>
      <w:r>
        <w:rPr>
          <w:rFonts w:ascii="宋体" w:hAnsi="宋体" w:eastAsia="宋体" w:cs="宋体"/>
          <w:spacing w:val="-11"/>
          <w:sz w:val="31"/>
          <w:szCs w:val="31"/>
        </w:rPr>
        <w:t>七、</w:t>
      </w:r>
      <w:r>
        <w:rPr>
          <w:rFonts w:ascii="宋体" w:hAnsi="宋体" w:eastAsia="宋体" w:cs="宋体"/>
          <w:b/>
          <w:bCs/>
          <w:spacing w:val="-11"/>
          <w:sz w:val="31"/>
          <w:szCs w:val="31"/>
        </w:rPr>
        <w:t>结论</w:t>
      </w:r>
    </w:p>
    <w:p w14:paraId="5C94069F">
      <w:pPr>
        <w:spacing w:before="12"/>
      </w:pPr>
    </w:p>
    <w:tbl>
      <w:tblPr>
        <w:tblStyle w:val="5"/>
        <w:tblW w:w="9085"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085"/>
      </w:tblGrid>
      <w:tr w14:paraId="6B21AD4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380" w:hRule="atLeast"/>
        </w:trPr>
        <w:tc>
          <w:tcPr>
            <w:tcW w:w="9085" w:type="dxa"/>
            <w:vAlign w:val="top"/>
          </w:tcPr>
          <w:p w14:paraId="7AA8DA75">
            <w:pPr>
              <w:pStyle w:val="6"/>
              <w:spacing w:before="210" w:line="359" w:lineRule="auto"/>
              <w:ind w:left="194" w:firstLine="479"/>
            </w:pPr>
            <w:r>
              <w:t>几沃梁子农光互补光伏发电项目符合国家产业政策，符</w:t>
            </w:r>
            <w:r>
              <w:rPr>
                <w:spacing w:val="-1"/>
              </w:rPr>
              <w:t>合相关法律法规及规划。</w:t>
            </w:r>
            <w:r>
              <w:t xml:space="preserve"> </w:t>
            </w:r>
            <w:r>
              <w:rPr>
                <w:spacing w:val="-7"/>
              </w:rPr>
              <w:t>拟建项目不涉及自然保护区、风景名胜区、饮用水源保护区、基本农田、稳定耕地、生</w:t>
            </w:r>
            <w:r>
              <w:rPr>
                <w:spacing w:val="5"/>
              </w:rPr>
              <w:t xml:space="preserve"> </w:t>
            </w:r>
            <w:r>
              <w:rPr>
                <w:spacing w:val="-1"/>
              </w:rPr>
              <w:t>态保护红线等环境敏感区。所在区域环境质量现状能满足相应环境功能区划，无环境</w:t>
            </w:r>
            <w:r>
              <w:rPr>
                <w:spacing w:val="5"/>
              </w:rPr>
              <w:t xml:space="preserve"> </w:t>
            </w:r>
            <w:r>
              <w:rPr>
                <w:spacing w:val="-1"/>
              </w:rPr>
              <w:t>制约因素。拟建项目为光伏发电项目，在设计和施工过程中按本报告提出的污染防治</w:t>
            </w:r>
            <w:r>
              <w:rPr>
                <w:spacing w:val="15"/>
              </w:rPr>
              <w:t xml:space="preserve"> </w:t>
            </w:r>
            <w:r>
              <w:rPr>
                <w:spacing w:val="-1"/>
              </w:rPr>
              <w:t>措施落实后，产生的环境影响满足相应环评标准要求，对当地声环境、大气环境、水</w:t>
            </w:r>
            <w:r>
              <w:rPr>
                <w:spacing w:val="6"/>
              </w:rPr>
              <w:t xml:space="preserve"> </w:t>
            </w:r>
            <w:r>
              <w:t xml:space="preserve">环境及生态环境的影响可接受，不会改变项目所在区域环境现有功能。从环境保护角 </w:t>
            </w:r>
            <w:r>
              <w:rPr>
                <w:spacing w:val="-1"/>
              </w:rPr>
              <w:t>度分析，该项目建设是可行的。</w:t>
            </w:r>
          </w:p>
        </w:tc>
      </w:tr>
    </w:tbl>
    <w:p w14:paraId="1652CDAE">
      <w:pPr>
        <w:pStyle w:val="2"/>
      </w:pPr>
    </w:p>
    <w:p w14:paraId="0E84FD0F">
      <w:pPr>
        <w:sectPr>
          <w:footerReference r:id="rId136" w:type="default"/>
          <w:pgSz w:w="11910" w:h="16840"/>
          <w:pgMar w:top="1431" w:right="1409" w:bottom="1269" w:left="1405" w:header="0" w:footer="1089" w:gutter="0"/>
          <w:cols w:space="720" w:num="1"/>
        </w:sectPr>
      </w:pPr>
    </w:p>
    <w:p w14:paraId="756E7E60">
      <w:pPr>
        <w:pStyle w:val="2"/>
        <w:spacing w:line="243" w:lineRule="auto"/>
      </w:pPr>
    </w:p>
    <w:p w14:paraId="19DC9199">
      <w:pPr>
        <w:pStyle w:val="2"/>
        <w:spacing w:line="243" w:lineRule="auto"/>
      </w:pPr>
    </w:p>
    <w:p w14:paraId="1E513D65">
      <w:pPr>
        <w:pStyle w:val="2"/>
        <w:spacing w:line="243" w:lineRule="auto"/>
      </w:pPr>
    </w:p>
    <w:p w14:paraId="4F3ADB31">
      <w:pPr>
        <w:pStyle w:val="2"/>
        <w:spacing w:line="243" w:lineRule="auto"/>
      </w:pPr>
    </w:p>
    <w:p w14:paraId="7732FAB8">
      <w:pPr>
        <w:pStyle w:val="2"/>
        <w:spacing w:line="243" w:lineRule="auto"/>
      </w:pPr>
    </w:p>
    <w:p w14:paraId="41E82116">
      <w:pPr>
        <w:pStyle w:val="2"/>
        <w:spacing w:line="244" w:lineRule="auto"/>
      </w:pPr>
    </w:p>
    <w:p w14:paraId="483E77DC">
      <w:pPr>
        <w:pStyle w:val="2"/>
        <w:spacing w:line="244" w:lineRule="auto"/>
      </w:pPr>
    </w:p>
    <w:p w14:paraId="7F79E767">
      <w:pPr>
        <w:pStyle w:val="2"/>
        <w:spacing w:line="244" w:lineRule="auto"/>
      </w:pPr>
    </w:p>
    <w:p w14:paraId="719EA208">
      <w:pPr>
        <w:spacing w:before="156" w:line="219" w:lineRule="auto"/>
        <w:ind w:left="1073"/>
        <w:rPr>
          <w:rFonts w:ascii="宋体" w:hAnsi="宋体" w:eastAsia="宋体" w:cs="宋体"/>
          <w:sz w:val="48"/>
          <w:szCs w:val="48"/>
        </w:rPr>
      </w:pPr>
      <w:r>
        <w:rPr>
          <w:rFonts w:ascii="宋体" w:hAnsi="宋体" w:eastAsia="宋体" w:cs="宋体"/>
          <w:spacing w:val="-37"/>
          <w:sz w:val="48"/>
          <w:szCs w:val="48"/>
        </w:rPr>
        <w:t>几沃梁子农光互补光伏发电项目</w:t>
      </w:r>
    </w:p>
    <w:p w14:paraId="71C8A10A">
      <w:pPr>
        <w:pStyle w:val="2"/>
        <w:spacing w:line="287" w:lineRule="auto"/>
      </w:pPr>
    </w:p>
    <w:p w14:paraId="0B8E0D29">
      <w:pPr>
        <w:pStyle w:val="2"/>
        <w:spacing w:line="287" w:lineRule="auto"/>
      </w:pPr>
    </w:p>
    <w:p w14:paraId="2CE7D24E">
      <w:pPr>
        <w:pStyle w:val="2"/>
        <w:spacing w:line="287" w:lineRule="auto"/>
      </w:pPr>
    </w:p>
    <w:p w14:paraId="02A78E53">
      <w:pPr>
        <w:pStyle w:val="2"/>
        <w:spacing w:line="288" w:lineRule="auto"/>
      </w:pPr>
    </w:p>
    <w:p w14:paraId="098832E4">
      <w:pPr>
        <w:pStyle w:val="2"/>
        <w:spacing w:line="288" w:lineRule="auto"/>
      </w:pPr>
    </w:p>
    <w:p w14:paraId="6477AC87">
      <w:pPr>
        <w:spacing w:before="156" w:line="218" w:lineRule="auto"/>
        <w:ind w:left="1989"/>
        <w:rPr>
          <w:rFonts w:ascii="宋体" w:hAnsi="宋体" w:eastAsia="宋体" w:cs="宋体"/>
          <w:sz w:val="48"/>
          <w:szCs w:val="48"/>
        </w:rPr>
      </w:pPr>
      <w:r>
        <w:rPr>
          <w:rFonts w:ascii="宋体" w:hAnsi="宋体" w:eastAsia="宋体" w:cs="宋体"/>
          <w:b/>
          <w:bCs/>
          <w:spacing w:val="-45"/>
          <w:sz w:val="48"/>
          <w:szCs w:val="48"/>
        </w:rPr>
        <w:t>电磁环境影响专项评价</w:t>
      </w:r>
    </w:p>
    <w:p w14:paraId="76F43821">
      <w:pPr>
        <w:pStyle w:val="2"/>
        <w:spacing w:line="249" w:lineRule="auto"/>
      </w:pPr>
    </w:p>
    <w:p w14:paraId="7D006549">
      <w:pPr>
        <w:pStyle w:val="2"/>
        <w:spacing w:line="249" w:lineRule="auto"/>
      </w:pPr>
    </w:p>
    <w:p w14:paraId="11F06CBB">
      <w:pPr>
        <w:pStyle w:val="2"/>
        <w:spacing w:line="249" w:lineRule="auto"/>
      </w:pPr>
    </w:p>
    <w:p w14:paraId="290AE529">
      <w:pPr>
        <w:pStyle w:val="2"/>
        <w:spacing w:line="250" w:lineRule="auto"/>
      </w:pPr>
    </w:p>
    <w:p w14:paraId="0F5A0A14">
      <w:pPr>
        <w:pStyle w:val="2"/>
        <w:spacing w:line="250" w:lineRule="auto"/>
      </w:pPr>
    </w:p>
    <w:p w14:paraId="6F71E5ED">
      <w:pPr>
        <w:pStyle w:val="2"/>
        <w:spacing w:line="250" w:lineRule="auto"/>
      </w:pPr>
    </w:p>
    <w:p w14:paraId="7EFEC429">
      <w:pPr>
        <w:pStyle w:val="2"/>
        <w:spacing w:line="250" w:lineRule="auto"/>
      </w:pPr>
    </w:p>
    <w:p w14:paraId="02A28C5A">
      <w:pPr>
        <w:pStyle w:val="2"/>
        <w:spacing w:line="250" w:lineRule="auto"/>
      </w:pPr>
    </w:p>
    <w:p w14:paraId="57D46D9E">
      <w:pPr>
        <w:pStyle w:val="2"/>
        <w:spacing w:line="250" w:lineRule="auto"/>
      </w:pPr>
    </w:p>
    <w:p w14:paraId="4BBE89CF">
      <w:pPr>
        <w:pStyle w:val="2"/>
        <w:spacing w:line="250" w:lineRule="auto"/>
      </w:pPr>
    </w:p>
    <w:p w14:paraId="0BB017E8">
      <w:pPr>
        <w:pStyle w:val="2"/>
        <w:spacing w:line="250" w:lineRule="auto"/>
      </w:pPr>
    </w:p>
    <w:p w14:paraId="02C9AF04">
      <w:pPr>
        <w:pStyle w:val="2"/>
        <w:spacing w:line="250" w:lineRule="auto"/>
      </w:pPr>
    </w:p>
    <w:p w14:paraId="1811A5BA">
      <w:pPr>
        <w:pStyle w:val="2"/>
        <w:spacing w:line="250" w:lineRule="auto"/>
      </w:pPr>
    </w:p>
    <w:p w14:paraId="6D7FB10E">
      <w:pPr>
        <w:pStyle w:val="2"/>
        <w:spacing w:line="250" w:lineRule="auto"/>
      </w:pPr>
    </w:p>
    <w:p w14:paraId="63AB6B9C">
      <w:pPr>
        <w:pStyle w:val="2"/>
        <w:spacing w:line="250" w:lineRule="auto"/>
      </w:pPr>
    </w:p>
    <w:p w14:paraId="7C971AA7">
      <w:pPr>
        <w:spacing w:before="107" w:line="449" w:lineRule="auto"/>
        <w:ind w:left="1653" w:right="203" w:hanging="860"/>
        <w:rPr>
          <w:rFonts w:ascii="宋体" w:hAnsi="宋体" w:eastAsia="宋体" w:cs="宋体"/>
          <w:sz w:val="33"/>
          <w:szCs w:val="33"/>
        </w:rPr>
      </w:pPr>
      <w:r>
        <w:rPr>
          <w:rFonts w:ascii="宋体" w:hAnsi="宋体" w:eastAsia="宋体" w:cs="宋体"/>
          <w:spacing w:val="24"/>
          <w:position w:val="1"/>
          <w:sz w:val="33"/>
          <w:szCs w:val="33"/>
        </w:rPr>
        <w:t xml:space="preserve">建设单位(盖章): </w:t>
      </w:r>
      <w:r>
        <w:rPr>
          <w:rFonts w:ascii="宋体" w:hAnsi="宋体" w:eastAsia="宋体" w:cs="宋体"/>
          <w:spacing w:val="84"/>
          <w:sz w:val="33"/>
          <w:szCs w:val="33"/>
          <w:u w:val="single" w:color="auto"/>
        </w:rPr>
        <w:t xml:space="preserve"> </w:t>
      </w:r>
      <w:r>
        <w:rPr>
          <w:rFonts w:ascii="宋体" w:hAnsi="宋体" w:eastAsia="宋体" w:cs="宋体"/>
          <w:spacing w:val="24"/>
          <w:sz w:val="33"/>
          <w:szCs w:val="33"/>
          <w:u w:val="single" w:color="auto"/>
        </w:rPr>
        <w:t>曲靖品瑞新能源有限</w:t>
      </w:r>
      <w:r>
        <w:rPr>
          <w:rFonts w:ascii="宋体" w:hAnsi="宋体" w:eastAsia="宋体" w:cs="宋体"/>
          <w:spacing w:val="23"/>
          <w:sz w:val="33"/>
          <w:szCs w:val="33"/>
          <w:u w:val="single" w:color="auto"/>
        </w:rPr>
        <w:t xml:space="preserve">公司 </w:t>
      </w:r>
      <w:r>
        <w:rPr>
          <w:rFonts w:ascii="宋体" w:hAnsi="宋体" w:eastAsia="宋体" w:cs="宋体"/>
          <w:sz w:val="33"/>
          <w:szCs w:val="33"/>
        </w:rPr>
        <w:t xml:space="preserve"> </w:t>
      </w:r>
      <w:r>
        <w:rPr>
          <w:rFonts w:ascii="宋体" w:hAnsi="宋体" w:eastAsia="宋体" w:cs="宋体"/>
          <w:spacing w:val="-10"/>
          <w:position w:val="1"/>
          <w:sz w:val="33"/>
          <w:szCs w:val="33"/>
        </w:rPr>
        <w:t>编制日期：</w:t>
      </w:r>
      <w:r>
        <w:rPr>
          <w:rFonts w:ascii="宋体" w:hAnsi="宋体" w:eastAsia="宋体" w:cs="宋体"/>
          <w:spacing w:val="-10"/>
          <w:sz w:val="33"/>
          <w:szCs w:val="33"/>
          <w:u w:val="single" w:color="auto"/>
        </w:rPr>
        <w:t xml:space="preserve">        2 0 2</w:t>
      </w:r>
      <w:r>
        <w:rPr>
          <w:rFonts w:ascii="宋体" w:hAnsi="宋体" w:eastAsia="宋体" w:cs="宋体"/>
          <w:spacing w:val="-3"/>
          <w:sz w:val="33"/>
          <w:szCs w:val="33"/>
          <w:u w:val="single" w:color="auto"/>
        </w:rPr>
        <w:t xml:space="preserve"> </w:t>
      </w:r>
      <w:r>
        <w:rPr>
          <w:rFonts w:ascii="宋体" w:hAnsi="宋体" w:eastAsia="宋体" w:cs="宋体"/>
          <w:spacing w:val="-10"/>
          <w:sz w:val="33"/>
          <w:szCs w:val="33"/>
          <w:u w:val="single" w:color="auto"/>
        </w:rPr>
        <w:t>4</w:t>
      </w:r>
      <w:r>
        <w:rPr>
          <w:rFonts w:ascii="宋体" w:hAnsi="宋体" w:eastAsia="宋体" w:cs="宋体"/>
          <w:spacing w:val="-2"/>
          <w:sz w:val="33"/>
          <w:szCs w:val="33"/>
          <w:u w:val="single" w:color="auto"/>
        </w:rPr>
        <w:t xml:space="preserve"> </w:t>
      </w:r>
      <w:r>
        <w:rPr>
          <w:rFonts w:ascii="宋体" w:hAnsi="宋体" w:eastAsia="宋体" w:cs="宋体"/>
          <w:spacing w:val="-10"/>
          <w:sz w:val="33"/>
          <w:szCs w:val="33"/>
          <w:u w:val="single" w:color="auto"/>
        </w:rPr>
        <w:t>年</w:t>
      </w:r>
      <w:r>
        <w:rPr>
          <w:rFonts w:ascii="宋体" w:hAnsi="宋体" w:eastAsia="宋体" w:cs="宋体"/>
          <w:spacing w:val="-2"/>
          <w:sz w:val="33"/>
          <w:szCs w:val="33"/>
          <w:u w:val="single" w:color="auto"/>
        </w:rPr>
        <w:t xml:space="preserve"> </w:t>
      </w:r>
      <w:r>
        <w:rPr>
          <w:rFonts w:ascii="宋体" w:hAnsi="宋体" w:eastAsia="宋体" w:cs="宋体"/>
          <w:spacing w:val="-10"/>
          <w:sz w:val="33"/>
          <w:szCs w:val="33"/>
          <w:u w:val="single" w:color="auto"/>
        </w:rPr>
        <w:t>9</w:t>
      </w:r>
      <w:r>
        <w:rPr>
          <w:rFonts w:ascii="宋体" w:hAnsi="宋体" w:eastAsia="宋体" w:cs="宋体"/>
          <w:spacing w:val="5"/>
          <w:sz w:val="33"/>
          <w:szCs w:val="33"/>
          <w:u w:val="single" w:color="auto"/>
        </w:rPr>
        <w:t xml:space="preserve"> </w:t>
      </w:r>
      <w:r>
        <w:rPr>
          <w:rFonts w:ascii="宋体" w:hAnsi="宋体" w:eastAsia="宋体" w:cs="宋体"/>
          <w:spacing w:val="-10"/>
          <w:sz w:val="33"/>
          <w:szCs w:val="33"/>
          <w:u w:val="single" w:color="auto"/>
        </w:rPr>
        <w:t>月</w:t>
      </w:r>
      <w:r>
        <w:rPr>
          <w:rFonts w:ascii="宋体" w:hAnsi="宋体" w:eastAsia="宋体" w:cs="宋体"/>
          <w:sz w:val="33"/>
          <w:szCs w:val="33"/>
          <w:u w:val="single" w:color="auto"/>
        </w:rPr>
        <w:t xml:space="preserve">        </w:t>
      </w:r>
    </w:p>
    <w:p w14:paraId="561BE27D">
      <w:pPr>
        <w:spacing w:line="449" w:lineRule="auto"/>
        <w:rPr>
          <w:rFonts w:ascii="宋体" w:hAnsi="宋体" w:eastAsia="宋体" w:cs="宋体"/>
          <w:sz w:val="33"/>
          <w:szCs w:val="33"/>
        </w:rPr>
        <w:sectPr>
          <w:footerReference r:id="rId137" w:type="default"/>
          <w:pgSz w:w="11910" w:h="16840"/>
          <w:pgMar w:top="1431" w:right="1786" w:bottom="400" w:left="1786" w:header="0" w:footer="0" w:gutter="0"/>
          <w:cols w:space="720" w:num="1"/>
        </w:sectPr>
      </w:pPr>
    </w:p>
    <w:sdt>
      <w:sdtPr>
        <w:rPr>
          <w:rFonts w:ascii="宋体" w:hAnsi="宋体" w:eastAsia="宋体" w:cs="宋体"/>
          <w:sz w:val="31"/>
          <w:szCs w:val="31"/>
        </w:rPr>
        <w:id w:val="147470031"/>
        <w:docPartObj>
          <w:docPartGallery w:val="Table of Contents"/>
          <w:docPartUnique/>
        </w:docPartObj>
      </w:sdtPr>
      <w:sdtEndPr>
        <w:rPr>
          <w:rFonts w:ascii="Arial" w:hAnsi="Arial" w:eastAsia="Arial" w:cs="Arial"/>
          <w:sz w:val="23"/>
          <w:szCs w:val="23"/>
        </w:rPr>
      </w:sdtEndPr>
      <w:sdtContent>
        <w:p w14:paraId="50062FB9">
          <w:pPr>
            <w:spacing w:before="62" w:line="221" w:lineRule="auto"/>
            <w:ind w:left="3934"/>
            <w:rPr>
              <w:rFonts w:ascii="宋体" w:hAnsi="宋体" w:eastAsia="宋体" w:cs="宋体"/>
              <w:sz w:val="31"/>
              <w:szCs w:val="31"/>
            </w:rPr>
          </w:pPr>
          <w:r>
            <w:rPr>
              <w:rFonts w:ascii="宋体" w:hAnsi="宋体" w:eastAsia="宋体" w:cs="宋体"/>
              <w:b/>
              <w:bCs/>
              <w:spacing w:val="-30"/>
              <w:sz w:val="31"/>
              <w:szCs w:val="31"/>
            </w:rPr>
            <w:t>目录</w:t>
          </w:r>
        </w:p>
        <w:p w14:paraId="370DE140">
          <w:pPr>
            <w:pStyle w:val="2"/>
            <w:spacing w:line="370" w:lineRule="auto"/>
          </w:pPr>
        </w:p>
        <w:p w14:paraId="00E882C2">
          <w:pPr>
            <w:pStyle w:val="2"/>
            <w:tabs>
              <w:tab w:val="right" w:leader="dot" w:pos="8292"/>
            </w:tabs>
            <w:spacing w:before="74" w:line="221" w:lineRule="auto"/>
            <w:rPr>
              <w:sz w:val="23"/>
              <w:szCs w:val="23"/>
            </w:rPr>
          </w:pPr>
          <w:r>
            <w:rPr>
              <w:rFonts w:ascii="Times New Roman" w:hAnsi="Times New Roman" w:eastAsia="Times New Roman" w:cs="Times New Roman"/>
              <w:spacing w:val="3"/>
              <w:sz w:val="23"/>
              <w:szCs w:val="23"/>
            </w:rPr>
            <w:t>1.</w:t>
          </w:r>
          <w:r>
            <w:rPr>
              <w:rFonts w:ascii="宋体" w:hAnsi="宋体" w:eastAsia="宋体" w:cs="宋体"/>
              <w:spacing w:val="3"/>
              <w:sz w:val="23"/>
              <w:szCs w:val="23"/>
            </w:rPr>
            <w:t>前言</w:t>
          </w:r>
          <w:r>
            <w:rPr>
              <w:rFonts w:ascii="宋体" w:hAnsi="宋体" w:eastAsia="宋体" w:cs="宋体"/>
              <w:spacing w:val="-101"/>
              <w:sz w:val="23"/>
              <w:szCs w:val="23"/>
            </w:rPr>
            <w:t xml:space="preserve"> </w:t>
          </w:r>
          <w:r>
            <w:rPr>
              <w:rFonts w:ascii="宋体" w:hAnsi="宋体" w:eastAsia="宋体" w:cs="宋体"/>
              <w:sz w:val="23"/>
              <w:szCs w:val="23"/>
            </w:rPr>
            <w:tab/>
          </w:r>
          <w:r>
            <w:fldChar w:fldCharType="begin"/>
          </w:r>
          <w:r>
            <w:instrText xml:space="preserve"> HYPERLINK \l "bookmark14" </w:instrText>
          </w:r>
          <w:r>
            <w:fldChar w:fldCharType="separate"/>
          </w:r>
          <w:r>
            <w:rPr>
              <w:sz w:val="23"/>
              <w:szCs w:val="23"/>
            </w:rPr>
            <w:t>1</w:t>
          </w:r>
          <w:r>
            <w:rPr>
              <w:sz w:val="23"/>
              <w:szCs w:val="23"/>
            </w:rPr>
            <w:fldChar w:fldCharType="end"/>
          </w:r>
        </w:p>
        <w:p w14:paraId="1F28BF84">
          <w:pPr>
            <w:pStyle w:val="2"/>
            <w:tabs>
              <w:tab w:val="right" w:leader="dot" w:pos="8292"/>
            </w:tabs>
            <w:spacing w:before="204" w:line="220" w:lineRule="auto"/>
            <w:rPr>
              <w:sz w:val="23"/>
              <w:szCs w:val="23"/>
            </w:rPr>
          </w:pPr>
          <w:r>
            <w:rPr>
              <w:rFonts w:ascii="Times New Roman" w:hAnsi="Times New Roman" w:eastAsia="Times New Roman" w:cs="Times New Roman"/>
              <w:spacing w:val="-11"/>
              <w:sz w:val="23"/>
              <w:szCs w:val="23"/>
            </w:rPr>
            <w:t>2.</w:t>
          </w:r>
          <w:r>
            <w:rPr>
              <w:rFonts w:ascii="宋体" w:hAnsi="宋体" w:eastAsia="宋体" w:cs="宋体"/>
              <w:spacing w:val="-11"/>
              <w:sz w:val="23"/>
              <w:szCs w:val="23"/>
            </w:rPr>
            <w:t>总</w:t>
          </w:r>
          <w:r>
            <w:rPr>
              <w:rFonts w:ascii="宋体" w:hAnsi="宋体" w:eastAsia="宋体" w:cs="宋体"/>
              <w:spacing w:val="-44"/>
              <w:sz w:val="23"/>
              <w:szCs w:val="23"/>
            </w:rPr>
            <w:t xml:space="preserve"> </w:t>
          </w:r>
          <w:r>
            <w:rPr>
              <w:rFonts w:ascii="宋体" w:hAnsi="宋体" w:eastAsia="宋体" w:cs="宋体"/>
              <w:spacing w:val="-11"/>
              <w:sz w:val="23"/>
              <w:szCs w:val="23"/>
            </w:rPr>
            <w:t>则</w:t>
          </w:r>
          <w:r>
            <w:rPr>
              <w:rFonts w:ascii="宋体" w:hAnsi="宋体" w:eastAsia="宋体" w:cs="宋体"/>
              <w:spacing w:val="-106"/>
              <w:sz w:val="23"/>
              <w:szCs w:val="23"/>
            </w:rPr>
            <w:t xml:space="preserve"> </w:t>
          </w:r>
          <w:r>
            <w:rPr>
              <w:rFonts w:ascii="宋体" w:hAnsi="宋体" w:eastAsia="宋体" w:cs="宋体"/>
              <w:sz w:val="23"/>
              <w:szCs w:val="23"/>
            </w:rPr>
            <w:tab/>
          </w:r>
          <w:r>
            <w:fldChar w:fldCharType="begin"/>
          </w:r>
          <w:r>
            <w:instrText xml:space="preserve"> HYPERLINK \l "bookmark15" </w:instrText>
          </w:r>
          <w:r>
            <w:fldChar w:fldCharType="separate"/>
          </w:r>
          <w:r>
            <w:rPr>
              <w:sz w:val="23"/>
              <w:szCs w:val="23"/>
            </w:rPr>
            <w:t>1</w:t>
          </w:r>
          <w:r>
            <w:rPr>
              <w:sz w:val="23"/>
              <w:szCs w:val="23"/>
            </w:rPr>
            <w:fldChar w:fldCharType="end"/>
          </w:r>
        </w:p>
        <w:p w14:paraId="686124EE">
          <w:pPr>
            <w:pStyle w:val="2"/>
            <w:tabs>
              <w:tab w:val="right" w:leader="dot" w:pos="8292"/>
            </w:tabs>
            <w:spacing w:before="193" w:line="219" w:lineRule="auto"/>
            <w:ind w:left="410"/>
            <w:rPr>
              <w:sz w:val="23"/>
              <w:szCs w:val="23"/>
            </w:rPr>
          </w:pPr>
          <w:r>
            <w:rPr>
              <w:rFonts w:ascii="Times New Roman" w:hAnsi="Times New Roman" w:eastAsia="Times New Roman" w:cs="Times New Roman"/>
              <w:spacing w:val="8"/>
              <w:sz w:val="23"/>
              <w:szCs w:val="23"/>
            </w:rPr>
            <w:t xml:space="preserve">2.1 </w:t>
          </w:r>
          <w:r>
            <w:rPr>
              <w:rFonts w:ascii="宋体" w:hAnsi="宋体" w:eastAsia="宋体" w:cs="宋体"/>
              <w:spacing w:val="8"/>
              <w:sz w:val="23"/>
              <w:szCs w:val="23"/>
            </w:rPr>
            <w:t>编制依据</w:t>
          </w:r>
          <w:r>
            <w:rPr>
              <w:rFonts w:ascii="宋体" w:hAnsi="宋体" w:eastAsia="宋体" w:cs="宋体"/>
              <w:spacing w:val="-96"/>
              <w:sz w:val="23"/>
              <w:szCs w:val="23"/>
            </w:rPr>
            <w:t xml:space="preserve"> </w:t>
          </w:r>
          <w:r>
            <w:rPr>
              <w:rFonts w:ascii="宋体" w:hAnsi="宋体" w:eastAsia="宋体" w:cs="宋体"/>
              <w:sz w:val="23"/>
              <w:szCs w:val="23"/>
            </w:rPr>
            <w:tab/>
          </w:r>
          <w:r>
            <w:fldChar w:fldCharType="begin"/>
          </w:r>
          <w:r>
            <w:instrText xml:space="preserve"> HYPERLINK \l "bookmark16" </w:instrText>
          </w:r>
          <w:r>
            <w:fldChar w:fldCharType="separate"/>
          </w:r>
          <w:r>
            <w:rPr>
              <w:sz w:val="23"/>
              <w:szCs w:val="23"/>
            </w:rPr>
            <w:t>1</w:t>
          </w:r>
          <w:r>
            <w:rPr>
              <w:sz w:val="23"/>
              <w:szCs w:val="23"/>
            </w:rPr>
            <w:fldChar w:fldCharType="end"/>
          </w:r>
        </w:p>
        <w:p w14:paraId="1FE8FC6E">
          <w:pPr>
            <w:pStyle w:val="2"/>
            <w:tabs>
              <w:tab w:val="right" w:leader="dot" w:pos="8270"/>
            </w:tabs>
            <w:spacing w:before="177" w:line="218" w:lineRule="auto"/>
            <w:ind w:left="410"/>
            <w:rPr>
              <w:sz w:val="23"/>
              <w:szCs w:val="23"/>
            </w:rPr>
          </w:pPr>
          <w:r>
            <w:rPr>
              <w:rFonts w:ascii="Times New Roman" w:hAnsi="Times New Roman" w:eastAsia="Times New Roman" w:cs="Times New Roman"/>
              <w:spacing w:val="11"/>
              <w:sz w:val="23"/>
              <w:szCs w:val="23"/>
            </w:rPr>
            <w:t xml:space="preserve">2.2 </w:t>
          </w:r>
          <w:r>
            <w:rPr>
              <w:rFonts w:ascii="宋体" w:hAnsi="宋体" w:eastAsia="宋体" w:cs="宋体"/>
              <w:spacing w:val="11"/>
              <w:sz w:val="23"/>
              <w:szCs w:val="23"/>
            </w:rPr>
            <w:t>评价因子与评价标准</w:t>
          </w:r>
          <w:r>
            <w:rPr>
              <w:rFonts w:ascii="宋体" w:hAnsi="宋体" w:eastAsia="宋体" w:cs="宋体"/>
              <w:spacing w:val="-95"/>
              <w:sz w:val="23"/>
              <w:szCs w:val="23"/>
            </w:rPr>
            <w:t xml:space="preserve"> </w:t>
          </w:r>
          <w:r>
            <w:rPr>
              <w:rFonts w:ascii="宋体" w:hAnsi="宋体" w:eastAsia="宋体" w:cs="宋体"/>
              <w:sz w:val="23"/>
              <w:szCs w:val="23"/>
            </w:rPr>
            <w:tab/>
          </w:r>
          <w:r>
            <w:fldChar w:fldCharType="begin"/>
          </w:r>
          <w:r>
            <w:instrText xml:space="preserve"> HYPERLINK \l "bookmark17" </w:instrText>
          </w:r>
          <w:r>
            <w:fldChar w:fldCharType="separate"/>
          </w:r>
          <w:r>
            <w:rPr>
              <w:sz w:val="23"/>
              <w:szCs w:val="23"/>
            </w:rPr>
            <w:t>2</w:t>
          </w:r>
          <w:r>
            <w:rPr>
              <w:sz w:val="23"/>
              <w:szCs w:val="23"/>
            </w:rPr>
            <w:fldChar w:fldCharType="end"/>
          </w:r>
        </w:p>
        <w:p w14:paraId="3E231A3D">
          <w:pPr>
            <w:pStyle w:val="2"/>
            <w:tabs>
              <w:tab w:val="right" w:leader="dot" w:pos="8270"/>
            </w:tabs>
            <w:spacing w:before="208" w:line="218" w:lineRule="auto"/>
            <w:ind w:left="410"/>
            <w:rPr>
              <w:sz w:val="23"/>
              <w:szCs w:val="23"/>
            </w:rPr>
          </w:pPr>
          <w:r>
            <w:rPr>
              <w:rFonts w:ascii="Times New Roman" w:hAnsi="Times New Roman" w:eastAsia="Times New Roman" w:cs="Times New Roman"/>
              <w:spacing w:val="9"/>
              <w:sz w:val="23"/>
              <w:szCs w:val="23"/>
            </w:rPr>
            <w:t xml:space="preserve">2.3 </w:t>
          </w:r>
          <w:r>
            <w:rPr>
              <w:rFonts w:ascii="宋体" w:hAnsi="宋体" w:eastAsia="宋体" w:cs="宋体"/>
              <w:spacing w:val="9"/>
              <w:sz w:val="23"/>
              <w:szCs w:val="23"/>
            </w:rPr>
            <w:t>评价等级及范围</w:t>
          </w:r>
          <w:r>
            <w:rPr>
              <w:rFonts w:ascii="宋体" w:hAnsi="宋体" w:eastAsia="宋体" w:cs="宋体"/>
              <w:spacing w:val="-101"/>
              <w:sz w:val="23"/>
              <w:szCs w:val="23"/>
            </w:rPr>
            <w:t xml:space="preserve"> </w:t>
          </w:r>
          <w:r>
            <w:rPr>
              <w:rFonts w:ascii="宋体" w:hAnsi="宋体" w:eastAsia="宋体" w:cs="宋体"/>
              <w:sz w:val="23"/>
              <w:szCs w:val="23"/>
            </w:rPr>
            <w:tab/>
          </w:r>
          <w:r>
            <w:fldChar w:fldCharType="begin"/>
          </w:r>
          <w:r>
            <w:instrText xml:space="preserve"> HYPERLINK \l "bookmark18" </w:instrText>
          </w:r>
          <w:r>
            <w:fldChar w:fldCharType="separate"/>
          </w:r>
          <w:r>
            <w:rPr>
              <w:sz w:val="23"/>
              <w:szCs w:val="23"/>
            </w:rPr>
            <w:t>2</w:t>
          </w:r>
          <w:r>
            <w:rPr>
              <w:sz w:val="23"/>
              <w:szCs w:val="23"/>
            </w:rPr>
            <w:fldChar w:fldCharType="end"/>
          </w:r>
        </w:p>
        <w:p w14:paraId="4048FD7D">
          <w:pPr>
            <w:pStyle w:val="2"/>
            <w:tabs>
              <w:tab w:val="right" w:leader="dot" w:pos="8267"/>
            </w:tabs>
            <w:spacing w:before="157" w:line="314" w:lineRule="exact"/>
            <w:ind w:left="410"/>
            <w:rPr>
              <w:sz w:val="23"/>
              <w:szCs w:val="23"/>
            </w:rPr>
          </w:pPr>
          <w:r>
            <w:rPr>
              <w:rFonts w:ascii="Times New Roman" w:hAnsi="Times New Roman" w:eastAsia="Times New Roman" w:cs="Times New Roman"/>
              <w:spacing w:val="10"/>
              <w:position w:val="1"/>
              <w:sz w:val="23"/>
              <w:szCs w:val="23"/>
            </w:rPr>
            <w:t xml:space="preserve">2.4 </w:t>
          </w:r>
          <w:r>
            <w:rPr>
              <w:rFonts w:ascii="宋体" w:hAnsi="宋体" w:eastAsia="宋体" w:cs="宋体"/>
              <w:spacing w:val="10"/>
              <w:position w:val="1"/>
              <w:sz w:val="23"/>
              <w:szCs w:val="23"/>
            </w:rPr>
            <w:t>评价重点</w:t>
          </w:r>
          <w:r>
            <w:rPr>
              <w:rFonts w:ascii="宋体" w:hAnsi="宋体" w:eastAsia="宋体" w:cs="宋体"/>
              <w:spacing w:val="-101"/>
              <w:position w:val="1"/>
              <w:sz w:val="23"/>
              <w:szCs w:val="23"/>
            </w:rPr>
            <w:t xml:space="preserve"> </w:t>
          </w:r>
          <w:r>
            <w:rPr>
              <w:rFonts w:ascii="宋体" w:hAnsi="宋体" w:eastAsia="宋体" w:cs="宋体"/>
              <w:position w:val="1"/>
              <w:sz w:val="23"/>
              <w:szCs w:val="23"/>
            </w:rPr>
            <w:tab/>
          </w:r>
          <w:r>
            <w:fldChar w:fldCharType="begin"/>
          </w:r>
          <w:r>
            <w:instrText xml:space="preserve"> HYPERLINK \l "bookmark19" </w:instrText>
          </w:r>
          <w:r>
            <w:fldChar w:fldCharType="separate"/>
          </w:r>
          <w:r>
            <w:rPr>
              <w:position w:val="1"/>
              <w:sz w:val="23"/>
              <w:szCs w:val="23"/>
            </w:rPr>
            <w:t>3</w:t>
          </w:r>
          <w:r>
            <w:rPr>
              <w:position w:val="1"/>
              <w:sz w:val="23"/>
              <w:szCs w:val="23"/>
            </w:rPr>
            <w:fldChar w:fldCharType="end"/>
          </w:r>
        </w:p>
        <w:p w14:paraId="56CEBD89">
          <w:pPr>
            <w:pStyle w:val="2"/>
            <w:tabs>
              <w:tab w:val="right" w:leader="dot" w:pos="8277"/>
            </w:tabs>
            <w:spacing w:before="139" w:line="313" w:lineRule="exact"/>
            <w:ind w:left="410"/>
            <w:rPr>
              <w:sz w:val="23"/>
              <w:szCs w:val="23"/>
            </w:rPr>
          </w:pPr>
          <w:r>
            <w:rPr>
              <w:rFonts w:ascii="Times New Roman" w:hAnsi="Times New Roman" w:eastAsia="Times New Roman" w:cs="Times New Roman"/>
              <w:spacing w:val="9"/>
              <w:position w:val="1"/>
              <w:sz w:val="23"/>
              <w:szCs w:val="23"/>
            </w:rPr>
            <w:t xml:space="preserve">2.5 </w:t>
          </w:r>
          <w:r>
            <w:rPr>
              <w:rFonts w:ascii="宋体" w:hAnsi="宋体" w:eastAsia="宋体" w:cs="宋体"/>
              <w:spacing w:val="9"/>
              <w:position w:val="1"/>
              <w:sz w:val="23"/>
              <w:szCs w:val="23"/>
            </w:rPr>
            <w:t>环境保护目标</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fldChar w:fldCharType="begin"/>
          </w:r>
          <w:r>
            <w:instrText xml:space="preserve"> HYPERLINK \l "bookmark20" </w:instrText>
          </w:r>
          <w:r>
            <w:fldChar w:fldCharType="separate"/>
          </w:r>
          <w:r>
            <w:rPr>
              <w:position w:val="1"/>
              <w:sz w:val="23"/>
              <w:szCs w:val="23"/>
            </w:rPr>
            <w:t>3</w:t>
          </w:r>
          <w:r>
            <w:rPr>
              <w:position w:val="1"/>
              <w:sz w:val="23"/>
              <w:szCs w:val="23"/>
            </w:rPr>
            <w:fldChar w:fldCharType="end"/>
          </w:r>
        </w:p>
        <w:p w14:paraId="011851BE">
          <w:pPr>
            <w:pStyle w:val="2"/>
            <w:tabs>
              <w:tab w:val="right" w:leader="dot" w:pos="8290"/>
            </w:tabs>
            <w:spacing w:before="146" w:line="313" w:lineRule="exact"/>
            <w:rPr>
              <w:sz w:val="23"/>
              <w:szCs w:val="23"/>
            </w:rPr>
          </w:pPr>
          <w:r>
            <w:rPr>
              <w:rFonts w:ascii="Times New Roman" w:hAnsi="Times New Roman" w:eastAsia="Times New Roman" w:cs="Times New Roman"/>
              <w:spacing w:val="10"/>
              <w:position w:val="1"/>
              <w:sz w:val="23"/>
              <w:szCs w:val="23"/>
            </w:rPr>
            <w:t>3</w:t>
          </w:r>
          <w:r>
            <w:rPr>
              <w:rFonts w:ascii="Times New Roman" w:hAnsi="Times New Roman" w:eastAsia="Times New Roman" w:cs="Times New Roman"/>
              <w:spacing w:val="-14"/>
              <w:position w:val="1"/>
              <w:sz w:val="23"/>
              <w:szCs w:val="23"/>
            </w:rPr>
            <w:t xml:space="preserve"> </w:t>
          </w:r>
          <w:r>
            <w:rPr>
              <w:rFonts w:ascii="宋体" w:hAnsi="宋体" w:eastAsia="宋体" w:cs="宋体"/>
              <w:spacing w:val="10"/>
              <w:position w:val="1"/>
              <w:sz w:val="23"/>
              <w:szCs w:val="23"/>
            </w:rPr>
            <w:t>升压站工程概况</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fldChar w:fldCharType="begin"/>
          </w:r>
          <w:r>
            <w:instrText xml:space="preserve"> HYPERLINK \l "bookmark21" </w:instrText>
          </w:r>
          <w:r>
            <w:fldChar w:fldCharType="separate"/>
          </w:r>
          <w:r>
            <w:rPr>
              <w:spacing w:val="-1"/>
              <w:w w:val="7"/>
              <w:position w:val="1"/>
              <w:sz w:val="23"/>
              <w:szCs w:val="23"/>
            </w:rPr>
            <w:t>3</w:t>
          </w:r>
          <w:r>
            <w:rPr>
              <w:spacing w:val="-1"/>
              <w:w w:val="7"/>
              <w:position w:val="1"/>
              <w:sz w:val="23"/>
              <w:szCs w:val="23"/>
            </w:rPr>
            <w:fldChar w:fldCharType="end"/>
          </w:r>
        </w:p>
        <w:p w14:paraId="7E641CD4">
          <w:pPr>
            <w:pStyle w:val="2"/>
            <w:tabs>
              <w:tab w:val="right" w:leader="dot" w:pos="8277"/>
            </w:tabs>
            <w:spacing w:before="157" w:line="313" w:lineRule="exact"/>
            <w:ind w:left="410"/>
            <w:rPr>
              <w:sz w:val="23"/>
              <w:szCs w:val="23"/>
            </w:rPr>
          </w:pPr>
          <w:r>
            <w:rPr>
              <w:rFonts w:ascii="Times New Roman" w:hAnsi="Times New Roman" w:eastAsia="Times New Roman" w:cs="Times New Roman"/>
              <w:spacing w:val="10"/>
              <w:position w:val="1"/>
              <w:sz w:val="23"/>
              <w:szCs w:val="23"/>
            </w:rPr>
            <w:t xml:space="preserve">3.1 </w:t>
          </w:r>
          <w:r>
            <w:rPr>
              <w:rFonts w:ascii="宋体" w:hAnsi="宋体" w:eastAsia="宋体" w:cs="宋体"/>
              <w:spacing w:val="10"/>
              <w:position w:val="1"/>
              <w:sz w:val="23"/>
              <w:szCs w:val="23"/>
            </w:rPr>
            <w:t>升压站工程内容</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fldChar w:fldCharType="begin"/>
          </w:r>
          <w:r>
            <w:instrText xml:space="preserve"> HYPERLINK \l "bookmark22" </w:instrText>
          </w:r>
          <w:r>
            <w:fldChar w:fldCharType="separate"/>
          </w:r>
          <w:r>
            <w:rPr>
              <w:position w:val="1"/>
              <w:sz w:val="23"/>
              <w:szCs w:val="23"/>
            </w:rPr>
            <w:t>3</w:t>
          </w:r>
          <w:r>
            <w:rPr>
              <w:position w:val="1"/>
              <w:sz w:val="23"/>
              <w:szCs w:val="23"/>
            </w:rPr>
            <w:fldChar w:fldCharType="end"/>
          </w:r>
        </w:p>
        <w:p w14:paraId="4FA9F95B">
          <w:pPr>
            <w:pStyle w:val="2"/>
            <w:tabs>
              <w:tab w:val="right" w:leader="dot" w:pos="8267"/>
            </w:tabs>
            <w:spacing w:before="176" w:line="314" w:lineRule="exact"/>
            <w:ind w:left="410"/>
            <w:rPr>
              <w:sz w:val="23"/>
              <w:szCs w:val="23"/>
            </w:rPr>
          </w:pPr>
          <w:r>
            <w:rPr>
              <w:rFonts w:ascii="Times New Roman" w:hAnsi="Times New Roman" w:eastAsia="Times New Roman" w:cs="Times New Roman"/>
              <w:spacing w:val="10"/>
              <w:position w:val="1"/>
              <w:sz w:val="23"/>
              <w:szCs w:val="23"/>
            </w:rPr>
            <w:t xml:space="preserve">3.2 </w:t>
          </w:r>
          <w:r>
            <w:rPr>
              <w:rFonts w:ascii="宋体" w:hAnsi="宋体" w:eastAsia="宋体" w:cs="宋体"/>
              <w:spacing w:val="10"/>
              <w:position w:val="1"/>
              <w:sz w:val="23"/>
              <w:szCs w:val="23"/>
            </w:rPr>
            <w:t>升压站总体布置</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fldChar w:fldCharType="begin"/>
          </w:r>
          <w:r>
            <w:instrText xml:space="preserve"> HYPERLINK \l "bookmark23" </w:instrText>
          </w:r>
          <w:r>
            <w:fldChar w:fldCharType="separate"/>
          </w:r>
          <w:r>
            <w:rPr>
              <w:position w:val="1"/>
              <w:sz w:val="23"/>
              <w:szCs w:val="23"/>
            </w:rPr>
            <w:t>5</w:t>
          </w:r>
          <w:r>
            <w:rPr>
              <w:position w:val="1"/>
              <w:sz w:val="23"/>
              <w:szCs w:val="23"/>
            </w:rPr>
            <w:fldChar w:fldCharType="end"/>
          </w:r>
        </w:p>
        <w:p w14:paraId="7B1B917E">
          <w:pPr>
            <w:pStyle w:val="2"/>
            <w:tabs>
              <w:tab w:val="right" w:leader="dot" w:pos="8295"/>
            </w:tabs>
            <w:spacing w:before="139" w:line="313" w:lineRule="exact"/>
            <w:ind w:left="410"/>
            <w:rPr>
              <w:sz w:val="23"/>
              <w:szCs w:val="23"/>
            </w:rPr>
          </w:pPr>
          <w:r>
            <w:rPr>
              <w:rFonts w:ascii="Times New Roman" w:hAnsi="Times New Roman" w:eastAsia="Times New Roman" w:cs="Times New Roman"/>
              <w:spacing w:val="10"/>
              <w:position w:val="1"/>
              <w:sz w:val="23"/>
              <w:szCs w:val="23"/>
            </w:rPr>
            <w:t xml:space="preserve">3.3 </w:t>
          </w:r>
          <w:r>
            <w:rPr>
              <w:rFonts w:ascii="宋体" w:hAnsi="宋体" w:eastAsia="宋体" w:cs="宋体"/>
              <w:spacing w:val="10"/>
              <w:position w:val="1"/>
              <w:sz w:val="23"/>
              <w:szCs w:val="23"/>
            </w:rPr>
            <w:t>升压站主要设备</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fldChar w:fldCharType="begin"/>
          </w:r>
          <w:r>
            <w:instrText xml:space="preserve"> HYPERLINK \l "bookmark24" </w:instrText>
          </w:r>
          <w:r>
            <w:fldChar w:fldCharType="separate"/>
          </w:r>
          <w:r>
            <w:rPr>
              <w:position w:val="1"/>
              <w:sz w:val="23"/>
              <w:szCs w:val="23"/>
            </w:rPr>
            <w:t>5</w:t>
          </w:r>
          <w:r>
            <w:rPr>
              <w:position w:val="1"/>
              <w:sz w:val="23"/>
              <w:szCs w:val="23"/>
            </w:rPr>
            <w:fldChar w:fldCharType="end"/>
          </w:r>
        </w:p>
        <w:p w14:paraId="7BDC716E">
          <w:pPr>
            <w:pStyle w:val="2"/>
            <w:tabs>
              <w:tab w:val="right" w:leader="dot" w:pos="8277"/>
            </w:tabs>
            <w:spacing w:before="207" w:line="220" w:lineRule="auto"/>
            <w:ind w:left="410"/>
            <w:rPr>
              <w:sz w:val="23"/>
              <w:szCs w:val="23"/>
            </w:rPr>
          </w:pPr>
          <w:r>
            <w:rPr>
              <w:rFonts w:ascii="Times New Roman" w:hAnsi="Times New Roman" w:eastAsia="Times New Roman" w:cs="Times New Roman"/>
              <w:spacing w:val="10"/>
              <w:sz w:val="23"/>
              <w:szCs w:val="23"/>
            </w:rPr>
            <w:t xml:space="preserve">3.3 </w:t>
          </w:r>
          <w:r>
            <w:rPr>
              <w:rFonts w:ascii="宋体" w:hAnsi="宋体" w:eastAsia="宋体" w:cs="宋体"/>
              <w:spacing w:val="10"/>
              <w:sz w:val="23"/>
              <w:szCs w:val="23"/>
            </w:rPr>
            <w:t>项目主要污染工序</w:t>
          </w:r>
          <w:r>
            <w:rPr>
              <w:rFonts w:ascii="宋体" w:hAnsi="宋体" w:eastAsia="宋体" w:cs="宋体"/>
              <w:spacing w:val="-92"/>
              <w:sz w:val="23"/>
              <w:szCs w:val="23"/>
            </w:rPr>
            <w:t xml:space="preserve"> </w:t>
          </w:r>
          <w:r>
            <w:rPr>
              <w:rFonts w:ascii="宋体" w:hAnsi="宋体" w:eastAsia="宋体" w:cs="宋体"/>
              <w:sz w:val="23"/>
              <w:szCs w:val="23"/>
            </w:rPr>
            <w:tab/>
          </w:r>
          <w:r>
            <w:fldChar w:fldCharType="begin"/>
          </w:r>
          <w:r>
            <w:instrText xml:space="preserve"> HYPERLINK \l "bookmark25" </w:instrText>
          </w:r>
          <w:r>
            <w:fldChar w:fldCharType="separate"/>
          </w:r>
          <w:r>
            <w:rPr>
              <w:sz w:val="23"/>
              <w:szCs w:val="23"/>
            </w:rPr>
            <w:t>7</w:t>
          </w:r>
          <w:r>
            <w:rPr>
              <w:sz w:val="23"/>
              <w:szCs w:val="23"/>
            </w:rPr>
            <w:fldChar w:fldCharType="end"/>
          </w:r>
        </w:p>
        <w:p w14:paraId="6AC6FAC7">
          <w:pPr>
            <w:pStyle w:val="2"/>
            <w:tabs>
              <w:tab w:val="right" w:leader="dot" w:pos="8277"/>
            </w:tabs>
            <w:spacing w:before="173" w:line="218" w:lineRule="auto"/>
            <w:rPr>
              <w:sz w:val="23"/>
              <w:szCs w:val="23"/>
            </w:rPr>
          </w:pPr>
          <w:r>
            <w:rPr>
              <w:rFonts w:ascii="Times New Roman" w:hAnsi="Times New Roman" w:eastAsia="Times New Roman" w:cs="Times New Roman"/>
              <w:spacing w:val="2"/>
              <w:sz w:val="23"/>
              <w:szCs w:val="23"/>
            </w:rPr>
            <w:t>4.</w:t>
          </w:r>
          <w:r>
            <w:rPr>
              <w:rFonts w:ascii="宋体" w:hAnsi="宋体" w:eastAsia="宋体" w:cs="宋体"/>
              <w:spacing w:val="2"/>
              <w:sz w:val="23"/>
              <w:szCs w:val="23"/>
            </w:rPr>
            <w:t>电磁环境现状评价</w:t>
          </w:r>
          <w:r>
            <w:rPr>
              <w:rFonts w:ascii="宋体" w:hAnsi="宋体" w:eastAsia="宋体" w:cs="宋体"/>
              <w:spacing w:val="-89"/>
              <w:sz w:val="23"/>
              <w:szCs w:val="23"/>
            </w:rPr>
            <w:t xml:space="preserve"> </w:t>
          </w:r>
          <w:r>
            <w:rPr>
              <w:rFonts w:ascii="宋体" w:hAnsi="宋体" w:eastAsia="宋体" w:cs="宋体"/>
              <w:sz w:val="23"/>
              <w:szCs w:val="23"/>
            </w:rPr>
            <w:tab/>
          </w:r>
          <w:r>
            <w:fldChar w:fldCharType="begin"/>
          </w:r>
          <w:r>
            <w:instrText xml:space="preserve"> HYPERLINK \l "bookmark26" </w:instrText>
          </w:r>
          <w:r>
            <w:fldChar w:fldCharType="separate"/>
          </w:r>
          <w:r>
            <w:rPr>
              <w:sz w:val="23"/>
              <w:szCs w:val="23"/>
            </w:rPr>
            <w:t>7</w:t>
          </w:r>
          <w:r>
            <w:rPr>
              <w:sz w:val="23"/>
              <w:szCs w:val="23"/>
            </w:rPr>
            <w:fldChar w:fldCharType="end"/>
          </w:r>
        </w:p>
        <w:p w14:paraId="03651D01">
          <w:pPr>
            <w:pStyle w:val="2"/>
            <w:tabs>
              <w:tab w:val="right" w:leader="dot" w:pos="8267"/>
            </w:tabs>
            <w:spacing w:before="167" w:line="314" w:lineRule="exact"/>
            <w:rPr>
              <w:sz w:val="23"/>
              <w:szCs w:val="23"/>
            </w:rPr>
          </w:pPr>
          <w:r>
            <w:rPr>
              <w:rFonts w:ascii="Times New Roman" w:hAnsi="Times New Roman" w:eastAsia="Times New Roman" w:cs="Times New Roman"/>
              <w:spacing w:val="2"/>
              <w:position w:val="1"/>
              <w:sz w:val="23"/>
              <w:szCs w:val="23"/>
            </w:rPr>
            <w:t>5.</w:t>
          </w:r>
          <w:r>
            <w:rPr>
              <w:rFonts w:ascii="宋体" w:hAnsi="宋体" w:eastAsia="宋体" w:cs="宋体"/>
              <w:spacing w:val="2"/>
              <w:position w:val="1"/>
              <w:sz w:val="23"/>
              <w:szCs w:val="23"/>
            </w:rPr>
            <w:t>电磁环境影响评价</w:t>
          </w:r>
          <w:r>
            <w:rPr>
              <w:rFonts w:ascii="宋体" w:hAnsi="宋体" w:eastAsia="宋体" w:cs="宋体"/>
              <w:spacing w:val="-89"/>
              <w:position w:val="1"/>
              <w:sz w:val="23"/>
              <w:szCs w:val="23"/>
            </w:rPr>
            <w:t xml:space="preserve"> </w:t>
          </w:r>
          <w:r>
            <w:rPr>
              <w:rFonts w:ascii="宋体" w:hAnsi="宋体" w:eastAsia="宋体" w:cs="宋体"/>
              <w:position w:val="1"/>
              <w:sz w:val="23"/>
              <w:szCs w:val="23"/>
            </w:rPr>
            <w:tab/>
          </w:r>
          <w:r>
            <w:fldChar w:fldCharType="begin"/>
          </w:r>
          <w:r>
            <w:instrText xml:space="preserve"> HYPERLINK \l "bookmark27" </w:instrText>
          </w:r>
          <w:r>
            <w:fldChar w:fldCharType="separate"/>
          </w:r>
          <w:r>
            <w:rPr>
              <w:position w:val="1"/>
              <w:sz w:val="23"/>
              <w:szCs w:val="23"/>
            </w:rPr>
            <w:t>9</w:t>
          </w:r>
          <w:r>
            <w:rPr>
              <w:position w:val="1"/>
              <w:sz w:val="23"/>
              <w:szCs w:val="23"/>
            </w:rPr>
            <w:fldChar w:fldCharType="end"/>
          </w:r>
        </w:p>
        <w:p w14:paraId="3BB363C2">
          <w:pPr>
            <w:pStyle w:val="2"/>
            <w:tabs>
              <w:tab w:val="right" w:leader="dot" w:pos="8257"/>
            </w:tabs>
            <w:spacing w:before="159" w:line="314" w:lineRule="exact"/>
            <w:ind w:left="410"/>
            <w:rPr>
              <w:sz w:val="23"/>
              <w:szCs w:val="23"/>
            </w:rPr>
          </w:pPr>
          <w:r>
            <w:rPr>
              <w:rFonts w:ascii="Times New Roman" w:hAnsi="Times New Roman" w:eastAsia="Times New Roman" w:cs="Times New Roman"/>
              <w:spacing w:val="10"/>
              <w:position w:val="1"/>
              <w:sz w:val="23"/>
              <w:szCs w:val="23"/>
            </w:rPr>
            <w:t xml:space="preserve">5.1 </w:t>
          </w:r>
          <w:r>
            <w:rPr>
              <w:rFonts w:ascii="宋体" w:hAnsi="宋体" w:eastAsia="宋体" w:cs="宋体"/>
              <w:spacing w:val="10"/>
              <w:position w:val="1"/>
              <w:sz w:val="23"/>
              <w:szCs w:val="23"/>
            </w:rPr>
            <w:t>升压站电磁环境影响分析</w:t>
          </w:r>
          <w:r>
            <w:rPr>
              <w:rFonts w:ascii="宋体" w:hAnsi="宋体" w:eastAsia="宋体" w:cs="宋体"/>
              <w:spacing w:val="-91"/>
              <w:position w:val="1"/>
              <w:sz w:val="23"/>
              <w:szCs w:val="23"/>
            </w:rPr>
            <w:t xml:space="preserve"> </w:t>
          </w:r>
          <w:r>
            <w:rPr>
              <w:rFonts w:ascii="宋体" w:hAnsi="宋体" w:eastAsia="宋体" w:cs="宋体"/>
              <w:position w:val="1"/>
              <w:sz w:val="23"/>
              <w:szCs w:val="23"/>
            </w:rPr>
            <w:tab/>
          </w:r>
          <w:r>
            <w:rPr>
              <w:rFonts w:ascii="宋体" w:hAnsi="宋体" w:eastAsia="宋体" w:cs="宋体"/>
              <w:spacing w:val="-8"/>
              <w:position w:val="1"/>
              <w:sz w:val="23"/>
              <w:szCs w:val="23"/>
            </w:rPr>
            <w:t xml:space="preserve"> </w:t>
          </w:r>
          <w:r>
            <w:fldChar w:fldCharType="begin"/>
          </w:r>
          <w:r>
            <w:instrText xml:space="preserve"> HYPERLINK \l "bookmark28" </w:instrText>
          </w:r>
          <w:r>
            <w:fldChar w:fldCharType="separate"/>
          </w:r>
          <w:r>
            <w:rPr>
              <w:position w:val="1"/>
              <w:sz w:val="23"/>
              <w:szCs w:val="23"/>
            </w:rPr>
            <w:t>9</w:t>
          </w:r>
          <w:r>
            <w:rPr>
              <w:position w:val="1"/>
              <w:sz w:val="23"/>
              <w:szCs w:val="23"/>
            </w:rPr>
            <w:fldChar w:fldCharType="end"/>
          </w:r>
        </w:p>
        <w:p w14:paraId="44637713">
          <w:pPr>
            <w:pStyle w:val="2"/>
            <w:tabs>
              <w:tab w:val="right" w:leader="dot" w:pos="8270"/>
            </w:tabs>
            <w:spacing w:before="136" w:line="313" w:lineRule="exact"/>
            <w:ind w:left="410"/>
            <w:rPr>
              <w:sz w:val="23"/>
              <w:szCs w:val="23"/>
            </w:rPr>
          </w:pPr>
          <w:r>
            <w:rPr>
              <w:rFonts w:ascii="Times New Roman" w:hAnsi="Times New Roman" w:eastAsia="Times New Roman" w:cs="Times New Roman"/>
              <w:spacing w:val="10"/>
              <w:position w:val="1"/>
              <w:sz w:val="23"/>
              <w:szCs w:val="23"/>
            </w:rPr>
            <w:t xml:space="preserve">5.2 </w:t>
          </w:r>
          <w:r>
            <w:rPr>
              <w:rFonts w:ascii="宋体" w:hAnsi="宋体" w:eastAsia="宋体" w:cs="宋体"/>
              <w:spacing w:val="10"/>
              <w:position w:val="1"/>
              <w:sz w:val="23"/>
              <w:szCs w:val="23"/>
            </w:rPr>
            <w:t>保护目标电磁影响分析</w:t>
          </w:r>
          <w:r>
            <w:rPr>
              <w:rFonts w:ascii="宋体" w:hAnsi="宋体" w:eastAsia="宋体" w:cs="宋体"/>
              <w:spacing w:val="-91"/>
              <w:position w:val="1"/>
              <w:sz w:val="23"/>
              <w:szCs w:val="23"/>
            </w:rPr>
            <w:t xml:space="preserve"> </w:t>
          </w:r>
          <w:r>
            <w:rPr>
              <w:rFonts w:ascii="宋体" w:hAnsi="宋体" w:eastAsia="宋体" w:cs="宋体"/>
              <w:position w:val="1"/>
              <w:sz w:val="23"/>
              <w:szCs w:val="23"/>
            </w:rPr>
            <w:tab/>
          </w:r>
          <w:r>
            <w:fldChar w:fldCharType="begin"/>
          </w:r>
          <w:r>
            <w:instrText xml:space="preserve"> HYPERLINK \l "bookmark29" </w:instrText>
          </w:r>
          <w:r>
            <w:fldChar w:fldCharType="separate"/>
          </w:r>
          <w:r>
            <w:rPr>
              <w:spacing w:val="-3"/>
              <w:position w:val="1"/>
              <w:sz w:val="23"/>
              <w:szCs w:val="23"/>
            </w:rPr>
            <w:t>13</w:t>
          </w:r>
          <w:r>
            <w:rPr>
              <w:spacing w:val="-3"/>
              <w:position w:val="1"/>
              <w:sz w:val="23"/>
              <w:szCs w:val="23"/>
            </w:rPr>
            <w:fldChar w:fldCharType="end"/>
          </w:r>
        </w:p>
        <w:p w14:paraId="16D85BA3">
          <w:pPr>
            <w:pStyle w:val="2"/>
            <w:tabs>
              <w:tab w:val="right" w:leader="dot" w:pos="8270"/>
            </w:tabs>
            <w:spacing w:before="157" w:line="313" w:lineRule="exact"/>
            <w:ind w:left="410"/>
            <w:rPr>
              <w:sz w:val="23"/>
              <w:szCs w:val="23"/>
            </w:rPr>
          </w:pPr>
          <w:r>
            <w:rPr>
              <w:rFonts w:ascii="Times New Roman" w:hAnsi="Times New Roman" w:eastAsia="Times New Roman" w:cs="Times New Roman"/>
              <w:spacing w:val="7"/>
              <w:position w:val="1"/>
              <w:sz w:val="23"/>
              <w:szCs w:val="23"/>
            </w:rPr>
            <w:t>5.3</w:t>
          </w:r>
          <w:r>
            <w:rPr>
              <w:rFonts w:ascii="Times New Roman" w:hAnsi="Times New Roman" w:eastAsia="Times New Roman" w:cs="Times New Roman"/>
              <w:spacing w:val="43"/>
              <w:w w:val="101"/>
              <w:position w:val="1"/>
              <w:sz w:val="23"/>
              <w:szCs w:val="23"/>
            </w:rPr>
            <w:t xml:space="preserve"> </w:t>
          </w:r>
          <w:r>
            <w:rPr>
              <w:rFonts w:ascii="宋体" w:hAnsi="宋体" w:eastAsia="宋体" w:cs="宋体"/>
              <w:spacing w:val="7"/>
              <w:position w:val="1"/>
              <w:sz w:val="23"/>
              <w:szCs w:val="23"/>
            </w:rPr>
            <w:t>电磁环境达标控制要求</w:t>
          </w:r>
          <w:r>
            <w:rPr>
              <w:rFonts w:ascii="宋体" w:hAnsi="宋体" w:eastAsia="宋体" w:cs="宋体"/>
              <w:spacing w:val="-96"/>
              <w:position w:val="1"/>
              <w:sz w:val="23"/>
              <w:szCs w:val="23"/>
            </w:rPr>
            <w:t xml:space="preserve"> </w:t>
          </w:r>
          <w:r>
            <w:rPr>
              <w:rFonts w:ascii="宋体" w:hAnsi="宋体" w:eastAsia="宋体" w:cs="宋体"/>
              <w:position w:val="1"/>
              <w:sz w:val="23"/>
              <w:szCs w:val="23"/>
            </w:rPr>
            <w:tab/>
          </w:r>
          <w:r>
            <w:fldChar w:fldCharType="begin"/>
          </w:r>
          <w:r>
            <w:instrText xml:space="preserve"> HYPERLINK \l "bookmark30" </w:instrText>
          </w:r>
          <w:r>
            <w:fldChar w:fldCharType="separate"/>
          </w:r>
          <w:r>
            <w:rPr>
              <w:position w:val="1"/>
              <w:sz w:val="23"/>
              <w:szCs w:val="23"/>
            </w:rPr>
            <w:t>13</w:t>
          </w:r>
          <w:r>
            <w:rPr>
              <w:position w:val="1"/>
              <w:sz w:val="23"/>
              <w:szCs w:val="23"/>
            </w:rPr>
            <w:fldChar w:fldCharType="end"/>
          </w:r>
        </w:p>
        <w:p w14:paraId="0CB4ADA2">
          <w:pPr>
            <w:pStyle w:val="2"/>
            <w:tabs>
              <w:tab w:val="right" w:leader="dot" w:pos="8280"/>
            </w:tabs>
            <w:spacing w:before="167" w:line="313" w:lineRule="exact"/>
            <w:rPr>
              <w:sz w:val="23"/>
              <w:szCs w:val="23"/>
            </w:rPr>
          </w:pPr>
          <w:r>
            <w:rPr>
              <w:rFonts w:ascii="Times New Roman" w:hAnsi="Times New Roman" w:eastAsia="Times New Roman" w:cs="Times New Roman"/>
              <w:spacing w:val="10"/>
              <w:position w:val="1"/>
              <w:sz w:val="23"/>
              <w:szCs w:val="23"/>
            </w:rPr>
            <w:t>6.</w:t>
          </w:r>
          <w:r>
            <w:rPr>
              <w:rFonts w:ascii="宋体" w:hAnsi="宋体" w:eastAsia="宋体" w:cs="宋体"/>
              <w:spacing w:val="10"/>
              <w:position w:val="1"/>
              <w:sz w:val="23"/>
              <w:szCs w:val="23"/>
            </w:rPr>
            <w:t>电磁环境保护措施</w:t>
          </w:r>
          <w:r>
            <w:rPr>
              <w:rFonts w:ascii="宋体" w:hAnsi="宋体" w:eastAsia="宋体" w:cs="宋体"/>
              <w:spacing w:val="-89"/>
              <w:position w:val="1"/>
              <w:sz w:val="23"/>
              <w:szCs w:val="23"/>
            </w:rPr>
            <w:t xml:space="preserve"> </w:t>
          </w:r>
          <w:r>
            <w:rPr>
              <w:rFonts w:ascii="宋体" w:hAnsi="宋体" w:eastAsia="宋体" w:cs="宋体"/>
              <w:position w:val="1"/>
              <w:sz w:val="23"/>
              <w:szCs w:val="23"/>
            </w:rPr>
            <w:tab/>
          </w:r>
          <w:r>
            <w:fldChar w:fldCharType="begin"/>
          </w:r>
          <w:r>
            <w:instrText xml:space="preserve"> HYPERLINK \l "bookmark31" </w:instrText>
          </w:r>
          <w:r>
            <w:fldChar w:fldCharType="separate"/>
          </w:r>
          <w:r>
            <w:rPr>
              <w:spacing w:val="-6"/>
              <w:position w:val="1"/>
              <w:sz w:val="23"/>
              <w:szCs w:val="23"/>
            </w:rPr>
            <w:t>13</w:t>
          </w:r>
          <w:r>
            <w:rPr>
              <w:spacing w:val="-6"/>
              <w:position w:val="1"/>
              <w:sz w:val="23"/>
              <w:szCs w:val="23"/>
            </w:rPr>
            <w:fldChar w:fldCharType="end"/>
          </w:r>
        </w:p>
        <w:p w14:paraId="75AA1DF5">
          <w:pPr>
            <w:pStyle w:val="2"/>
            <w:tabs>
              <w:tab w:val="right" w:leader="dot" w:pos="8260"/>
            </w:tabs>
            <w:spacing w:before="198" w:line="220" w:lineRule="auto"/>
            <w:rPr>
              <w:sz w:val="23"/>
              <w:szCs w:val="23"/>
            </w:rPr>
          </w:pPr>
          <w:r>
            <w:rPr>
              <w:rFonts w:ascii="Times New Roman" w:hAnsi="Times New Roman" w:eastAsia="Times New Roman" w:cs="Times New Roman"/>
              <w:spacing w:val="8"/>
              <w:sz w:val="23"/>
              <w:szCs w:val="23"/>
            </w:rPr>
            <w:t>7</w:t>
          </w:r>
          <w:r>
            <w:rPr>
              <w:rFonts w:ascii="Times New Roman" w:hAnsi="Times New Roman" w:eastAsia="Times New Roman" w:cs="Times New Roman"/>
              <w:spacing w:val="31"/>
              <w:w w:val="101"/>
              <w:sz w:val="23"/>
              <w:szCs w:val="23"/>
            </w:rPr>
            <w:t xml:space="preserve"> </w:t>
          </w:r>
          <w:r>
            <w:rPr>
              <w:rFonts w:ascii="宋体" w:hAnsi="宋体" w:eastAsia="宋体" w:cs="宋体"/>
              <w:spacing w:val="8"/>
              <w:sz w:val="23"/>
              <w:szCs w:val="23"/>
            </w:rPr>
            <w:t>电磁环境监测计划</w:t>
          </w:r>
          <w:r>
            <w:rPr>
              <w:rFonts w:ascii="宋体" w:hAnsi="宋体" w:eastAsia="宋体" w:cs="宋体"/>
              <w:spacing w:val="-102"/>
              <w:sz w:val="23"/>
              <w:szCs w:val="23"/>
            </w:rPr>
            <w:t xml:space="preserve"> </w:t>
          </w:r>
          <w:r>
            <w:rPr>
              <w:rFonts w:ascii="宋体" w:hAnsi="宋体" w:eastAsia="宋体" w:cs="宋体"/>
              <w:sz w:val="23"/>
              <w:szCs w:val="23"/>
            </w:rPr>
            <w:tab/>
          </w:r>
          <w:r>
            <w:fldChar w:fldCharType="begin"/>
          </w:r>
          <w:r>
            <w:instrText xml:space="preserve"> HYPERLINK \l "bookmark32" </w:instrText>
          </w:r>
          <w:r>
            <w:fldChar w:fldCharType="separate"/>
          </w:r>
          <w:r>
            <w:rPr>
              <w:spacing w:val="-6"/>
              <w:sz w:val="23"/>
              <w:szCs w:val="23"/>
            </w:rPr>
            <w:t>14</w:t>
          </w:r>
          <w:r>
            <w:rPr>
              <w:spacing w:val="-6"/>
              <w:sz w:val="23"/>
              <w:szCs w:val="23"/>
            </w:rPr>
            <w:fldChar w:fldCharType="end"/>
          </w:r>
        </w:p>
        <w:p w14:paraId="1BB4AF8E">
          <w:pPr>
            <w:pStyle w:val="2"/>
            <w:tabs>
              <w:tab w:val="right" w:leader="dot" w:pos="8270"/>
            </w:tabs>
            <w:spacing w:before="174" w:line="218" w:lineRule="auto"/>
            <w:rPr>
              <w:sz w:val="23"/>
              <w:szCs w:val="23"/>
            </w:rPr>
          </w:pPr>
          <w:r>
            <w:rPr>
              <w:rFonts w:ascii="Times New Roman" w:hAnsi="Times New Roman" w:eastAsia="Times New Roman" w:cs="Times New Roman"/>
              <w:spacing w:val="-10"/>
              <w:sz w:val="23"/>
              <w:szCs w:val="23"/>
            </w:rPr>
            <w:t xml:space="preserve">8. </w:t>
          </w:r>
          <w:r>
            <w:rPr>
              <w:rFonts w:ascii="宋体" w:hAnsi="宋体" w:eastAsia="宋体" w:cs="宋体"/>
              <w:spacing w:val="-10"/>
              <w:sz w:val="23"/>
              <w:szCs w:val="23"/>
            </w:rPr>
            <w:t>评价结论</w:t>
          </w:r>
          <w:r>
            <w:rPr>
              <w:rFonts w:ascii="宋体" w:hAnsi="宋体" w:eastAsia="宋体" w:cs="宋体"/>
              <w:spacing w:val="-96"/>
              <w:sz w:val="23"/>
              <w:szCs w:val="23"/>
            </w:rPr>
            <w:t xml:space="preserve"> </w:t>
          </w:r>
          <w:r>
            <w:rPr>
              <w:rFonts w:ascii="宋体" w:hAnsi="宋体" w:eastAsia="宋体" w:cs="宋体"/>
              <w:sz w:val="23"/>
              <w:szCs w:val="23"/>
            </w:rPr>
            <w:tab/>
          </w:r>
          <w:r>
            <w:rPr>
              <w:rFonts w:ascii="宋体" w:hAnsi="宋体" w:eastAsia="宋体" w:cs="宋体"/>
              <w:spacing w:val="-48"/>
              <w:sz w:val="23"/>
              <w:szCs w:val="23"/>
            </w:rPr>
            <w:t xml:space="preserve"> </w:t>
          </w:r>
          <w:r>
            <w:fldChar w:fldCharType="begin"/>
          </w:r>
          <w:r>
            <w:instrText xml:space="preserve"> HYPERLINK \l "bookmark33" </w:instrText>
          </w:r>
          <w:r>
            <w:fldChar w:fldCharType="separate"/>
          </w:r>
          <w:r>
            <w:rPr>
              <w:spacing w:val="-7"/>
              <w:sz w:val="23"/>
              <w:szCs w:val="23"/>
            </w:rPr>
            <w:t>14</w:t>
          </w:r>
          <w:r>
            <w:rPr>
              <w:spacing w:val="-7"/>
              <w:sz w:val="23"/>
              <w:szCs w:val="23"/>
            </w:rPr>
            <w:fldChar w:fldCharType="end"/>
          </w:r>
        </w:p>
      </w:sdtContent>
    </w:sdt>
    <w:p w14:paraId="421C4393">
      <w:pPr>
        <w:spacing w:line="218" w:lineRule="auto"/>
        <w:rPr>
          <w:sz w:val="23"/>
          <w:szCs w:val="23"/>
        </w:rPr>
        <w:sectPr>
          <w:pgSz w:w="11910" w:h="16840"/>
          <w:pgMar w:top="1369" w:right="1786" w:bottom="400" w:left="1769" w:header="0" w:footer="0" w:gutter="0"/>
          <w:cols w:space="720" w:num="1"/>
        </w:sectPr>
      </w:pPr>
    </w:p>
    <w:p w14:paraId="58E6E76B">
      <w:pPr>
        <w:spacing w:before="259" w:line="221" w:lineRule="auto"/>
        <w:rPr>
          <w:rFonts w:ascii="宋体" w:hAnsi="宋体" w:eastAsia="宋体" w:cs="宋体"/>
          <w:sz w:val="31"/>
          <w:szCs w:val="31"/>
        </w:rPr>
      </w:pPr>
      <w:r>
        <w:rPr>
          <w:rFonts w:ascii="宋体" w:hAnsi="宋体" w:eastAsia="宋体" w:cs="宋体"/>
          <w:spacing w:val="-22"/>
          <w:sz w:val="31"/>
          <w:szCs w:val="31"/>
        </w:rPr>
        <w:t>1.</w:t>
      </w:r>
      <w:r>
        <w:rPr>
          <w:rFonts w:ascii="宋体" w:hAnsi="宋体" w:eastAsia="宋体" w:cs="宋体"/>
          <w:b/>
          <w:bCs/>
          <w:spacing w:val="-22"/>
          <w:sz w:val="31"/>
          <w:szCs w:val="31"/>
        </w:rPr>
        <w:t>前言</w:t>
      </w:r>
    </w:p>
    <w:p w14:paraId="79ED17C2">
      <w:pPr>
        <w:spacing w:before="225" w:line="354" w:lineRule="auto"/>
        <w:ind w:right="89" w:firstLine="490"/>
        <w:jc w:val="both"/>
        <w:rPr>
          <w:rFonts w:ascii="宋体" w:hAnsi="宋体" w:eastAsia="宋体" w:cs="宋体"/>
          <w:sz w:val="24"/>
          <w:szCs w:val="24"/>
        </w:rPr>
      </w:pPr>
      <w:r>
        <w:rPr>
          <w:rFonts w:ascii="宋体" w:hAnsi="宋体" w:eastAsia="宋体" w:cs="宋体"/>
          <w:spacing w:val="-3"/>
          <w:sz w:val="24"/>
          <w:szCs w:val="24"/>
        </w:rPr>
        <w:t>项目位于云南省曲靖市马龙区马鸣乡，本项目为光伏发电项目，光伏电</w:t>
      </w:r>
      <w:r>
        <w:rPr>
          <w:rFonts w:ascii="宋体" w:hAnsi="宋体" w:eastAsia="宋体" w:cs="宋体"/>
          <w:spacing w:val="-4"/>
          <w:sz w:val="24"/>
          <w:szCs w:val="24"/>
        </w:rPr>
        <w:t>站规</w:t>
      </w:r>
      <w:r>
        <w:rPr>
          <w:rFonts w:ascii="宋体" w:hAnsi="宋体" w:eastAsia="宋体" w:cs="宋体"/>
          <w:sz w:val="24"/>
          <w:szCs w:val="24"/>
        </w:rPr>
        <w:t xml:space="preserve"> </w:t>
      </w:r>
      <w:r>
        <w:rPr>
          <w:rFonts w:ascii="宋体" w:hAnsi="宋体" w:eastAsia="宋体" w:cs="宋体"/>
          <w:spacing w:val="9"/>
          <w:sz w:val="24"/>
          <w:szCs w:val="24"/>
        </w:rPr>
        <w:t>划安装容量180</w:t>
      </w:r>
      <w:r>
        <w:rPr>
          <w:rFonts w:ascii="Times New Roman" w:hAnsi="Times New Roman" w:eastAsia="Times New Roman" w:cs="Times New Roman"/>
          <w:sz w:val="24"/>
          <w:szCs w:val="24"/>
        </w:rPr>
        <w:t>MW</w:t>
      </w:r>
      <w:r>
        <w:rPr>
          <w:rFonts w:ascii="Times New Roman" w:hAnsi="Times New Roman" w:eastAsia="Times New Roman" w:cs="Times New Roman"/>
          <w:spacing w:val="9"/>
          <w:sz w:val="24"/>
          <w:szCs w:val="24"/>
        </w:rPr>
        <w:t>,</w:t>
      </w:r>
      <w:r>
        <w:rPr>
          <w:rFonts w:ascii="Times New Roman" w:hAnsi="Times New Roman" w:eastAsia="Times New Roman" w:cs="Times New Roman"/>
          <w:spacing w:val="2"/>
          <w:sz w:val="24"/>
          <w:szCs w:val="24"/>
        </w:rPr>
        <w:t xml:space="preserve">   </w:t>
      </w:r>
      <w:r>
        <w:rPr>
          <w:rFonts w:ascii="宋体" w:hAnsi="宋体" w:eastAsia="宋体" w:cs="宋体"/>
          <w:spacing w:val="9"/>
          <w:sz w:val="24"/>
          <w:szCs w:val="24"/>
        </w:rPr>
        <w:t>配套建设220</w:t>
      </w:r>
      <w:r>
        <w:rPr>
          <w:rFonts w:ascii="Times New Roman" w:hAnsi="Times New Roman" w:eastAsia="Times New Roman" w:cs="Times New Roman"/>
          <w:sz w:val="24"/>
          <w:szCs w:val="24"/>
        </w:rPr>
        <w:t>kV</w:t>
      </w:r>
      <w:r>
        <w:rPr>
          <w:rFonts w:ascii="Times New Roman" w:hAnsi="Times New Roman" w:eastAsia="Times New Roman" w:cs="Times New Roman"/>
          <w:spacing w:val="9"/>
          <w:sz w:val="24"/>
          <w:szCs w:val="24"/>
        </w:rPr>
        <w:t xml:space="preserve"> </w:t>
      </w:r>
      <w:r>
        <w:rPr>
          <w:rFonts w:ascii="宋体" w:hAnsi="宋体" w:eastAsia="宋体" w:cs="宋体"/>
          <w:spacing w:val="9"/>
          <w:sz w:val="24"/>
          <w:szCs w:val="24"/>
        </w:rPr>
        <w:t>升压站一座，以4回35</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9"/>
          <w:sz w:val="24"/>
          <w:szCs w:val="24"/>
        </w:rPr>
        <w:t>集电线路汇集</w:t>
      </w:r>
      <w:r>
        <w:rPr>
          <w:rFonts w:ascii="宋体" w:hAnsi="宋体" w:eastAsia="宋体" w:cs="宋体"/>
          <w:sz w:val="24"/>
          <w:szCs w:val="24"/>
        </w:rPr>
        <w:t xml:space="preserve"> </w:t>
      </w:r>
      <w:r>
        <w:rPr>
          <w:rFonts w:ascii="宋体" w:hAnsi="宋体" w:eastAsia="宋体" w:cs="宋体"/>
          <w:spacing w:val="5"/>
          <w:sz w:val="24"/>
          <w:szCs w:val="24"/>
        </w:rPr>
        <w:t>光伏电力至220</w:t>
      </w:r>
      <w:r>
        <w:rPr>
          <w:rFonts w:ascii="Times New Roman" w:hAnsi="Times New Roman" w:eastAsia="Times New Roman" w:cs="Times New Roman"/>
          <w:sz w:val="24"/>
          <w:szCs w:val="24"/>
        </w:rPr>
        <w:t>kV</w:t>
      </w:r>
      <w:r>
        <w:rPr>
          <w:rFonts w:ascii="Times New Roman" w:hAnsi="Times New Roman" w:eastAsia="Times New Roman" w:cs="Times New Roman"/>
          <w:spacing w:val="-22"/>
          <w:sz w:val="24"/>
          <w:szCs w:val="24"/>
        </w:rPr>
        <w:t xml:space="preserve"> </w:t>
      </w:r>
      <w:r>
        <w:rPr>
          <w:rFonts w:ascii="宋体" w:hAnsi="宋体" w:eastAsia="宋体" w:cs="宋体"/>
          <w:spacing w:val="5"/>
          <w:sz w:val="24"/>
          <w:szCs w:val="24"/>
        </w:rPr>
        <w:t>升压站。由于送出线路及接</w:t>
      </w:r>
      <w:r>
        <w:rPr>
          <w:rFonts w:ascii="宋体" w:hAnsi="宋体" w:eastAsia="宋体" w:cs="宋体"/>
          <w:spacing w:val="4"/>
          <w:sz w:val="24"/>
          <w:szCs w:val="24"/>
        </w:rPr>
        <w:t>入方案目前尚未确定，故本次评</w:t>
      </w:r>
      <w:r>
        <w:rPr>
          <w:rFonts w:ascii="宋体" w:hAnsi="宋体" w:eastAsia="宋体" w:cs="宋体"/>
          <w:sz w:val="24"/>
          <w:szCs w:val="24"/>
        </w:rPr>
        <w:t xml:space="preserve"> </w:t>
      </w:r>
      <w:r>
        <w:rPr>
          <w:rFonts w:ascii="宋体" w:hAnsi="宋体" w:eastAsia="宋体" w:cs="宋体"/>
          <w:spacing w:val="-4"/>
          <w:sz w:val="24"/>
          <w:szCs w:val="24"/>
        </w:rPr>
        <w:t>价内容不包括送出线路。</w:t>
      </w:r>
    </w:p>
    <w:p w14:paraId="6FF15039">
      <w:pPr>
        <w:spacing w:before="27" w:line="357" w:lineRule="auto"/>
        <w:ind w:right="106" w:firstLine="510"/>
        <w:jc w:val="both"/>
        <w:rPr>
          <w:rFonts w:ascii="宋体" w:hAnsi="宋体" w:eastAsia="宋体" w:cs="宋体"/>
          <w:sz w:val="24"/>
          <w:szCs w:val="24"/>
        </w:rPr>
      </w:pPr>
      <w:r>
        <w:rPr>
          <w:rFonts w:ascii="宋体" w:hAnsi="宋体" w:eastAsia="宋体" w:cs="宋体"/>
          <w:spacing w:val="12"/>
          <w:sz w:val="24"/>
          <w:szCs w:val="24"/>
        </w:rPr>
        <w:t>根据《建设项目环境影响评价分类管理名录(2021版)》,10</w:t>
      </w:r>
      <w:r>
        <w:rPr>
          <w:rFonts w:ascii="宋体" w:hAnsi="宋体" w:eastAsia="宋体" w:cs="宋体"/>
          <w:spacing w:val="11"/>
          <w:sz w:val="24"/>
          <w:szCs w:val="24"/>
        </w:rPr>
        <w:t>0</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11"/>
          <w:sz w:val="24"/>
          <w:szCs w:val="24"/>
        </w:rPr>
        <w:t>以下输</w:t>
      </w:r>
      <w:r>
        <w:rPr>
          <w:rFonts w:ascii="宋体" w:hAnsi="宋体" w:eastAsia="宋体" w:cs="宋体"/>
          <w:sz w:val="24"/>
          <w:szCs w:val="24"/>
        </w:rPr>
        <w:t xml:space="preserve"> </w:t>
      </w:r>
      <w:r>
        <w:rPr>
          <w:rFonts w:ascii="宋体" w:hAnsi="宋体" w:eastAsia="宋体" w:cs="宋体"/>
          <w:spacing w:val="5"/>
          <w:sz w:val="24"/>
          <w:szCs w:val="24"/>
        </w:rPr>
        <w:t>变电工程属于豁免评价，项目集电线路电压等级为35</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w:t>
      </w:r>
      <w:r>
        <w:rPr>
          <w:rFonts w:ascii="Times New Roman" w:hAnsi="Times New Roman" w:eastAsia="Times New Roman" w:cs="Times New Roman"/>
          <w:spacing w:val="27"/>
          <w:sz w:val="24"/>
          <w:szCs w:val="24"/>
        </w:rPr>
        <w:t xml:space="preserve">  </w:t>
      </w:r>
      <w:r>
        <w:rPr>
          <w:rFonts w:ascii="宋体" w:hAnsi="宋体" w:eastAsia="宋体" w:cs="宋体"/>
          <w:spacing w:val="5"/>
          <w:sz w:val="24"/>
          <w:szCs w:val="24"/>
        </w:rPr>
        <w:t>低于100</w:t>
      </w:r>
      <w:r>
        <w:rPr>
          <w:rFonts w:ascii="Times New Roman" w:hAnsi="Times New Roman" w:eastAsia="Times New Roman" w:cs="Times New Roman"/>
          <w:sz w:val="24"/>
          <w:szCs w:val="24"/>
        </w:rPr>
        <w:t>kV</w:t>
      </w:r>
      <w:r>
        <w:rPr>
          <w:rFonts w:ascii="Times New Roman" w:hAnsi="Times New Roman" w:eastAsia="Times New Roman" w:cs="Times New Roman"/>
          <w:spacing w:val="5"/>
          <w:sz w:val="24"/>
          <w:szCs w:val="24"/>
        </w:rPr>
        <w:t>,</w:t>
      </w:r>
      <w:r>
        <w:rPr>
          <w:rFonts w:ascii="Times New Roman" w:hAnsi="Times New Roman" w:eastAsia="Times New Roman" w:cs="Times New Roman"/>
          <w:spacing w:val="19"/>
          <w:sz w:val="24"/>
          <w:szCs w:val="24"/>
        </w:rPr>
        <w:t xml:space="preserve">  </w:t>
      </w:r>
      <w:r>
        <w:rPr>
          <w:rFonts w:ascii="宋体" w:hAnsi="宋体" w:eastAsia="宋体" w:cs="宋体"/>
          <w:spacing w:val="5"/>
          <w:sz w:val="24"/>
          <w:szCs w:val="24"/>
        </w:rPr>
        <w:t>其电磁</w:t>
      </w:r>
      <w:r>
        <w:rPr>
          <w:rFonts w:ascii="宋体" w:hAnsi="宋体" w:eastAsia="宋体" w:cs="宋体"/>
          <w:sz w:val="24"/>
          <w:szCs w:val="24"/>
        </w:rPr>
        <w:t xml:space="preserve"> </w:t>
      </w:r>
      <w:r>
        <w:rPr>
          <w:rFonts w:ascii="宋体" w:hAnsi="宋体" w:eastAsia="宋体" w:cs="宋体"/>
          <w:spacing w:val="15"/>
          <w:sz w:val="24"/>
          <w:szCs w:val="24"/>
        </w:rPr>
        <w:t>环境影响可免于管理(豁免范围),项目拟建220</w:t>
      </w:r>
      <w:r>
        <w:rPr>
          <w:rFonts w:ascii="Times New Roman" w:hAnsi="Times New Roman" w:eastAsia="Times New Roman" w:cs="Times New Roman"/>
          <w:sz w:val="24"/>
          <w:szCs w:val="24"/>
        </w:rPr>
        <w:t>kV</w:t>
      </w:r>
      <w:r>
        <w:rPr>
          <w:rFonts w:ascii="Times New Roman" w:hAnsi="Times New Roman" w:eastAsia="Times New Roman" w:cs="Times New Roman"/>
          <w:spacing w:val="-15"/>
          <w:sz w:val="24"/>
          <w:szCs w:val="24"/>
        </w:rPr>
        <w:t xml:space="preserve"> </w:t>
      </w:r>
      <w:r>
        <w:rPr>
          <w:rFonts w:ascii="宋体" w:hAnsi="宋体" w:eastAsia="宋体" w:cs="宋体"/>
          <w:spacing w:val="15"/>
          <w:sz w:val="24"/>
          <w:szCs w:val="24"/>
        </w:rPr>
        <w:t>升压站送出线路不在此次</w:t>
      </w:r>
      <w:r>
        <w:rPr>
          <w:rFonts w:ascii="宋体" w:hAnsi="宋体" w:eastAsia="宋体" w:cs="宋体"/>
          <w:sz w:val="24"/>
          <w:szCs w:val="24"/>
        </w:rPr>
        <w:t xml:space="preserve"> </w:t>
      </w:r>
      <w:r>
        <w:rPr>
          <w:rFonts w:ascii="宋体" w:hAnsi="宋体" w:eastAsia="宋体" w:cs="宋体"/>
          <w:spacing w:val="1"/>
          <w:sz w:val="24"/>
          <w:szCs w:val="24"/>
        </w:rPr>
        <w:t>评价范围内，因此本次专题报告对220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rFonts w:ascii="宋体" w:hAnsi="宋体" w:eastAsia="宋体" w:cs="宋体"/>
          <w:spacing w:val="1"/>
          <w:sz w:val="24"/>
          <w:szCs w:val="24"/>
        </w:rPr>
        <w:t>升压站电磁环境影响进行评价。</w:t>
      </w:r>
    </w:p>
    <w:p w14:paraId="58FB5847">
      <w:pPr>
        <w:spacing w:before="252" w:line="220" w:lineRule="auto"/>
        <w:rPr>
          <w:rFonts w:ascii="宋体" w:hAnsi="宋体" w:eastAsia="宋体" w:cs="宋体"/>
          <w:sz w:val="31"/>
          <w:szCs w:val="31"/>
        </w:rPr>
      </w:pPr>
      <w:r>
        <w:rPr>
          <w:rFonts w:ascii="宋体" w:hAnsi="宋体" w:eastAsia="宋体" w:cs="宋体"/>
          <w:spacing w:val="-17"/>
          <w:sz w:val="31"/>
          <w:szCs w:val="31"/>
        </w:rPr>
        <w:t>2.总则</w:t>
      </w:r>
    </w:p>
    <w:p w14:paraId="72EE52FB">
      <w:pPr>
        <w:spacing w:before="222" w:line="219" w:lineRule="auto"/>
        <w:ind w:left="4"/>
        <w:rPr>
          <w:rFonts w:ascii="宋体" w:hAnsi="宋体" w:eastAsia="宋体" w:cs="宋体"/>
          <w:sz w:val="28"/>
          <w:szCs w:val="28"/>
        </w:rPr>
      </w:pPr>
      <w:r>
        <w:rPr>
          <w:rFonts w:ascii="宋体" w:hAnsi="宋体" w:eastAsia="宋体" w:cs="宋体"/>
          <w:b/>
          <w:bCs/>
          <w:sz w:val="28"/>
          <w:szCs w:val="28"/>
        </w:rPr>
        <w:t>2.1编制依据</w:t>
      </w:r>
    </w:p>
    <w:p w14:paraId="786ACFEC">
      <w:pPr>
        <w:spacing w:before="202" w:line="219" w:lineRule="auto"/>
        <w:rPr>
          <w:rFonts w:ascii="宋体" w:hAnsi="宋体" w:eastAsia="宋体" w:cs="宋体"/>
          <w:sz w:val="24"/>
          <w:szCs w:val="24"/>
        </w:rPr>
      </w:pPr>
      <w:r>
        <w:rPr>
          <w:rFonts w:ascii="宋体" w:hAnsi="宋体" w:eastAsia="宋体" w:cs="宋体"/>
          <w:spacing w:val="-3"/>
          <w:sz w:val="24"/>
          <w:szCs w:val="24"/>
        </w:rPr>
        <w:t>2.1.1相关法律、法规及规范</w:t>
      </w:r>
    </w:p>
    <w:p w14:paraId="7389CB28">
      <w:pPr>
        <w:spacing w:before="184" w:line="283" w:lineRule="auto"/>
        <w:ind w:right="76" w:firstLine="620"/>
        <w:rPr>
          <w:rFonts w:ascii="宋体" w:hAnsi="宋体" w:eastAsia="宋体" w:cs="宋体"/>
          <w:sz w:val="24"/>
          <w:szCs w:val="24"/>
        </w:rPr>
      </w:pPr>
      <w:r>
        <w:rPr>
          <w:rFonts w:ascii="宋体" w:hAnsi="宋体" w:eastAsia="宋体" w:cs="宋体"/>
          <w:spacing w:val="17"/>
          <w:sz w:val="24"/>
          <w:szCs w:val="24"/>
        </w:rPr>
        <w:t>(1)《中华人民共和国环境保护法》(主席令第22号，2014年4月24日</w:t>
      </w:r>
      <w:r>
        <w:rPr>
          <w:rFonts w:ascii="宋体" w:hAnsi="宋体" w:eastAsia="宋体" w:cs="宋体"/>
          <w:spacing w:val="10"/>
          <w:sz w:val="24"/>
          <w:szCs w:val="24"/>
        </w:rPr>
        <w:t xml:space="preserve"> </w:t>
      </w:r>
      <w:r>
        <w:rPr>
          <w:rFonts w:ascii="宋体" w:hAnsi="宋体" w:eastAsia="宋体" w:cs="宋体"/>
          <w:spacing w:val="25"/>
          <w:sz w:val="24"/>
          <w:szCs w:val="24"/>
        </w:rPr>
        <w:t>修订，2015年1月1日起施行);</w:t>
      </w:r>
    </w:p>
    <w:p w14:paraId="6A4C09B1">
      <w:pPr>
        <w:spacing w:before="193" w:line="218" w:lineRule="auto"/>
        <w:ind w:left="620"/>
        <w:rPr>
          <w:rFonts w:ascii="宋体" w:hAnsi="宋体" w:eastAsia="宋体" w:cs="宋体"/>
          <w:sz w:val="24"/>
          <w:szCs w:val="24"/>
        </w:rPr>
      </w:pPr>
      <w:r>
        <w:rPr>
          <w:rFonts w:ascii="宋体" w:hAnsi="宋体" w:eastAsia="宋体" w:cs="宋体"/>
          <w:spacing w:val="7"/>
          <w:sz w:val="24"/>
          <w:szCs w:val="24"/>
        </w:rPr>
        <w:t>(2)《中华人民共和国环境影响评价法》(2018年12月29日修订并实施);</w:t>
      </w:r>
    </w:p>
    <w:p w14:paraId="23F1A317">
      <w:pPr>
        <w:spacing w:before="189" w:line="219" w:lineRule="auto"/>
        <w:ind w:left="620"/>
        <w:rPr>
          <w:rFonts w:ascii="宋体" w:hAnsi="宋体" w:eastAsia="宋体" w:cs="宋体"/>
          <w:sz w:val="24"/>
          <w:szCs w:val="24"/>
        </w:rPr>
      </w:pPr>
      <w:r>
        <w:rPr>
          <w:rFonts w:ascii="宋体" w:hAnsi="宋体" w:eastAsia="宋体" w:cs="宋体"/>
          <w:spacing w:val="21"/>
          <w:sz w:val="24"/>
          <w:szCs w:val="24"/>
        </w:rPr>
        <w:t>(3)《中华人民共和国电力法》(2018年12月29日修订</w:t>
      </w:r>
      <w:r>
        <w:rPr>
          <w:rFonts w:ascii="宋体" w:hAnsi="宋体" w:eastAsia="宋体" w:cs="宋体"/>
          <w:spacing w:val="20"/>
          <w:sz w:val="24"/>
          <w:szCs w:val="24"/>
        </w:rPr>
        <w:t>);</w:t>
      </w:r>
    </w:p>
    <w:p w14:paraId="2A9134D8">
      <w:pPr>
        <w:spacing w:before="184" w:line="287" w:lineRule="auto"/>
        <w:ind w:firstLine="620"/>
        <w:rPr>
          <w:rFonts w:ascii="宋体" w:hAnsi="宋体" w:eastAsia="宋体" w:cs="宋体"/>
          <w:sz w:val="24"/>
          <w:szCs w:val="24"/>
        </w:rPr>
      </w:pPr>
      <w:r>
        <w:rPr>
          <w:rFonts w:ascii="宋体" w:hAnsi="宋体" w:eastAsia="宋体" w:cs="宋体"/>
          <w:spacing w:val="6"/>
          <w:sz w:val="24"/>
          <w:szCs w:val="24"/>
        </w:rPr>
        <w:t>(4)《建设项目环境保护管理条例》(中华人民共和国国务院令第682号，</w:t>
      </w:r>
      <w:r>
        <w:rPr>
          <w:rFonts w:ascii="宋体" w:hAnsi="宋体" w:eastAsia="宋体" w:cs="宋体"/>
          <w:spacing w:val="8"/>
          <w:sz w:val="24"/>
          <w:szCs w:val="24"/>
        </w:rPr>
        <w:t xml:space="preserve"> </w:t>
      </w:r>
      <w:r>
        <w:rPr>
          <w:rFonts w:ascii="宋体" w:hAnsi="宋体" w:eastAsia="宋体" w:cs="宋体"/>
          <w:spacing w:val="30"/>
          <w:sz w:val="24"/>
          <w:szCs w:val="24"/>
        </w:rPr>
        <w:t>2017年10月1日施行);</w:t>
      </w:r>
    </w:p>
    <w:p w14:paraId="3B5D1CB7">
      <w:pPr>
        <w:spacing w:before="184" w:line="219" w:lineRule="auto"/>
        <w:ind w:left="620"/>
        <w:rPr>
          <w:rFonts w:ascii="宋体" w:hAnsi="宋体" w:eastAsia="宋体" w:cs="宋体"/>
          <w:sz w:val="24"/>
          <w:szCs w:val="24"/>
        </w:rPr>
      </w:pPr>
      <w:r>
        <w:rPr>
          <w:rFonts w:ascii="宋体" w:hAnsi="宋体" w:eastAsia="宋体" w:cs="宋体"/>
          <w:spacing w:val="16"/>
          <w:sz w:val="24"/>
          <w:szCs w:val="24"/>
        </w:rPr>
        <w:t>(5)《电力设施保护条例》(2011年修正本)。</w:t>
      </w:r>
    </w:p>
    <w:p w14:paraId="024076CD">
      <w:pPr>
        <w:spacing w:before="172" w:line="292" w:lineRule="auto"/>
        <w:ind w:right="95" w:firstLine="620"/>
        <w:rPr>
          <w:rFonts w:ascii="宋体" w:hAnsi="宋体" w:eastAsia="宋体" w:cs="宋体"/>
          <w:sz w:val="24"/>
          <w:szCs w:val="24"/>
        </w:rPr>
      </w:pPr>
      <w:r>
        <w:rPr>
          <w:rFonts w:ascii="宋体" w:hAnsi="宋体" w:eastAsia="宋体" w:cs="宋体"/>
          <w:spacing w:val="23"/>
          <w:sz w:val="24"/>
          <w:szCs w:val="24"/>
        </w:rPr>
        <w:t>(6)《建设项目环境影响评价分类管理名录》(2021年版),2021年1</w:t>
      </w:r>
      <w:r>
        <w:rPr>
          <w:rFonts w:ascii="宋体" w:hAnsi="宋体" w:eastAsia="宋体" w:cs="宋体"/>
          <w:spacing w:val="15"/>
          <w:sz w:val="24"/>
          <w:szCs w:val="24"/>
        </w:rPr>
        <w:t xml:space="preserve"> </w:t>
      </w:r>
      <w:r>
        <w:rPr>
          <w:rFonts w:ascii="宋体" w:hAnsi="宋体" w:eastAsia="宋体" w:cs="宋体"/>
          <w:spacing w:val="10"/>
          <w:sz w:val="24"/>
          <w:szCs w:val="24"/>
        </w:rPr>
        <w:t>月1日实施；</w:t>
      </w:r>
    </w:p>
    <w:p w14:paraId="329288F6">
      <w:pPr>
        <w:spacing w:before="186" w:line="290" w:lineRule="auto"/>
        <w:ind w:right="87" w:firstLine="620"/>
        <w:rPr>
          <w:rFonts w:ascii="宋体" w:hAnsi="宋体" w:eastAsia="宋体" w:cs="宋体"/>
          <w:sz w:val="24"/>
          <w:szCs w:val="24"/>
        </w:rPr>
      </w:pPr>
      <w:r>
        <w:rPr>
          <w:rFonts w:ascii="宋体" w:hAnsi="宋体" w:eastAsia="宋体" w:cs="宋体"/>
          <w:spacing w:val="8"/>
          <w:sz w:val="24"/>
          <w:szCs w:val="24"/>
        </w:rPr>
        <w:t>(7)《关于进一步加强输变电类建设项目环</w:t>
      </w:r>
      <w:r>
        <w:rPr>
          <w:rFonts w:ascii="宋体" w:hAnsi="宋体" w:eastAsia="宋体" w:cs="宋体"/>
          <w:spacing w:val="7"/>
          <w:sz w:val="24"/>
          <w:szCs w:val="24"/>
        </w:rPr>
        <w:t>境保护监管工作的通知》(环</w:t>
      </w:r>
      <w:r>
        <w:rPr>
          <w:rFonts w:ascii="宋体" w:hAnsi="宋体" w:eastAsia="宋体" w:cs="宋体"/>
          <w:sz w:val="24"/>
          <w:szCs w:val="24"/>
        </w:rPr>
        <w:t xml:space="preserve"> </w:t>
      </w:r>
      <w:r>
        <w:rPr>
          <w:rFonts w:ascii="宋体" w:hAnsi="宋体" w:eastAsia="宋体" w:cs="宋体"/>
          <w:spacing w:val="13"/>
          <w:sz w:val="24"/>
          <w:szCs w:val="24"/>
        </w:rPr>
        <w:t>办〔2012〕131号);</w:t>
      </w:r>
    </w:p>
    <w:p w14:paraId="75260CF7">
      <w:pPr>
        <w:spacing w:before="166" w:line="219" w:lineRule="auto"/>
        <w:rPr>
          <w:rFonts w:ascii="宋体" w:hAnsi="宋体" w:eastAsia="宋体" w:cs="宋体"/>
          <w:sz w:val="26"/>
          <w:szCs w:val="26"/>
        </w:rPr>
      </w:pPr>
      <w:r>
        <w:rPr>
          <w:rFonts w:ascii="宋体" w:hAnsi="宋体" w:eastAsia="宋体" w:cs="宋体"/>
          <w:spacing w:val="-19"/>
          <w:sz w:val="26"/>
          <w:szCs w:val="26"/>
        </w:rPr>
        <w:t>2.1.3技术规范与标准</w:t>
      </w:r>
    </w:p>
    <w:p w14:paraId="629A59AA">
      <w:pPr>
        <w:spacing w:before="134" w:line="212" w:lineRule="auto"/>
        <w:ind w:left="620"/>
        <w:rPr>
          <w:rFonts w:ascii="Times New Roman" w:hAnsi="Times New Roman" w:eastAsia="Times New Roman" w:cs="Times New Roman"/>
          <w:sz w:val="24"/>
          <w:szCs w:val="24"/>
        </w:rPr>
      </w:pPr>
      <w:r>
        <w:rPr>
          <w:rFonts w:ascii="宋体" w:hAnsi="宋体" w:eastAsia="宋体" w:cs="宋体"/>
          <w:spacing w:val="2"/>
          <w:sz w:val="24"/>
          <w:szCs w:val="24"/>
        </w:rPr>
        <w:t>(1)《建设项目环境影响评价技术导则总纲》</w:t>
      </w:r>
      <w:r>
        <w:rPr>
          <w:rFonts w:ascii="宋体" w:hAnsi="宋体" w:eastAsia="宋体" w:cs="宋体"/>
          <w:spacing w:val="99"/>
          <w:sz w:val="24"/>
          <w:szCs w:val="24"/>
        </w:rPr>
        <w:t xml:space="preserve"> </w:t>
      </w:r>
      <w:r>
        <w:rPr>
          <w:rFonts w:ascii="宋体" w:hAnsi="宋体" w:eastAsia="宋体" w:cs="宋体"/>
          <w:spacing w:val="2"/>
          <w:sz w:val="24"/>
          <w:szCs w:val="24"/>
        </w:rPr>
        <w:t>(</w:t>
      </w:r>
      <w:r>
        <w:rPr>
          <w:rFonts w:ascii="宋体" w:hAnsi="宋体" w:eastAsia="宋体" w:cs="宋体"/>
          <w:spacing w:val="-69"/>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2"/>
          <w:sz w:val="24"/>
          <w:szCs w:val="24"/>
        </w:rPr>
        <w:t>2.1-2016);</w:t>
      </w:r>
    </w:p>
    <w:p w14:paraId="4746FE8B">
      <w:pPr>
        <w:spacing w:before="204" w:line="212" w:lineRule="auto"/>
        <w:ind w:left="620"/>
        <w:rPr>
          <w:rFonts w:ascii="Times New Roman" w:hAnsi="Times New Roman" w:eastAsia="Times New Roman" w:cs="Times New Roman"/>
          <w:sz w:val="24"/>
          <w:szCs w:val="24"/>
        </w:rPr>
      </w:pPr>
      <w:r>
        <w:rPr>
          <w:rFonts w:ascii="宋体" w:hAnsi="宋体" w:eastAsia="宋体" w:cs="宋体"/>
          <w:spacing w:val="-2"/>
          <w:sz w:val="24"/>
          <w:szCs w:val="24"/>
        </w:rPr>
        <w:t>(2)《电磁环境控制限值》</w:t>
      </w:r>
      <w:r>
        <w:rPr>
          <w:rFonts w:ascii="宋体" w:hAnsi="宋体" w:eastAsia="宋体" w:cs="宋体"/>
          <w:spacing w:val="62"/>
          <w:sz w:val="24"/>
          <w:szCs w:val="24"/>
        </w:rPr>
        <w:t xml:space="preserve"> </w:t>
      </w:r>
      <w:r>
        <w:rPr>
          <w:rFonts w:ascii="宋体" w:hAnsi="宋体" w:eastAsia="宋体" w:cs="宋体"/>
          <w:spacing w:val="-2"/>
          <w:sz w:val="24"/>
          <w:szCs w:val="24"/>
        </w:rPr>
        <w:t>(</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GB8702-2014);</w:t>
      </w:r>
    </w:p>
    <w:p w14:paraId="2689FC18">
      <w:pPr>
        <w:spacing w:before="215" w:line="212" w:lineRule="auto"/>
        <w:ind w:left="620"/>
        <w:rPr>
          <w:rFonts w:ascii="Times New Roman" w:hAnsi="Times New Roman" w:eastAsia="Times New Roman" w:cs="Times New Roman"/>
          <w:sz w:val="24"/>
          <w:szCs w:val="24"/>
        </w:rPr>
      </w:pPr>
      <w:r>
        <w:rPr>
          <w:rFonts w:ascii="宋体" w:hAnsi="宋体" w:eastAsia="宋体" w:cs="宋体"/>
          <w:spacing w:val="7"/>
          <w:sz w:val="24"/>
          <w:szCs w:val="24"/>
        </w:rPr>
        <w:t>(3)《环境影响评价技术导则输变电》(</w:t>
      </w:r>
      <w:r>
        <w:rPr>
          <w:rFonts w:ascii="Times New Roman" w:hAnsi="Times New Roman" w:eastAsia="Times New Roman" w:cs="Times New Roman"/>
          <w:sz w:val="24"/>
          <w:szCs w:val="24"/>
        </w:rPr>
        <w:t>HJ</w:t>
      </w:r>
      <w:r>
        <w:rPr>
          <w:rFonts w:ascii="Times New Roman" w:hAnsi="Times New Roman" w:eastAsia="Times New Roman" w:cs="Times New Roman"/>
          <w:spacing w:val="7"/>
          <w:sz w:val="24"/>
          <w:szCs w:val="24"/>
        </w:rPr>
        <w:t>24-2020</w:t>
      </w:r>
      <w:r>
        <w:rPr>
          <w:rFonts w:ascii="Times New Roman" w:hAnsi="Times New Roman" w:eastAsia="Times New Roman" w:cs="Times New Roman"/>
          <w:spacing w:val="6"/>
          <w:sz w:val="24"/>
          <w:szCs w:val="24"/>
        </w:rPr>
        <w:t>);</w:t>
      </w:r>
    </w:p>
    <w:p w14:paraId="328B19C7">
      <w:pPr>
        <w:spacing w:before="164" w:line="212" w:lineRule="auto"/>
        <w:ind w:left="620"/>
        <w:rPr>
          <w:rFonts w:ascii="Times New Roman" w:hAnsi="Times New Roman" w:eastAsia="Times New Roman" w:cs="Times New Roman"/>
          <w:sz w:val="24"/>
          <w:szCs w:val="24"/>
        </w:rPr>
      </w:pPr>
      <w:r>
        <w:rPr>
          <w:rFonts w:ascii="宋体" w:hAnsi="宋体" w:eastAsia="宋体" w:cs="宋体"/>
          <w:spacing w:val="6"/>
          <w:sz w:val="24"/>
          <w:szCs w:val="24"/>
        </w:rPr>
        <w:t>(4)《交流输变电工程电磁环境监测方法(试行)》</w:t>
      </w:r>
      <w:r>
        <w:rPr>
          <w:rFonts w:ascii="宋体" w:hAnsi="宋体" w:eastAsia="宋体" w:cs="宋体"/>
          <w:spacing w:val="70"/>
          <w:sz w:val="24"/>
          <w:szCs w:val="24"/>
        </w:rPr>
        <w:t xml:space="preserve"> </w:t>
      </w:r>
      <w:r>
        <w:rPr>
          <w:rFonts w:ascii="宋体" w:hAnsi="宋体" w:eastAsia="宋体" w:cs="宋体"/>
          <w:spacing w:val="6"/>
          <w:sz w:val="24"/>
          <w:szCs w:val="24"/>
        </w:rPr>
        <w:t>(</w:t>
      </w:r>
      <w:r>
        <w:rPr>
          <w:rFonts w:ascii="宋体" w:hAnsi="宋体" w:eastAsia="宋体" w:cs="宋体"/>
          <w:spacing w:val="-59"/>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6"/>
          <w:sz w:val="24"/>
          <w:szCs w:val="24"/>
        </w:rPr>
        <w:t>681</w:t>
      </w:r>
      <w:r>
        <w:rPr>
          <w:rFonts w:ascii="Times New Roman" w:hAnsi="Times New Roman" w:eastAsia="Times New Roman" w:cs="Times New Roman"/>
          <w:spacing w:val="5"/>
          <w:sz w:val="24"/>
          <w:szCs w:val="24"/>
        </w:rPr>
        <w:t>-2013);</w:t>
      </w:r>
    </w:p>
    <w:p w14:paraId="66AE4194">
      <w:pPr>
        <w:spacing w:line="212" w:lineRule="auto"/>
        <w:rPr>
          <w:rFonts w:ascii="Times New Roman" w:hAnsi="Times New Roman" w:eastAsia="Times New Roman" w:cs="Times New Roman"/>
          <w:sz w:val="24"/>
          <w:szCs w:val="24"/>
        </w:rPr>
        <w:sectPr>
          <w:footerReference r:id="rId138" w:type="default"/>
          <w:pgSz w:w="11910" w:h="16830"/>
          <w:pgMar w:top="1430" w:right="1750" w:bottom="1012" w:left="1759" w:header="0" w:footer="877" w:gutter="0"/>
          <w:cols w:space="720" w:num="1"/>
        </w:sectPr>
      </w:pPr>
    </w:p>
    <w:p w14:paraId="43C8BACC">
      <w:pPr>
        <w:spacing w:before="51" w:line="212" w:lineRule="auto"/>
        <w:ind w:left="704"/>
        <w:rPr>
          <w:rFonts w:ascii="Times New Roman" w:hAnsi="Times New Roman" w:eastAsia="Times New Roman" w:cs="Times New Roman"/>
          <w:sz w:val="24"/>
          <w:szCs w:val="24"/>
        </w:rPr>
      </w:pPr>
      <w:r>
        <w:rPr>
          <w:rFonts w:ascii="宋体" w:hAnsi="宋体" w:eastAsia="宋体" w:cs="宋体"/>
          <w:sz w:val="24"/>
          <w:szCs w:val="24"/>
        </w:rPr>
        <w:t>(5)《输变电建设项目环境保护技术要求》</w:t>
      </w:r>
      <w:r>
        <w:rPr>
          <w:rFonts w:ascii="宋体" w:hAnsi="宋体" w:eastAsia="宋体" w:cs="宋体"/>
          <w:spacing w:val="88"/>
          <w:sz w:val="24"/>
          <w:szCs w:val="24"/>
        </w:rPr>
        <w:t xml:space="preserve"> </w:t>
      </w:r>
      <w:r>
        <w:rPr>
          <w:rFonts w:ascii="Times New Roman" w:hAnsi="Times New Roman" w:eastAsia="Times New Roman" w:cs="Times New Roman"/>
          <w:sz w:val="24"/>
          <w:szCs w:val="24"/>
        </w:rPr>
        <w:t>(HJ1113-2020);</w:t>
      </w:r>
    </w:p>
    <w:p w14:paraId="704956D5">
      <w:pPr>
        <w:spacing w:before="194" w:line="212" w:lineRule="auto"/>
        <w:ind w:left="704"/>
        <w:rPr>
          <w:rFonts w:ascii="宋体" w:hAnsi="宋体" w:eastAsia="宋体" w:cs="宋体"/>
          <w:sz w:val="24"/>
          <w:szCs w:val="24"/>
        </w:rPr>
      </w:pPr>
      <w:r>
        <w:rPr>
          <w:rFonts w:ascii="宋体" w:hAnsi="宋体" w:eastAsia="宋体" w:cs="宋体"/>
          <w:sz w:val="24"/>
          <w:szCs w:val="24"/>
        </w:rPr>
        <w:t>(6)《建设项目竣工环境保护验收技术规范输变电》</w:t>
      </w:r>
      <w:r>
        <w:rPr>
          <w:rFonts w:ascii="宋体" w:hAnsi="宋体" w:eastAsia="宋体" w:cs="宋体"/>
          <w:spacing w:val="79"/>
          <w:sz w:val="24"/>
          <w:szCs w:val="24"/>
        </w:rPr>
        <w:t xml:space="preserve"> </w:t>
      </w:r>
      <w:r>
        <w:rPr>
          <w:rFonts w:ascii="Times New Roman" w:hAnsi="Times New Roman" w:eastAsia="Times New Roman" w:cs="Times New Roman"/>
          <w:sz w:val="24"/>
          <w:szCs w:val="24"/>
        </w:rPr>
        <w:t>(HJ705-2020)</w:t>
      </w:r>
      <w:r>
        <w:rPr>
          <w:rFonts w:ascii="宋体" w:hAnsi="宋体" w:eastAsia="宋体" w:cs="宋体"/>
          <w:sz w:val="24"/>
          <w:szCs w:val="24"/>
        </w:rPr>
        <w:t>。</w:t>
      </w:r>
    </w:p>
    <w:p w14:paraId="77895823">
      <w:pPr>
        <w:spacing w:before="231" w:line="219" w:lineRule="auto"/>
        <w:ind w:left="84"/>
        <w:rPr>
          <w:rFonts w:ascii="宋体" w:hAnsi="宋体" w:eastAsia="宋体" w:cs="宋体"/>
          <w:sz w:val="24"/>
          <w:szCs w:val="24"/>
        </w:rPr>
      </w:pPr>
      <w:r>
        <w:rPr>
          <w:rFonts w:ascii="宋体" w:hAnsi="宋体" w:eastAsia="宋体" w:cs="宋体"/>
          <w:spacing w:val="-3"/>
          <w:sz w:val="24"/>
          <w:szCs w:val="24"/>
        </w:rPr>
        <w:t>2.1.4项目有关资料及文件</w:t>
      </w:r>
    </w:p>
    <w:p w14:paraId="41EE684F">
      <w:pPr>
        <w:spacing w:before="182" w:line="218" w:lineRule="auto"/>
        <w:ind w:left="714"/>
        <w:rPr>
          <w:rFonts w:ascii="宋体" w:hAnsi="宋体" w:eastAsia="宋体" w:cs="宋体"/>
          <w:sz w:val="24"/>
          <w:szCs w:val="24"/>
        </w:rPr>
      </w:pPr>
      <w:r>
        <w:rPr>
          <w:rFonts w:ascii="宋体" w:hAnsi="宋体" w:eastAsia="宋体" w:cs="宋体"/>
          <w:spacing w:val="4"/>
          <w:sz w:val="24"/>
          <w:szCs w:val="24"/>
        </w:rPr>
        <w:t>(1)《几沃梁子农光互补光伏发电项目可行性研究报告》;</w:t>
      </w:r>
    </w:p>
    <w:p w14:paraId="502051F2">
      <w:pPr>
        <w:spacing w:before="177" w:line="218" w:lineRule="auto"/>
        <w:ind w:left="704"/>
        <w:rPr>
          <w:rFonts w:ascii="宋体" w:hAnsi="宋体" w:eastAsia="宋体" w:cs="宋体"/>
          <w:sz w:val="24"/>
          <w:szCs w:val="24"/>
        </w:rPr>
      </w:pPr>
      <w:r>
        <w:rPr>
          <w:rFonts w:ascii="宋体" w:hAnsi="宋体" w:eastAsia="宋体" w:cs="宋体"/>
          <w:spacing w:val="-4"/>
          <w:sz w:val="24"/>
          <w:szCs w:val="24"/>
        </w:rPr>
        <w:t>(2)2</w:t>
      </w:r>
      <w:r>
        <w:rPr>
          <w:rFonts w:ascii="宋体" w:hAnsi="宋体" w:eastAsia="宋体" w:cs="宋体"/>
          <w:spacing w:val="56"/>
          <w:sz w:val="24"/>
          <w:szCs w:val="24"/>
        </w:rPr>
        <w:t xml:space="preserve"> </w:t>
      </w:r>
      <w:r>
        <w:rPr>
          <w:rFonts w:ascii="宋体" w:hAnsi="宋体" w:eastAsia="宋体" w:cs="宋体"/>
          <w:spacing w:val="-4"/>
          <w:sz w:val="24"/>
          <w:szCs w:val="24"/>
        </w:rPr>
        <w:t>20</w:t>
      </w:r>
      <w:r>
        <w:rPr>
          <w:rFonts w:ascii="Times New Roman" w:hAnsi="Times New Roman" w:eastAsia="Times New Roman" w:cs="Times New Roman"/>
          <w:spacing w:val="-4"/>
          <w:sz w:val="24"/>
          <w:szCs w:val="24"/>
        </w:rPr>
        <w:t xml:space="preserve">kv </w:t>
      </w:r>
      <w:r>
        <w:rPr>
          <w:rFonts w:ascii="宋体" w:hAnsi="宋体" w:eastAsia="宋体" w:cs="宋体"/>
          <w:spacing w:val="-4"/>
          <w:sz w:val="24"/>
          <w:szCs w:val="24"/>
        </w:rPr>
        <w:t>升压站类比监测报告。</w:t>
      </w:r>
    </w:p>
    <w:p w14:paraId="64FFA3CF">
      <w:pPr>
        <w:spacing w:before="154" w:line="218" w:lineRule="auto"/>
        <w:ind w:left="98"/>
        <w:rPr>
          <w:rFonts w:ascii="宋体" w:hAnsi="宋体" w:eastAsia="宋体" w:cs="宋体"/>
          <w:sz w:val="31"/>
          <w:szCs w:val="31"/>
        </w:rPr>
      </w:pPr>
      <w:r>
        <w:rPr>
          <w:rFonts w:ascii="宋体" w:hAnsi="宋体" w:eastAsia="宋体" w:cs="宋体"/>
          <w:b/>
          <w:bCs/>
          <w:spacing w:val="-26"/>
          <w:sz w:val="31"/>
          <w:szCs w:val="31"/>
        </w:rPr>
        <w:t>2.2评价因子与评价标准</w:t>
      </w:r>
    </w:p>
    <w:p w14:paraId="4E985F81">
      <w:pPr>
        <w:spacing w:before="203" w:line="218" w:lineRule="auto"/>
        <w:ind w:left="98"/>
        <w:rPr>
          <w:rFonts w:ascii="宋体" w:hAnsi="宋体" w:eastAsia="宋体" w:cs="宋体"/>
          <w:sz w:val="24"/>
          <w:szCs w:val="24"/>
        </w:rPr>
      </w:pPr>
      <w:r>
        <w:rPr>
          <w:rFonts w:ascii="宋体" w:hAnsi="宋体" w:eastAsia="宋体" w:cs="宋体"/>
          <w:b/>
          <w:bCs/>
          <w:spacing w:val="-6"/>
          <w:sz w:val="24"/>
          <w:szCs w:val="24"/>
        </w:rPr>
        <w:t>2.2.1评价因子</w:t>
      </w:r>
    </w:p>
    <w:p w14:paraId="0CC23F73">
      <w:pPr>
        <w:spacing w:before="191" w:line="362" w:lineRule="auto"/>
        <w:ind w:left="114" w:right="113" w:firstLine="480"/>
        <w:rPr>
          <w:rFonts w:ascii="宋体" w:hAnsi="宋体" w:eastAsia="宋体" w:cs="宋体"/>
          <w:sz w:val="24"/>
          <w:szCs w:val="24"/>
        </w:rPr>
      </w:pPr>
      <w:r>
        <w:rPr>
          <w:rFonts w:ascii="宋体" w:hAnsi="宋体" w:eastAsia="宋体" w:cs="宋体"/>
          <w:spacing w:val="-3"/>
          <w:sz w:val="24"/>
          <w:szCs w:val="24"/>
        </w:rPr>
        <w:t>本工程建设期间无电磁环境影响。根据工程所在地</w:t>
      </w:r>
      <w:r>
        <w:rPr>
          <w:rFonts w:ascii="宋体" w:hAnsi="宋体" w:eastAsia="宋体" w:cs="宋体"/>
          <w:spacing w:val="-4"/>
          <w:sz w:val="24"/>
          <w:szCs w:val="24"/>
        </w:rPr>
        <w:t>环境特征、环境影响因素</w:t>
      </w:r>
      <w:r>
        <w:rPr>
          <w:rFonts w:ascii="宋体" w:hAnsi="宋体" w:eastAsia="宋体" w:cs="宋体"/>
          <w:sz w:val="24"/>
          <w:szCs w:val="24"/>
        </w:rPr>
        <w:t xml:space="preserve"> </w:t>
      </w:r>
      <w:r>
        <w:rPr>
          <w:rFonts w:ascii="宋体" w:hAnsi="宋体" w:eastAsia="宋体" w:cs="宋体"/>
          <w:spacing w:val="-2"/>
          <w:sz w:val="24"/>
          <w:szCs w:val="24"/>
        </w:rPr>
        <w:t>识别结果，确定项目运行期电磁环境评价因子见表2.2-1。</w:t>
      </w:r>
    </w:p>
    <w:p w14:paraId="61709703">
      <w:pPr>
        <w:spacing w:before="58" w:line="218" w:lineRule="auto"/>
        <w:ind w:left="2884"/>
        <w:rPr>
          <w:rFonts w:ascii="宋体" w:hAnsi="宋体" w:eastAsia="宋体" w:cs="宋体"/>
          <w:sz w:val="24"/>
          <w:szCs w:val="24"/>
        </w:rPr>
      </w:pPr>
      <w:r>
        <w:rPr>
          <w:rFonts w:ascii="宋体" w:hAnsi="宋体" w:eastAsia="宋体" w:cs="宋体"/>
          <w:spacing w:val="1"/>
          <w:sz w:val="24"/>
          <w:szCs w:val="24"/>
        </w:rPr>
        <w:t>表2.2-1</w:t>
      </w:r>
      <w:r>
        <w:rPr>
          <w:rFonts w:ascii="宋体" w:hAnsi="宋体" w:eastAsia="宋体" w:cs="宋体"/>
          <w:spacing w:val="54"/>
          <w:sz w:val="24"/>
          <w:szCs w:val="24"/>
        </w:rPr>
        <w:t xml:space="preserve">  </w:t>
      </w:r>
      <w:r>
        <w:rPr>
          <w:rFonts w:ascii="宋体" w:hAnsi="宋体" w:eastAsia="宋体" w:cs="宋体"/>
          <w:spacing w:val="1"/>
          <w:sz w:val="24"/>
          <w:szCs w:val="24"/>
        </w:rPr>
        <w:t>项目评价因子</w:t>
      </w:r>
    </w:p>
    <w:p w14:paraId="246AC3A3">
      <w:pPr>
        <w:spacing w:line="144" w:lineRule="exact"/>
      </w:pPr>
    </w:p>
    <w:tbl>
      <w:tblPr>
        <w:tblStyle w:val="5"/>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3"/>
        <w:gridCol w:w="2057"/>
        <w:gridCol w:w="2557"/>
        <w:gridCol w:w="2572"/>
      </w:tblGrid>
      <w:tr w14:paraId="0FC55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323" w:type="dxa"/>
            <w:vAlign w:val="top"/>
          </w:tcPr>
          <w:p w14:paraId="5E866D23">
            <w:pPr>
              <w:pStyle w:val="6"/>
              <w:spacing w:before="44" w:line="200" w:lineRule="auto"/>
              <w:ind w:left="444"/>
              <w:rPr>
                <w:sz w:val="21"/>
                <w:szCs w:val="21"/>
              </w:rPr>
            </w:pPr>
            <w:r>
              <w:rPr>
                <w:spacing w:val="4"/>
                <w:sz w:val="21"/>
                <w:szCs w:val="21"/>
              </w:rPr>
              <w:t>时段</w:t>
            </w:r>
          </w:p>
        </w:tc>
        <w:tc>
          <w:tcPr>
            <w:tcW w:w="2057" w:type="dxa"/>
            <w:vAlign w:val="top"/>
          </w:tcPr>
          <w:p w14:paraId="088A33AE">
            <w:pPr>
              <w:pStyle w:val="6"/>
              <w:spacing w:before="43" w:line="201" w:lineRule="auto"/>
              <w:ind w:left="602"/>
              <w:rPr>
                <w:sz w:val="21"/>
                <w:szCs w:val="21"/>
              </w:rPr>
            </w:pPr>
            <w:r>
              <w:rPr>
                <w:spacing w:val="-2"/>
                <w:sz w:val="21"/>
                <w:szCs w:val="21"/>
              </w:rPr>
              <w:t>环境要素</w:t>
            </w:r>
          </w:p>
        </w:tc>
        <w:tc>
          <w:tcPr>
            <w:tcW w:w="5129" w:type="dxa"/>
            <w:gridSpan w:val="2"/>
            <w:vAlign w:val="top"/>
          </w:tcPr>
          <w:p w14:paraId="0B11D9FC">
            <w:pPr>
              <w:pStyle w:val="6"/>
              <w:spacing w:before="42" w:line="202" w:lineRule="auto"/>
              <w:ind w:left="2144"/>
              <w:rPr>
                <w:sz w:val="21"/>
                <w:szCs w:val="21"/>
              </w:rPr>
            </w:pPr>
            <w:r>
              <w:rPr>
                <w:spacing w:val="-2"/>
                <w:sz w:val="21"/>
                <w:szCs w:val="21"/>
              </w:rPr>
              <w:t>评价因子</w:t>
            </w:r>
          </w:p>
        </w:tc>
      </w:tr>
      <w:tr w14:paraId="03B05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23" w:type="dxa"/>
            <w:vMerge w:val="restart"/>
            <w:tcBorders>
              <w:bottom w:val="nil"/>
            </w:tcBorders>
            <w:vAlign w:val="top"/>
          </w:tcPr>
          <w:p w14:paraId="71275D50">
            <w:pPr>
              <w:spacing w:line="331" w:lineRule="auto"/>
              <w:rPr>
                <w:rFonts w:ascii="Arial"/>
                <w:sz w:val="21"/>
              </w:rPr>
            </w:pPr>
          </w:p>
          <w:p w14:paraId="46B9A1DF">
            <w:pPr>
              <w:pStyle w:val="6"/>
              <w:spacing w:before="69" w:line="220" w:lineRule="auto"/>
              <w:ind w:left="335"/>
              <w:rPr>
                <w:sz w:val="21"/>
                <w:szCs w:val="21"/>
              </w:rPr>
            </w:pPr>
            <w:r>
              <w:rPr>
                <w:spacing w:val="4"/>
                <w:sz w:val="21"/>
                <w:szCs w:val="21"/>
              </w:rPr>
              <w:t>运营期</w:t>
            </w:r>
          </w:p>
        </w:tc>
        <w:tc>
          <w:tcPr>
            <w:tcW w:w="2057" w:type="dxa"/>
            <w:vMerge w:val="restart"/>
            <w:tcBorders>
              <w:bottom w:val="nil"/>
            </w:tcBorders>
            <w:vAlign w:val="top"/>
          </w:tcPr>
          <w:p w14:paraId="229A4E40">
            <w:pPr>
              <w:spacing w:line="331" w:lineRule="auto"/>
              <w:rPr>
                <w:rFonts w:ascii="Arial"/>
                <w:sz w:val="21"/>
              </w:rPr>
            </w:pPr>
          </w:p>
          <w:p w14:paraId="790C81F7">
            <w:pPr>
              <w:pStyle w:val="6"/>
              <w:spacing w:before="69" w:line="220" w:lineRule="auto"/>
              <w:ind w:left="391"/>
              <w:rPr>
                <w:sz w:val="21"/>
                <w:szCs w:val="21"/>
              </w:rPr>
            </w:pPr>
            <w:r>
              <w:rPr>
                <w:spacing w:val="2"/>
                <w:sz w:val="21"/>
                <w:szCs w:val="21"/>
              </w:rPr>
              <w:t>电磁环境影响</w:t>
            </w:r>
          </w:p>
        </w:tc>
        <w:tc>
          <w:tcPr>
            <w:tcW w:w="2557" w:type="dxa"/>
            <w:vAlign w:val="top"/>
          </w:tcPr>
          <w:p w14:paraId="0A7A85F6">
            <w:pPr>
              <w:pStyle w:val="6"/>
              <w:spacing w:before="119" w:line="218" w:lineRule="auto"/>
              <w:ind w:left="644"/>
              <w:rPr>
                <w:sz w:val="21"/>
                <w:szCs w:val="21"/>
              </w:rPr>
            </w:pPr>
            <w:r>
              <w:rPr>
                <w:spacing w:val="-2"/>
                <w:sz w:val="21"/>
                <w:szCs w:val="21"/>
              </w:rPr>
              <w:t>现状评价因子</w:t>
            </w:r>
          </w:p>
        </w:tc>
        <w:tc>
          <w:tcPr>
            <w:tcW w:w="2572" w:type="dxa"/>
            <w:vAlign w:val="top"/>
          </w:tcPr>
          <w:p w14:paraId="06F59F86">
            <w:pPr>
              <w:pStyle w:val="6"/>
              <w:spacing w:before="119" w:line="218" w:lineRule="auto"/>
              <w:ind w:left="647"/>
              <w:rPr>
                <w:sz w:val="21"/>
                <w:szCs w:val="21"/>
              </w:rPr>
            </w:pPr>
            <w:r>
              <w:rPr>
                <w:spacing w:val="-2"/>
                <w:sz w:val="21"/>
                <w:szCs w:val="21"/>
              </w:rPr>
              <w:t>预测评价因子</w:t>
            </w:r>
          </w:p>
        </w:tc>
      </w:tr>
      <w:tr w14:paraId="05008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323" w:type="dxa"/>
            <w:vMerge w:val="continue"/>
            <w:tcBorders>
              <w:top w:val="nil"/>
            </w:tcBorders>
            <w:vAlign w:val="top"/>
          </w:tcPr>
          <w:p w14:paraId="1EF3A7A8">
            <w:pPr>
              <w:rPr>
                <w:rFonts w:ascii="Arial"/>
                <w:sz w:val="21"/>
              </w:rPr>
            </w:pPr>
          </w:p>
        </w:tc>
        <w:tc>
          <w:tcPr>
            <w:tcW w:w="2057" w:type="dxa"/>
            <w:vMerge w:val="continue"/>
            <w:tcBorders>
              <w:top w:val="nil"/>
            </w:tcBorders>
            <w:vAlign w:val="top"/>
          </w:tcPr>
          <w:p w14:paraId="722C9D43">
            <w:pPr>
              <w:rPr>
                <w:rFonts w:ascii="Arial"/>
                <w:sz w:val="21"/>
              </w:rPr>
            </w:pPr>
          </w:p>
        </w:tc>
        <w:tc>
          <w:tcPr>
            <w:tcW w:w="2557" w:type="dxa"/>
            <w:vAlign w:val="top"/>
          </w:tcPr>
          <w:p w14:paraId="17F1A3B2">
            <w:pPr>
              <w:pStyle w:val="6"/>
              <w:spacing w:before="35" w:line="218" w:lineRule="auto"/>
              <w:ind w:left="274" w:right="235" w:firstLine="100"/>
              <w:rPr>
                <w:sz w:val="21"/>
                <w:szCs w:val="21"/>
              </w:rPr>
            </w:pPr>
            <w:r>
              <w:rPr>
                <w:spacing w:val="4"/>
                <w:sz w:val="21"/>
                <w:szCs w:val="21"/>
              </w:rPr>
              <w:t>工频电场强度(V/m)</w:t>
            </w:r>
            <w:r>
              <w:rPr>
                <w:spacing w:val="2"/>
                <w:sz w:val="21"/>
                <w:szCs w:val="21"/>
              </w:rPr>
              <w:t xml:space="preserve">  </w:t>
            </w:r>
            <w:r>
              <w:rPr>
                <w:spacing w:val="3"/>
                <w:sz w:val="21"/>
                <w:szCs w:val="21"/>
              </w:rPr>
              <w:t>工频磁感应强度(μT)</w:t>
            </w:r>
          </w:p>
        </w:tc>
        <w:tc>
          <w:tcPr>
            <w:tcW w:w="2572" w:type="dxa"/>
            <w:vAlign w:val="top"/>
          </w:tcPr>
          <w:p w14:paraId="7090C9CD">
            <w:pPr>
              <w:pStyle w:val="6"/>
              <w:spacing w:before="25" w:line="222" w:lineRule="auto"/>
              <w:ind w:left="277" w:right="238" w:firstLine="109"/>
              <w:rPr>
                <w:sz w:val="21"/>
                <w:szCs w:val="21"/>
              </w:rPr>
            </w:pPr>
            <w:r>
              <w:rPr>
                <w:spacing w:val="3"/>
                <w:sz w:val="21"/>
                <w:szCs w:val="21"/>
              </w:rPr>
              <w:t xml:space="preserve">工频电场强度(V/m)  </w:t>
            </w:r>
            <w:r>
              <w:rPr>
                <w:spacing w:val="4"/>
                <w:sz w:val="21"/>
                <w:szCs w:val="21"/>
              </w:rPr>
              <w:t>工频磁感应强度(μT)</w:t>
            </w:r>
          </w:p>
        </w:tc>
      </w:tr>
    </w:tbl>
    <w:p w14:paraId="67EDED86">
      <w:pPr>
        <w:spacing w:before="162" w:line="218" w:lineRule="auto"/>
        <w:ind w:left="94"/>
        <w:rPr>
          <w:rFonts w:ascii="宋体" w:hAnsi="宋体" w:eastAsia="宋体" w:cs="宋体"/>
          <w:sz w:val="24"/>
          <w:szCs w:val="24"/>
        </w:rPr>
      </w:pPr>
      <w:r>
        <w:rPr>
          <w:rFonts w:ascii="宋体" w:hAnsi="宋体" w:eastAsia="宋体" w:cs="宋体"/>
          <w:spacing w:val="-5"/>
          <w:sz w:val="24"/>
          <w:szCs w:val="24"/>
        </w:rPr>
        <w:t>2.2.2评价标准</w:t>
      </w:r>
    </w:p>
    <w:p w14:paraId="750EBCF1">
      <w:pPr>
        <w:spacing w:before="142" w:line="212" w:lineRule="auto"/>
        <w:ind w:left="724"/>
        <w:rPr>
          <w:rFonts w:ascii="宋体" w:hAnsi="宋体" w:eastAsia="宋体" w:cs="宋体"/>
          <w:sz w:val="24"/>
          <w:szCs w:val="24"/>
        </w:rPr>
      </w:pPr>
      <w:r>
        <w:rPr>
          <w:rFonts w:ascii="宋体" w:hAnsi="宋体" w:eastAsia="宋体" w:cs="宋体"/>
          <w:spacing w:val="-2"/>
          <w:sz w:val="24"/>
          <w:szCs w:val="24"/>
        </w:rPr>
        <w:t>按照《电磁环境控制限值》</w:t>
      </w:r>
      <w:r>
        <w:rPr>
          <w:rFonts w:ascii="宋体" w:hAnsi="宋体" w:eastAsia="宋体" w:cs="宋体"/>
          <w:spacing w:val="-40"/>
          <w:sz w:val="24"/>
          <w:szCs w:val="24"/>
        </w:rPr>
        <w:t xml:space="preserve"> </w:t>
      </w:r>
      <w:r>
        <w:rPr>
          <w:rFonts w:ascii="宋体" w:hAnsi="宋体" w:eastAsia="宋体" w:cs="宋体"/>
          <w:spacing w:val="-2"/>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pacing w:val="-2"/>
          <w:sz w:val="24"/>
          <w:szCs w:val="24"/>
        </w:rPr>
        <w:t xml:space="preserve">GB8702-2014)   </w:t>
      </w:r>
      <w:r>
        <w:rPr>
          <w:rFonts w:ascii="宋体" w:hAnsi="宋体" w:eastAsia="宋体" w:cs="宋体"/>
          <w:spacing w:val="-2"/>
          <w:sz w:val="24"/>
          <w:szCs w:val="24"/>
        </w:rPr>
        <w:t>的</w:t>
      </w:r>
      <w:r>
        <w:rPr>
          <w:rFonts w:ascii="宋体" w:hAnsi="宋体" w:eastAsia="宋体" w:cs="宋体"/>
          <w:spacing w:val="-3"/>
          <w:sz w:val="24"/>
          <w:szCs w:val="24"/>
        </w:rPr>
        <w:t>限值要求。</w:t>
      </w:r>
    </w:p>
    <w:p w14:paraId="7BD9D3FF">
      <w:pPr>
        <w:spacing w:before="247" w:line="207" w:lineRule="auto"/>
        <w:ind w:left="2258"/>
        <w:rPr>
          <w:rFonts w:ascii="宋体" w:hAnsi="宋体" w:eastAsia="宋体" w:cs="宋体"/>
          <w:sz w:val="24"/>
          <w:szCs w:val="24"/>
        </w:rPr>
      </w:pPr>
      <w:r>
        <w:rPr>
          <w:rFonts w:ascii="宋体" w:hAnsi="宋体" w:eastAsia="宋体" w:cs="宋体"/>
          <w:b/>
          <w:bCs/>
          <w:spacing w:val="-5"/>
          <w:sz w:val="24"/>
          <w:szCs w:val="24"/>
        </w:rPr>
        <w:t>表2.2-2</w:t>
      </w:r>
      <w:r>
        <w:rPr>
          <w:rFonts w:ascii="宋体" w:hAnsi="宋体" w:eastAsia="宋体" w:cs="宋体"/>
          <w:spacing w:val="19"/>
          <w:sz w:val="24"/>
          <w:szCs w:val="24"/>
        </w:rPr>
        <w:t xml:space="preserve">  </w:t>
      </w:r>
      <w:r>
        <w:rPr>
          <w:rFonts w:ascii="宋体" w:hAnsi="宋体" w:eastAsia="宋体" w:cs="宋体"/>
          <w:b/>
          <w:bCs/>
          <w:spacing w:val="-5"/>
          <w:sz w:val="24"/>
          <w:szCs w:val="24"/>
        </w:rPr>
        <w:t>电磁环境公众暴露控制限值</w:t>
      </w:r>
    </w:p>
    <w:tbl>
      <w:tblPr>
        <w:tblStyle w:val="5"/>
        <w:tblW w:w="830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31"/>
        <w:gridCol w:w="2567"/>
        <w:gridCol w:w="2802"/>
      </w:tblGrid>
      <w:tr w14:paraId="6747A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931" w:type="dxa"/>
            <w:vAlign w:val="top"/>
          </w:tcPr>
          <w:p w14:paraId="34D2EE19">
            <w:pPr>
              <w:pStyle w:val="6"/>
              <w:spacing w:before="123" w:line="219" w:lineRule="auto"/>
              <w:ind w:left="1054"/>
              <w:rPr>
                <w:sz w:val="20"/>
                <w:szCs w:val="20"/>
              </w:rPr>
            </w:pPr>
            <w:r>
              <w:rPr>
                <w:spacing w:val="4"/>
                <w:sz w:val="20"/>
                <w:szCs w:val="20"/>
              </w:rPr>
              <w:t>频率范围</w:t>
            </w:r>
          </w:p>
        </w:tc>
        <w:tc>
          <w:tcPr>
            <w:tcW w:w="2567" w:type="dxa"/>
            <w:vAlign w:val="top"/>
          </w:tcPr>
          <w:p w14:paraId="5888856D">
            <w:pPr>
              <w:pStyle w:val="6"/>
              <w:spacing w:before="123" w:line="220" w:lineRule="auto"/>
              <w:ind w:left="573"/>
              <w:rPr>
                <w:sz w:val="20"/>
                <w:szCs w:val="20"/>
              </w:rPr>
            </w:pPr>
            <w:r>
              <w:rPr>
                <w:spacing w:val="4"/>
                <w:sz w:val="20"/>
                <w:szCs w:val="20"/>
              </w:rPr>
              <w:t>电场强度E(V/m)</w:t>
            </w:r>
          </w:p>
        </w:tc>
        <w:tc>
          <w:tcPr>
            <w:tcW w:w="2802" w:type="dxa"/>
            <w:vAlign w:val="top"/>
          </w:tcPr>
          <w:p w14:paraId="6367BA88">
            <w:pPr>
              <w:pStyle w:val="6"/>
              <w:spacing w:before="123" w:line="220" w:lineRule="auto"/>
              <w:ind w:left="597"/>
              <w:rPr>
                <w:sz w:val="20"/>
                <w:szCs w:val="20"/>
              </w:rPr>
            </w:pPr>
            <w:r>
              <w:rPr>
                <w:spacing w:val="-2"/>
                <w:sz w:val="20"/>
                <w:szCs w:val="20"/>
              </w:rPr>
              <w:t>磁感应强度</w:t>
            </w:r>
            <w:r>
              <w:rPr>
                <w:b/>
                <w:bCs/>
                <w:spacing w:val="-2"/>
                <w:sz w:val="20"/>
                <w:szCs w:val="20"/>
              </w:rPr>
              <w:t>B(μT)</w:t>
            </w:r>
          </w:p>
        </w:tc>
      </w:tr>
      <w:tr w14:paraId="39157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2931" w:type="dxa"/>
            <w:vAlign w:val="top"/>
          </w:tcPr>
          <w:p w14:paraId="0046542D">
            <w:pPr>
              <w:pStyle w:val="6"/>
              <w:spacing w:before="149"/>
              <w:ind w:left="855"/>
              <w:rPr>
                <w:sz w:val="20"/>
                <w:szCs w:val="20"/>
              </w:rPr>
            </w:pPr>
            <w:r>
              <w:rPr>
                <w:spacing w:val="-1"/>
                <w:sz w:val="20"/>
                <w:szCs w:val="20"/>
              </w:rPr>
              <w:t>25Hz~12000Hz</w:t>
            </w:r>
          </w:p>
        </w:tc>
        <w:tc>
          <w:tcPr>
            <w:tcW w:w="2567" w:type="dxa"/>
            <w:vAlign w:val="top"/>
          </w:tcPr>
          <w:p w14:paraId="4FD67176">
            <w:pPr>
              <w:pStyle w:val="6"/>
              <w:spacing w:before="136" w:line="224" w:lineRule="auto"/>
              <w:ind w:left="1024"/>
              <w:rPr>
                <w:sz w:val="20"/>
                <w:szCs w:val="20"/>
              </w:rPr>
            </w:pPr>
            <w:r>
              <w:rPr>
                <w:spacing w:val="-2"/>
                <w:sz w:val="20"/>
                <w:szCs w:val="20"/>
              </w:rPr>
              <w:t>200/f</w:t>
            </w:r>
          </w:p>
        </w:tc>
        <w:tc>
          <w:tcPr>
            <w:tcW w:w="2802" w:type="dxa"/>
            <w:vAlign w:val="top"/>
          </w:tcPr>
          <w:p w14:paraId="2BCA4278">
            <w:pPr>
              <w:pStyle w:val="6"/>
              <w:spacing w:before="136" w:line="224" w:lineRule="auto"/>
              <w:ind w:left="1246"/>
              <w:rPr>
                <w:sz w:val="20"/>
                <w:szCs w:val="20"/>
              </w:rPr>
            </w:pPr>
            <w:r>
              <w:rPr>
                <w:spacing w:val="-3"/>
                <w:sz w:val="20"/>
                <w:szCs w:val="20"/>
              </w:rPr>
              <w:t>5/f</w:t>
            </w:r>
          </w:p>
        </w:tc>
      </w:tr>
      <w:tr w14:paraId="7C98D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2931" w:type="dxa"/>
            <w:vAlign w:val="top"/>
          </w:tcPr>
          <w:p w14:paraId="7C9D089A">
            <w:pPr>
              <w:pStyle w:val="6"/>
              <w:spacing w:before="123" w:line="219" w:lineRule="auto"/>
              <w:ind w:left="655"/>
              <w:rPr>
                <w:sz w:val="20"/>
                <w:szCs w:val="20"/>
              </w:rPr>
            </w:pPr>
            <w:r>
              <w:rPr>
                <w:spacing w:val="-1"/>
                <w:sz w:val="20"/>
                <w:szCs w:val="20"/>
              </w:rPr>
              <w:t>输电线路工作频率</w:t>
            </w:r>
          </w:p>
        </w:tc>
        <w:tc>
          <w:tcPr>
            <w:tcW w:w="2567" w:type="dxa"/>
            <w:vAlign w:val="top"/>
          </w:tcPr>
          <w:p w14:paraId="5EB21D20">
            <w:pPr>
              <w:pStyle w:val="6"/>
              <w:spacing w:before="126" w:line="222" w:lineRule="auto"/>
              <w:ind w:left="573"/>
              <w:rPr>
                <w:sz w:val="20"/>
                <w:szCs w:val="20"/>
              </w:rPr>
            </w:pPr>
            <w:r>
              <w:rPr>
                <w:spacing w:val="-1"/>
                <w:sz w:val="20"/>
                <w:szCs w:val="20"/>
              </w:rPr>
              <w:t>4000V/m(4kV/m)</w:t>
            </w:r>
          </w:p>
        </w:tc>
        <w:tc>
          <w:tcPr>
            <w:tcW w:w="2802" w:type="dxa"/>
            <w:vAlign w:val="top"/>
          </w:tcPr>
          <w:p w14:paraId="2028AE89">
            <w:pPr>
              <w:pStyle w:val="6"/>
              <w:spacing w:before="126" w:line="222" w:lineRule="auto"/>
              <w:ind w:left="747"/>
              <w:rPr>
                <w:sz w:val="20"/>
                <w:szCs w:val="20"/>
              </w:rPr>
            </w:pPr>
            <w:r>
              <w:rPr>
                <w:spacing w:val="-2"/>
                <w:sz w:val="20"/>
                <w:szCs w:val="20"/>
              </w:rPr>
              <w:t>100μT(0.1mT)</w:t>
            </w:r>
          </w:p>
        </w:tc>
      </w:tr>
      <w:tr w14:paraId="74795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8300" w:type="dxa"/>
            <w:gridSpan w:val="3"/>
            <w:vAlign w:val="top"/>
          </w:tcPr>
          <w:p w14:paraId="2622EE7D">
            <w:pPr>
              <w:pStyle w:val="6"/>
              <w:spacing w:before="125" w:line="219" w:lineRule="auto"/>
              <w:ind w:left="2825"/>
              <w:rPr>
                <w:sz w:val="20"/>
                <w:szCs w:val="20"/>
              </w:rPr>
            </w:pPr>
            <w:r>
              <w:rPr>
                <w:sz w:val="20"/>
                <w:szCs w:val="20"/>
              </w:rPr>
              <w:t>注：1、频率f的取值为0.05kHz。</w:t>
            </w:r>
          </w:p>
        </w:tc>
      </w:tr>
    </w:tbl>
    <w:p w14:paraId="240FA845">
      <w:pPr>
        <w:spacing w:before="121" w:line="218" w:lineRule="auto"/>
        <w:ind w:left="98"/>
        <w:rPr>
          <w:rFonts w:ascii="宋体" w:hAnsi="宋体" w:eastAsia="宋体" w:cs="宋体"/>
          <w:sz w:val="31"/>
          <w:szCs w:val="31"/>
        </w:rPr>
      </w:pPr>
      <w:r>
        <w:rPr>
          <w:rFonts w:ascii="宋体" w:hAnsi="宋体" w:eastAsia="宋体" w:cs="宋体"/>
          <w:b/>
          <w:bCs/>
          <w:spacing w:val="-26"/>
          <w:sz w:val="31"/>
          <w:szCs w:val="31"/>
        </w:rPr>
        <w:t>2.3评价等级及范围</w:t>
      </w:r>
    </w:p>
    <w:p w14:paraId="33A4C3D2">
      <w:pPr>
        <w:spacing w:before="213" w:line="218" w:lineRule="auto"/>
        <w:ind w:left="88"/>
        <w:rPr>
          <w:rFonts w:ascii="宋体" w:hAnsi="宋体" w:eastAsia="宋体" w:cs="宋体"/>
          <w:sz w:val="24"/>
          <w:szCs w:val="24"/>
        </w:rPr>
      </w:pPr>
      <w:r>
        <w:rPr>
          <w:rFonts w:ascii="宋体" w:hAnsi="宋体" w:eastAsia="宋体" w:cs="宋体"/>
          <w:b/>
          <w:bCs/>
          <w:spacing w:val="-7"/>
          <w:sz w:val="24"/>
          <w:szCs w:val="24"/>
        </w:rPr>
        <w:t>2.3.1评价等级</w:t>
      </w:r>
    </w:p>
    <w:p w14:paraId="32F552E3">
      <w:pPr>
        <w:spacing w:before="155" w:line="366" w:lineRule="auto"/>
        <w:ind w:left="124" w:right="238" w:firstLine="470"/>
        <w:rPr>
          <w:rFonts w:ascii="宋体" w:hAnsi="宋体" w:eastAsia="宋体" w:cs="宋体"/>
          <w:sz w:val="24"/>
          <w:szCs w:val="24"/>
        </w:rPr>
      </w:pPr>
      <w:r>
        <w:rPr>
          <w:rFonts w:ascii="宋体" w:hAnsi="宋体" w:eastAsia="宋体" w:cs="宋体"/>
          <w:spacing w:val="-7"/>
          <w:sz w:val="24"/>
          <w:szCs w:val="24"/>
        </w:rPr>
        <w:t>本项目为输变电工程，根据《环境影响评价技术导则—输变电》</w:t>
      </w:r>
      <w:r>
        <w:rPr>
          <w:rFonts w:ascii="Times New Roman" w:hAnsi="Times New Roman" w:eastAsia="Times New Roman" w:cs="Times New Roman"/>
          <w:spacing w:val="-7"/>
          <w:sz w:val="24"/>
          <w:szCs w:val="24"/>
        </w:rPr>
        <w:t>(HJ24-2020)</w:t>
      </w:r>
      <w:r>
        <w:rPr>
          <w:rFonts w:ascii="Times New Roman" w:hAnsi="Times New Roman" w:eastAsia="Times New Roman" w:cs="Times New Roman"/>
          <w:spacing w:val="12"/>
          <w:sz w:val="24"/>
          <w:szCs w:val="24"/>
        </w:rPr>
        <w:t xml:space="preserve"> </w:t>
      </w:r>
      <w:r>
        <w:rPr>
          <w:rFonts w:ascii="宋体" w:hAnsi="宋体" w:eastAsia="宋体" w:cs="宋体"/>
          <w:spacing w:val="-2"/>
          <w:sz w:val="24"/>
          <w:szCs w:val="24"/>
        </w:rPr>
        <w:t>中的有关规定，本项目电磁环境评价等级判定见表。</w:t>
      </w:r>
    </w:p>
    <w:p w14:paraId="215F4768">
      <w:pPr>
        <w:spacing w:before="1" w:line="199" w:lineRule="auto"/>
        <w:ind w:left="1748"/>
        <w:rPr>
          <w:rFonts w:ascii="宋体" w:hAnsi="宋体" w:eastAsia="宋体" w:cs="宋体"/>
          <w:sz w:val="25"/>
          <w:szCs w:val="25"/>
        </w:rPr>
      </w:pPr>
      <w:r>
        <w:rPr>
          <w:rFonts w:ascii="宋体" w:hAnsi="宋体" w:eastAsia="宋体" w:cs="宋体"/>
          <w:b/>
          <w:bCs/>
          <w:spacing w:val="-3"/>
          <w:sz w:val="25"/>
          <w:szCs w:val="25"/>
        </w:rPr>
        <w:t>表2.3-1本工程电磁环境影响评价工作等级判定表</w:t>
      </w:r>
    </w:p>
    <w:tbl>
      <w:tblPr>
        <w:tblStyle w:val="5"/>
        <w:tblW w:w="832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209"/>
        <w:gridCol w:w="1308"/>
        <w:gridCol w:w="3416"/>
        <w:gridCol w:w="1683"/>
      </w:tblGrid>
      <w:tr w14:paraId="1A949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04" w:type="dxa"/>
            <w:vAlign w:val="top"/>
          </w:tcPr>
          <w:p w14:paraId="0746BCEE">
            <w:pPr>
              <w:pStyle w:val="6"/>
              <w:spacing w:before="63" w:line="219" w:lineRule="auto"/>
              <w:ind w:left="145"/>
              <w:rPr>
                <w:sz w:val="20"/>
                <w:szCs w:val="20"/>
              </w:rPr>
            </w:pPr>
            <w:r>
              <w:rPr>
                <w:spacing w:val="-3"/>
                <w:sz w:val="20"/>
                <w:szCs w:val="20"/>
              </w:rPr>
              <w:t>分类</w:t>
            </w:r>
          </w:p>
        </w:tc>
        <w:tc>
          <w:tcPr>
            <w:tcW w:w="1209" w:type="dxa"/>
            <w:vAlign w:val="top"/>
          </w:tcPr>
          <w:p w14:paraId="1D6E134D">
            <w:pPr>
              <w:pStyle w:val="6"/>
              <w:spacing w:before="63" w:line="219" w:lineRule="auto"/>
              <w:ind w:left="191"/>
              <w:rPr>
                <w:sz w:val="20"/>
                <w:szCs w:val="20"/>
              </w:rPr>
            </w:pPr>
            <w:r>
              <w:rPr>
                <w:spacing w:val="3"/>
                <w:sz w:val="20"/>
                <w:szCs w:val="20"/>
              </w:rPr>
              <w:t>电压等级</w:t>
            </w:r>
          </w:p>
        </w:tc>
        <w:tc>
          <w:tcPr>
            <w:tcW w:w="1308" w:type="dxa"/>
            <w:vAlign w:val="top"/>
          </w:tcPr>
          <w:p w14:paraId="5A89D39D">
            <w:pPr>
              <w:pStyle w:val="6"/>
              <w:spacing w:before="63" w:line="220" w:lineRule="auto"/>
              <w:ind w:left="442"/>
              <w:rPr>
                <w:sz w:val="20"/>
                <w:szCs w:val="20"/>
              </w:rPr>
            </w:pPr>
            <w:r>
              <w:rPr>
                <w:spacing w:val="-3"/>
                <w:sz w:val="20"/>
                <w:szCs w:val="20"/>
              </w:rPr>
              <w:t>工程</w:t>
            </w:r>
          </w:p>
        </w:tc>
        <w:tc>
          <w:tcPr>
            <w:tcW w:w="3416" w:type="dxa"/>
            <w:vAlign w:val="top"/>
          </w:tcPr>
          <w:p w14:paraId="546A22FD">
            <w:pPr>
              <w:pStyle w:val="6"/>
              <w:spacing w:before="63" w:line="219" w:lineRule="auto"/>
              <w:ind w:left="1504"/>
              <w:rPr>
                <w:sz w:val="20"/>
                <w:szCs w:val="20"/>
              </w:rPr>
            </w:pPr>
            <w:r>
              <w:rPr>
                <w:spacing w:val="-3"/>
                <w:sz w:val="20"/>
                <w:szCs w:val="20"/>
              </w:rPr>
              <w:t>条件</w:t>
            </w:r>
          </w:p>
        </w:tc>
        <w:tc>
          <w:tcPr>
            <w:tcW w:w="1683" w:type="dxa"/>
            <w:vAlign w:val="top"/>
          </w:tcPr>
          <w:p w14:paraId="0EF9EA82">
            <w:pPr>
              <w:pStyle w:val="6"/>
              <w:spacing w:before="61" w:line="218" w:lineRule="auto"/>
              <w:ind w:left="238"/>
              <w:rPr>
                <w:sz w:val="20"/>
                <w:szCs w:val="20"/>
              </w:rPr>
            </w:pPr>
            <w:r>
              <w:rPr>
                <w:spacing w:val="-1"/>
                <w:sz w:val="20"/>
                <w:szCs w:val="20"/>
              </w:rPr>
              <w:t>评价工作等级</w:t>
            </w:r>
          </w:p>
        </w:tc>
      </w:tr>
      <w:tr w14:paraId="46819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4" w:type="dxa"/>
            <w:vMerge w:val="restart"/>
            <w:tcBorders>
              <w:bottom w:val="nil"/>
            </w:tcBorders>
            <w:vAlign w:val="top"/>
          </w:tcPr>
          <w:p w14:paraId="2846097F">
            <w:pPr>
              <w:pStyle w:val="6"/>
              <w:spacing w:before="262" w:line="221" w:lineRule="auto"/>
              <w:ind w:left="145"/>
              <w:rPr>
                <w:sz w:val="20"/>
                <w:szCs w:val="20"/>
              </w:rPr>
            </w:pPr>
            <w:r>
              <w:rPr>
                <w:spacing w:val="4"/>
                <w:sz w:val="20"/>
                <w:szCs w:val="20"/>
              </w:rPr>
              <w:t>交流</w:t>
            </w:r>
          </w:p>
        </w:tc>
        <w:tc>
          <w:tcPr>
            <w:tcW w:w="1209" w:type="dxa"/>
            <w:vMerge w:val="restart"/>
            <w:tcBorders>
              <w:bottom w:val="nil"/>
            </w:tcBorders>
            <w:vAlign w:val="top"/>
          </w:tcPr>
          <w:p w14:paraId="62E2B2AA">
            <w:pPr>
              <w:pStyle w:val="6"/>
              <w:spacing w:before="280"/>
              <w:ind w:left="141"/>
              <w:rPr>
                <w:sz w:val="20"/>
                <w:szCs w:val="20"/>
              </w:rPr>
            </w:pPr>
            <w:r>
              <w:rPr>
                <w:spacing w:val="-2"/>
                <w:sz w:val="20"/>
                <w:szCs w:val="20"/>
              </w:rPr>
              <w:t>220~330kv</w:t>
            </w:r>
          </w:p>
        </w:tc>
        <w:tc>
          <w:tcPr>
            <w:tcW w:w="1308" w:type="dxa"/>
            <w:vMerge w:val="restart"/>
            <w:tcBorders>
              <w:bottom w:val="nil"/>
            </w:tcBorders>
            <w:vAlign w:val="top"/>
          </w:tcPr>
          <w:p w14:paraId="5C3BFB3B">
            <w:pPr>
              <w:pStyle w:val="6"/>
              <w:spacing w:before="262" w:line="221" w:lineRule="auto"/>
              <w:ind w:left="342"/>
              <w:rPr>
                <w:sz w:val="20"/>
                <w:szCs w:val="20"/>
              </w:rPr>
            </w:pPr>
            <w:r>
              <w:rPr>
                <w:spacing w:val="3"/>
                <w:sz w:val="20"/>
                <w:szCs w:val="20"/>
              </w:rPr>
              <w:t>升压站</w:t>
            </w:r>
          </w:p>
        </w:tc>
        <w:tc>
          <w:tcPr>
            <w:tcW w:w="3416" w:type="dxa"/>
            <w:vAlign w:val="top"/>
          </w:tcPr>
          <w:p w14:paraId="6583BDE0">
            <w:pPr>
              <w:pStyle w:val="6"/>
              <w:spacing w:before="40" w:line="209" w:lineRule="auto"/>
              <w:ind w:left="1004"/>
              <w:rPr>
                <w:sz w:val="20"/>
                <w:szCs w:val="20"/>
              </w:rPr>
            </w:pPr>
            <w:r>
              <w:rPr>
                <w:spacing w:val="-2"/>
                <w:sz w:val="20"/>
                <w:szCs w:val="20"/>
              </w:rPr>
              <w:t>户内式、地下式</w:t>
            </w:r>
          </w:p>
        </w:tc>
        <w:tc>
          <w:tcPr>
            <w:tcW w:w="1683" w:type="dxa"/>
            <w:vAlign w:val="top"/>
          </w:tcPr>
          <w:p w14:paraId="6BBA12D0">
            <w:pPr>
              <w:pStyle w:val="6"/>
              <w:spacing w:before="43" w:line="206" w:lineRule="auto"/>
              <w:ind w:left="637"/>
              <w:rPr>
                <w:sz w:val="20"/>
                <w:szCs w:val="20"/>
              </w:rPr>
            </w:pPr>
            <w:r>
              <w:rPr>
                <w:spacing w:val="6"/>
                <w:sz w:val="20"/>
                <w:szCs w:val="20"/>
              </w:rPr>
              <w:t>三级</w:t>
            </w:r>
          </w:p>
        </w:tc>
      </w:tr>
      <w:tr w14:paraId="4C894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04" w:type="dxa"/>
            <w:vMerge w:val="continue"/>
            <w:tcBorders>
              <w:top w:val="nil"/>
            </w:tcBorders>
            <w:vAlign w:val="top"/>
          </w:tcPr>
          <w:p w14:paraId="5DC099F7">
            <w:pPr>
              <w:rPr>
                <w:rFonts w:ascii="Arial"/>
                <w:sz w:val="21"/>
              </w:rPr>
            </w:pPr>
          </w:p>
        </w:tc>
        <w:tc>
          <w:tcPr>
            <w:tcW w:w="1209" w:type="dxa"/>
            <w:vMerge w:val="continue"/>
            <w:tcBorders>
              <w:top w:val="nil"/>
            </w:tcBorders>
            <w:vAlign w:val="top"/>
          </w:tcPr>
          <w:p w14:paraId="268E0E5E">
            <w:pPr>
              <w:rPr>
                <w:rFonts w:ascii="Arial"/>
                <w:sz w:val="21"/>
              </w:rPr>
            </w:pPr>
          </w:p>
        </w:tc>
        <w:tc>
          <w:tcPr>
            <w:tcW w:w="1308" w:type="dxa"/>
            <w:vMerge w:val="continue"/>
            <w:tcBorders>
              <w:top w:val="nil"/>
            </w:tcBorders>
            <w:vAlign w:val="top"/>
          </w:tcPr>
          <w:p w14:paraId="595B5362">
            <w:pPr>
              <w:rPr>
                <w:rFonts w:ascii="Arial"/>
                <w:sz w:val="21"/>
              </w:rPr>
            </w:pPr>
          </w:p>
        </w:tc>
        <w:tc>
          <w:tcPr>
            <w:tcW w:w="3416" w:type="dxa"/>
            <w:vAlign w:val="top"/>
          </w:tcPr>
          <w:p w14:paraId="6CB106EF">
            <w:pPr>
              <w:pStyle w:val="6"/>
              <w:spacing w:before="124" w:line="220" w:lineRule="auto"/>
              <w:ind w:left="1404"/>
              <w:rPr>
                <w:sz w:val="20"/>
                <w:szCs w:val="20"/>
              </w:rPr>
            </w:pPr>
            <w:r>
              <w:rPr>
                <w:spacing w:val="-2"/>
                <w:sz w:val="20"/>
                <w:szCs w:val="20"/>
              </w:rPr>
              <w:t>户外式</w:t>
            </w:r>
          </w:p>
        </w:tc>
        <w:tc>
          <w:tcPr>
            <w:tcW w:w="1683" w:type="dxa"/>
            <w:vAlign w:val="top"/>
          </w:tcPr>
          <w:p w14:paraId="13E228AD">
            <w:pPr>
              <w:pStyle w:val="6"/>
              <w:spacing w:before="126" w:line="221" w:lineRule="auto"/>
              <w:ind w:left="637"/>
              <w:rPr>
                <w:sz w:val="20"/>
                <w:szCs w:val="20"/>
              </w:rPr>
            </w:pPr>
            <w:r>
              <w:rPr>
                <w:spacing w:val="6"/>
                <w:sz w:val="20"/>
                <w:szCs w:val="20"/>
              </w:rPr>
              <w:t>二级</w:t>
            </w:r>
          </w:p>
        </w:tc>
      </w:tr>
    </w:tbl>
    <w:p w14:paraId="6F521BB2">
      <w:pPr>
        <w:spacing w:before="154" w:line="362" w:lineRule="auto"/>
        <w:ind w:left="124" w:right="34" w:firstLine="460"/>
        <w:rPr>
          <w:rFonts w:ascii="宋体" w:hAnsi="宋体" w:eastAsia="宋体" w:cs="宋体"/>
          <w:sz w:val="24"/>
          <w:szCs w:val="24"/>
        </w:rPr>
      </w:pPr>
      <w:r>
        <w:rPr>
          <w:rFonts w:ascii="宋体" w:hAnsi="宋体" w:eastAsia="宋体" w:cs="宋体"/>
          <w:spacing w:val="1"/>
          <w:sz w:val="24"/>
          <w:szCs w:val="24"/>
        </w:rPr>
        <w:t>根据项目可研资料，本工程拟建220</w:t>
      </w:r>
      <w:r>
        <w:rPr>
          <w:rFonts w:ascii="Times New Roman" w:hAnsi="Times New Roman" w:eastAsia="Times New Roman" w:cs="Times New Roman"/>
          <w:sz w:val="24"/>
          <w:szCs w:val="24"/>
        </w:rPr>
        <w:t>kV</w:t>
      </w:r>
      <w:r>
        <w:rPr>
          <w:rFonts w:ascii="宋体" w:hAnsi="宋体" w:eastAsia="宋体" w:cs="宋体"/>
          <w:spacing w:val="1"/>
          <w:sz w:val="24"/>
          <w:szCs w:val="24"/>
        </w:rPr>
        <w:t>升压站为户外式，根据等级判定表，</w:t>
      </w:r>
      <w:r>
        <w:rPr>
          <w:rFonts w:ascii="宋体" w:hAnsi="宋体" w:eastAsia="宋体" w:cs="宋体"/>
          <w:spacing w:val="12"/>
          <w:sz w:val="24"/>
          <w:szCs w:val="24"/>
        </w:rPr>
        <w:t xml:space="preserve"> </w:t>
      </w:r>
      <w:r>
        <w:rPr>
          <w:rFonts w:ascii="宋体" w:hAnsi="宋体" w:eastAsia="宋体" w:cs="宋体"/>
          <w:spacing w:val="-3"/>
          <w:sz w:val="24"/>
          <w:szCs w:val="24"/>
        </w:rPr>
        <w:t>本工程的电磁环境影响评价等级为二级。</w:t>
      </w:r>
    </w:p>
    <w:p w14:paraId="438D1C0B">
      <w:pPr>
        <w:spacing w:line="362" w:lineRule="auto"/>
        <w:rPr>
          <w:rFonts w:ascii="宋体" w:hAnsi="宋体" w:eastAsia="宋体" w:cs="宋体"/>
          <w:sz w:val="24"/>
          <w:szCs w:val="24"/>
        </w:rPr>
        <w:sectPr>
          <w:footerReference r:id="rId139" w:type="default"/>
          <w:pgSz w:w="11910" w:h="16830"/>
          <w:pgMar w:top="1371" w:right="1715" w:bottom="1116" w:left="1675" w:header="0" w:footer="802" w:gutter="0"/>
          <w:cols w:space="720" w:num="1"/>
        </w:sectPr>
      </w:pPr>
    </w:p>
    <w:p w14:paraId="0F506E4E">
      <w:pPr>
        <w:spacing w:before="51" w:line="218" w:lineRule="auto"/>
        <w:ind w:left="94"/>
        <w:rPr>
          <w:rFonts w:ascii="宋体" w:hAnsi="宋体" w:eastAsia="宋体" w:cs="宋体"/>
          <w:sz w:val="26"/>
          <w:szCs w:val="26"/>
        </w:rPr>
      </w:pPr>
      <w:r>
        <w:rPr>
          <w:rFonts w:ascii="宋体" w:hAnsi="宋体" w:eastAsia="宋体" w:cs="宋体"/>
          <w:spacing w:val="-16"/>
          <w:sz w:val="26"/>
          <w:szCs w:val="26"/>
        </w:rPr>
        <w:t>2.3.2评价范围</w:t>
      </w:r>
    </w:p>
    <w:p w14:paraId="25B18D12">
      <w:pPr>
        <w:spacing w:before="170" w:line="352" w:lineRule="auto"/>
        <w:ind w:left="94" w:right="132" w:firstLine="480"/>
        <w:jc w:val="both"/>
        <w:rPr>
          <w:rFonts w:ascii="宋体" w:hAnsi="宋体" w:eastAsia="宋体" w:cs="宋体"/>
          <w:sz w:val="24"/>
          <w:szCs w:val="24"/>
        </w:rPr>
      </w:pPr>
      <w:r>
        <w:rPr>
          <w:rFonts w:ascii="宋体" w:hAnsi="宋体" w:eastAsia="宋体" w:cs="宋体"/>
          <w:spacing w:val="5"/>
          <w:sz w:val="24"/>
          <w:szCs w:val="24"/>
        </w:rPr>
        <w:t>工程建设内容为新建220</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5"/>
          <w:sz w:val="24"/>
          <w:szCs w:val="24"/>
        </w:rPr>
        <w:t>升压站1座。根据《环境影</w:t>
      </w:r>
      <w:r>
        <w:rPr>
          <w:rFonts w:ascii="宋体" w:hAnsi="宋体" w:eastAsia="宋体" w:cs="宋体"/>
          <w:spacing w:val="4"/>
          <w:sz w:val="24"/>
          <w:szCs w:val="24"/>
        </w:rPr>
        <w:t>响评价技术导则-输</w:t>
      </w:r>
      <w:r>
        <w:rPr>
          <w:rFonts w:ascii="宋体" w:hAnsi="宋体" w:eastAsia="宋体" w:cs="宋体"/>
          <w:sz w:val="24"/>
          <w:szCs w:val="24"/>
        </w:rPr>
        <w:t xml:space="preserve"> </w:t>
      </w:r>
      <w:r>
        <w:rPr>
          <w:rFonts w:ascii="宋体" w:hAnsi="宋体" w:eastAsia="宋体" w:cs="宋体"/>
          <w:spacing w:val="4"/>
          <w:sz w:val="24"/>
          <w:szCs w:val="24"/>
        </w:rPr>
        <w:t>变电工程》(</w:t>
      </w:r>
      <w:r>
        <w:rPr>
          <w:rFonts w:ascii="宋体" w:hAnsi="宋体" w:eastAsia="宋体" w:cs="宋体"/>
          <w:spacing w:val="-58"/>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4"/>
          <w:sz w:val="24"/>
          <w:szCs w:val="24"/>
        </w:rPr>
        <w:t xml:space="preserve">24-2020),     </w:t>
      </w:r>
      <w:r>
        <w:rPr>
          <w:rFonts w:ascii="宋体" w:hAnsi="宋体" w:eastAsia="宋体" w:cs="宋体"/>
          <w:spacing w:val="4"/>
          <w:sz w:val="24"/>
          <w:szCs w:val="24"/>
        </w:rPr>
        <w:t>电磁环境评价范围为220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rFonts w:ascii="宋体" w:hAnsi="宋体" w:eastAsia="宋体" w:cs="宋体"/>
          <w:spacing w:val="3"/>
          <w:sz w:val="24"/>
          <w:szCs w:val="24"/>
        </w:rPr>
        <w:t>升压站围墙外40</w:t>
      </w:r>
      <w:r>
        <w:rPr>
          <w:rFonts w:ascii="Times New Roman" w:hAnsi="Times New Roman" w:eastAsia="Times New Roman" w:cs="Times New Roman"/>
          <w:spacing w:val="3"/>
          <w:sz w:val="24"/>
          <w:szCs w:val="24"/>
        </w:rPr>
        <w:t xml:space="preserve">m </w:t>
      </w:r>
      <w:r>
        <w:rPr>
          <w:rFonts w:ascii="宋体" w:hAnsi="宋体" w:eastAsia="宋体" w:cs="宋体"/>
          <w:spacing w:val="3"/>
          <w:sz w:val="24"/>
          <w:szCs w:val="24"/>
        </w:rPr>
        <w:t>范围</w:t>
      </w:r>
      <w:r>
        <w:rPr>
          <w:rFonts w:ascii="宋体" w:hAnsi="宋体" w:eastAsia="宋体" w:cs="宋体"/>
          <w:sz w:val="24"/>
          <w:szCs w:val="24"/>
        </w:rPr>
        <w:t xml:space="preserve"> </w:t>
      </w:r>
      <w:r>
        <w:rPr>
          <w:rFonts w:ascii="宋体" w:hAnsi="宋体" w:eastAsia="宋体" w:cs="宋体"/>
          <w:spacing w:val="-10"/>
          <w:sz w:val="24"/>
          <w:szCs w:val="24"/>
        </w:rPr>
        <w:t>内。</w:t>
      </w:r>
    </w:p>
    <w:p w14:paraId="516FBE5C">
      <w:pPr>
        <w:spacing w:before="55" w:line="218" w:lineRule="auto"/>
        <w:ind w:left="98"/>
        <w:rPr>
          <w:rFonts w:ascii="宋体" w:hAnsi="宋体" w:eastAsia="宋体" w:cs="宋体"/>
          <w:sz w:val="28"/>
          <w:szCs w:val="28"/>
        </w:rPr>
      </w:pPr>
      <w:r>
        <w:rPr>
          <w:rFonts w:ascii="宋体" w:hAnsi="宋体" w:eastAsia="宋体" w:cs="宋体"/>
          <w:b/>
          <w:bCs/>
          <w:spacing w:val="-1"/>
          <w:sz w:val="28"/>
          <w:szCs w:val="28"/>
        </w:rPr>
        <w:t>2.4评价重点</w:t>
      </w:r>
    </w:p>
    <w:p w14:paraId="4F9D1C91">
      <w:pPr>
        <w:spacing w:before="193" w:line="357" w:lineRule="auto"/>
        <w:ind w:left="94" w:right="142" w:firstLine="480"/>
        <w:rPr>
          <w:rFonts w:ascii="宋体" w:hAnsi="宋体" w:eastAsia="宋体" w:cs="宋体"/>
          <w:sz w:val="24"/>
          <w:szCs w:val="24"/>
        </w:rPr>
      </w:pPr>
      <w:r>
        <w:rPr>
          <w:rFonts w:ascii="宋体" w:hAnsi="宋体" w:eastAsia="宋体" w:cs="宋体"/>
          <w:spacing w:val="-3"/>
          <w:sz w:val="24"/>
          <w:szCs w:val="24"/>
        </w:rPr>
        <w:t>电磁环境评价重点为工程运行期产生的工频电场、工频磁感应强度对周围环</w:t>
      </w:r>
      <w:r>
        <w:rPr>
          <w:rFonts w:ascii="宋体" w:hAnsi="宋体" w:eastAsia="宋体" w:cs="宋体"/>
          <w:sz w:val="24"/>
          <w:szCs w:val="24"/>
        </w:rPr>
        <w:t xml:space="preserve"> </w:t>
      </w:r>
      <w:r>
        <w:rPr>
          <w:rFonts w:ascii="宋体" w:hAnsi="宋体" w:eastAsia="宋体" w:cs="宋体"/>
          <w:spacing w:val="-1"/>
          <w:sz w:val="24"/>
          <w:szCs w:val="24"/>
        </w:rPr>
        <w:t>境的影响，特别是对工程电磁环境敏感目标的影响。</w:t>
      </w:r>
    </w:p>
    <w:p w14:paraId="72806A76">
      <w:pPr>
        <w:spacing w:before="26" w:line="220" w:lineRule="auto"/>
        <w:ind w:left="94"/>
        <w:rPr>
          <w:rFonts w:ascii="宋体" w:hAnsi="宋体" w:eastAsia="宋体" w:cs="宋体"/>
          <w:sz w:val="28"/>
          <w:szCs w:val="28"/>
        </w:rPr>
      </w:pPr>
      <w:r>
        <w:rPr>
          <w:rFonts w:ascii="宋体" w:hAnsi="宋体" w:eastAsia="宋体" w:cs="宋体"/>
          <w:spacing w:val="1"/>
          <w:sz w:val="28"/>
          <w:szCs w:val="28"/>
        </w:rPr>
        <w:t>2.5环境保护目标</w:t>
      </w:r>
    </w:p>
    <w:p w14:paraId="18B150E0">
      <w:pPr>
        <w:spacing w:before="201" w:line="357" w:lineRule="auto"/>
        <w:ind w:left="94" w:right="24" w:firstLine="480"/>
        <w:jc w:val="both"/>
        <w:rPr>
          <w:rFonts w:ascii="宋体" w:hAnsi="宋体" w:eastAsia="宋体" w:cs="宋体"/>
          <w:sz w:val="24"/>
          <w:szCs w:val="24"/>
        </w:rPr>
      </w:pPr>
      <w:r>
        <w:rPr>
          <w:rFonts w:ascii="宋体" w:hAnsi="宋体" w:eastAsia="宋体" w:cs="宋体"/>
          <w:sz w:val="24"/>
          <w:szCs w:val="24"/>
        </w:rPr>
        <w:t>升压站站外40</w:t>
      </w:r>
      <w:r>
        <w:rPr>
          <w:rFonts w:ascii="Times New Roman" w:hAnsi="Times New Roman" w:eastAsia="Times New Roman" w:cs="Times New Roman"/>
          <w:sz w:val="24"/>
          <w:szCs w:val="24"/>
        </w:rPr>
        <w:t xml:space="preserve">m </w:t>
      </w:r>
      <w:r>
        <w:rPr>
          <w:rFonts w:ascii="宋体" w:hAnsi="宋体" w:eastAsia="宋体" w:cs="宋体"/>
          <w:sz w:val="24"/>
          <w:szCs w:val="24"/>
        </w:rPr>
        <w:t>范围内的住宅、学校、医院、办公楼、工厂等有公众居住、</w:t>
      </w:r>
      <w:r>
        <w:rPr>
          <w:rFonts w:ascii="宋体" w:hAnsi="宋体" w:eastAsia="宋体" w:cs="宋体"/>
          <w:spacing w:val="12"/>
          <w:sz w:val="24"/>
          <w:szCs w:val="24"/>
        </w:rPr>
        <w:t xml:space="preserve"> </w:t>
      </w:r>
      <w:r>
        <w:rPr>
          <w:rFonts w:ascii="宋体" w:hAnsi="宋体" w:eastAsia="宋体" w:cs="宋体"/>
          <w:spacing w:val="-3"/>
          <w:sz w:val="24"/>
          <w:szCs w:val="24"/>
        </w:rPr>
        <w:t>工作或学习的建筑物应列为电磁辐射环境保护目标，经过现场踏勘，该范围内无</w:t>
      </w:r>
      <w:r>
        <w:rPr>
          <w:rFonts w:ascii="宋体" w:hAnsi="宋体" w:eastAsia="宋体" w:cs="宋体"/>
          <w:spacing w:val="2"/>
          <w:sz w:val="24"/>
          <w:szCs w:val="24"/>
        </w:rPr>
        <w:t xml:space="preserve">  </w:t>
      </w:r>
      <w:r>
        <w:rPr>
          <w:rFonts w:ascii="宋体" w:hAnsi="宋体" w:eastAsia="宋体" w:cs="宋体"/>
          <w:spacing w:val="3"/>
          <w:sz w:val="24"/>
          <w:szCs w:val="24"/>
        </w:rPr>
        <w:t>电磁环境敏感点分布。但项目升压站内常驻有10名工作人员，故本工程电磁环</w:t>
      </w:r>
      <w:r>
        <w:rPr>
          <w:rFonts w:ascii="宋体" w:hAnsi="宋体" w:eastAsia="宋体" w:cs="宋体"/>
          <w:spacing w:val="8"/>
          <w:sz w:val="24"/>
          <w:szCs w:val="24"/>
        </w:rPr>
        <w:t xml:space="preserve">  </w:t>
      </w:r>
      <w:r>
        <w:rPr>
          <w:rFonts w:ascii="宋体" w:hAnsi="宋体" w:eastAsia="宋体" w:cs="宋体"/>
          <w:spacing w:val="4"/>
          <w:sz w:val="24"/>
          <w:szCs w:val="24"/>
        </w:rPr>
        <w:t>境保护目标确定为生产楼(含生活区)。本项目升压站电磁辐射环境保护目标一</w:t>
      </w:r>
      <w:r>
        <w:rPr>
          <w:rFonts w:ascii="宋体" w:hAnsi="宋体" w:eastAsia="宋体" w:cs="宋体"/>
          <w:spacing w:val="1"/>
          <w:sz w:val="24"/>
          <w:szCs w:val="24"/>
        </w:rPr>
        <w:t xml:space="preserve">  </w:t>
      </w:r>
      <w:r>
        <w:rPr>
          <w:rFonts w:ascii="宋体" w:hAnsi="宋体" w:eastAsia="宋体" w:cs="宋体"/>
          <w:spacing w:val="-6"/>
          <w:sz w:val="24"/>
          <w:szCs w:val="24"/>
        </w:rPr>
        <w:t>览表详见2.5-1。</w:t>
      </w:r>
    </w:p>
    <w:p w14:paraId="690F33F6">
      <w:pPr>
        <w:spacing w:before="10" w:line="219" w:lineRule="auto"/>
        <w:ind w:left="1435"/>
        <w:rPr>
          <w:rFonts w:ascii="宋体" w:hAnsi="宋体" w:eastAsia="宋体" w:cs="宋体"/>
          <w:sz w:val="24"/>
          <w:szCs w:val="24"/>
        </w:rPr>
      </w:pPr>
      <w:r>
        <w:rPr>
          <w:rFonts w:ascii="宋体" w:hAnsi="宋体" w:eastAsia="宋体" w:cs="宋体"/>
          <w:spacing w:val="1"/>
          <w:sz w:val="24"/>
          <w:szCs w:val="24"/>
        </w:rPr>
        <w:t>表2.5-1</w:t>
      </w:r>
      <w:r>
        <w:rPr>
          <w:rFonts w:ascii="宋体" w:hAnsi="宋体" w:eastAsia="宋体" w:cs="宋体"/>
          <w:spacing w:val="85"/>
          <w:sz w:val="24"/>
          <w:szCs w:val="24"/>
        </w:rPr>
        <w:t xml:space="preserve"> </w:t>
      </w:r>
      <w:r>
        <w:rPr>
          <w:rFonts w:ascii="宋体" w:hAnsi="宋体" w:eastAsia="宋体" w:cs="宋体"/>
          <w:spacing w:val="1"/>
          <w:sz w:val="24"/>
          <w:szCs w:val="24"/>
        </w:rPr>
        <w:t>本项目升压站电磁辐射环境保护目标一览表</w:t>
      </w:r>
    </w:p>
    <w:p w14:paraId="76729B92">
      <w:pPr>
        <w:spacing w:line="142" w:lineRule="exact"/>
      </w:pPr>
    </w:p>
    <w:tbl>
      <w:tblPr>
        <w:tblStyle w:val="5"/>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639"/>
        <w:gridCol w:w="989"/>
        <w:gridCol w:w="1508"/>
        <w:gridCol w:w="979"/>
        <w:gridCol w:w="889"/>
        <w:gridCol w:w="809"/>
        <w:gridCol w:w="679"/>
        <w:gridCol w:w="1503"/>
      </w:tblGrid>
      <w:tr w14:paraId="39777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trPr>
        <w:tc>
          <w:tcPr>
            <w:tcW w:w="534" w:type="dxa"/>
            <w:textDirection w:val="tbRlV"/>
            <w:vAlign w:val="top"/>
          </w:tcPr>
          <w:p w14:paraId="38C659DC">
            <w:pPr>
              <w:pStyle w:val="6"/>
              <w:spacing w:before="158" w:line="200" w:lineRule="auto"/>
              <w:ind w:left="194"/>
              <w:rPr>
                <w:sz w:val="21"/>
                <w:szCs w:val="21"/>
              </w:rPr>
            </w:pPr>
            <w:r>
              <w:rPr>
                <w:sz w:val="21"/>
                <w:szCs w:val="21"/>
              </w:rPr>
              <w:t>类别</w:t>
            </w:r>
          </w:p>
        </w:tc>
        <w:tc>
          <w:tcPr>
            <w:tcW w:w="639" w:type="dxa"/>
            <w:vAlign w:val="top"/>
          </w:tcPr>
          <w:p w14:paraId="511BD9F4">
            <w:pPr>
              <w:pStyle w:val="6"/>
              <w:spacing w:before="14" w:line="220" w:lineRule="auto"/>
              <w:ind w:left="100"/>
              <w:rPr>
                <w:sz w:val="21"/>
                <w:szCs w:val="21"/>
              </w:rPr>
            </w:pPr>
            <w:r>
              <w:rPr>
                <w:spacing w:val="9"/>
                <w:sz w:val="21"/>
                <w:szCs w:val="21"/>
              </w:rPr>
              <w:t>所属</w:t>
            </w:r>
          </w:p>
          <w:p w14:paraId="2050C01C">
            <w:pPr>
              <w:pStyle w:val="6"/>
              <w:spacing w:before="39" w:line="220" w:lineRule="auto"/>
              <w:ind w:left="100"/>
              <w:rPr>
                <w:sz w:val="21"/>
                <w:szCs w:val="21"/>
              </w:rPr>
            </w:pPr>
            <w:r>
              <w:rPr>
                <w:spacing w:val="4"/>
                <w:sz w:val="21"/>
                <w:szCs w:val="21"/>
              </w:rPr>
              <w:t>行政</w:t>
            </w:r>
          </w:p>
          <w:p w14:paraId="6B5D6513">
            <w:pPr>
              <w:pStyle w:val="6"/>
              <w:spacing w:before="29" w:line="208" w:lineRule="auto"/>
              <w:ind w:left="100"/>
              <w:rPr>
                <w:sz w:val="21"/>
                <w:szCs w:val="21"/>
              </w:rPr>
            </w:pPr>
            <w:r>
              <w:rPr>
                <w:spacing w:val="4"/>
                <w:sz w:val="21"/>
                <w:szCs w:val="21"/>
              </w:rPr>
              <w:t>区域</w:t>
            </w:r>
          </w:p>
        </w:tc>
        <w:tc>
          <w:tcPr>
            <w:tcW w:w="989" w:type="dxa"/>
            <w:vAlign w:val="top"/>
          </w:tcPr>
          <w:p w14:paraId="2F76F6C9">
            <w:pPr>
              <w:spacing w:line="246" w:lineRule="auto"/>
              <w:rPr>
                <w:rFonts w:ascii="Arial"/>
                <w:sz w:val="21"/>
              </w:rPr>
            </w:pPr>
          </w:p>
          <w:p w14:paraId="691D937E">
            <w:pPr>
              <w:pStyle w:val="6"/>
              <w:spacing w:before="69" w:line="221" w:lineRule="auto"/>
              <w:ind w:left="271"/>
              <w:rPr>
                <w:sz w:val="21"/>
                <w:szCs w:val="21"/>
              </w:rPr>
            </w:pPr>
            <w:r>
              <w:rPr>
                <w:spacing w:val="5"/>
                <w:sz w:val="21"/>
                <w:szCs w:val="21"/>
              </w:rPr>
              <w:t>名称</w:t>
            </w:r>
          </w:p>
        </w:tc>
        <w:tc>
          <w:tcPr>
            <w:tcW w:w="1508" w:type="dxa"/>
            <w:vAlign w:val="top"/>
          </w:tcPr>
          <w:p w14:paraId="52B3FF31">
            <w:pPr>
              <w:pStyle w:val="6"/>
              <w:spacing w:before="43" w:line="219" w:lineRule="auto"/>
              <w:ind w:left="112"/>
              <w:rPr>
                <w:sz w:val="21"/>
                <w:szCs w:val="21"/>
              </w:rPr>
            </w:pPr>
            <w:r>
              <w:rPr>
                <w:spacing w:val="-2"/>
                <w:sz w:val="21"/>
                <w:szCs w:val="21"/>
              </w:rPr>
              <w:t>最近环保目标</w:t>
            </w:r>
          </w:p>
          <w:p w14:paraId="4C69ACCC">
            <w:pPr>
              <w:pStyle w:val="6"/>
              <w:spacing w:before="32" w:line="219" w:lineRule="auto"/>
              <w:ind w:left="112"/>
              <w:rPr>
                <w:sz w:val="21"/>
                <w:szCs w:val="21"/>
              </w:rPr>
            </w:pPr>
            <w:r>
              <w:rPr>
                <w:spacing w:val="-2"/>
                <w:sz w:val="21"/>
                <w:szCs w:val="21"/>
              </w:rPr>
              <w:t>相对方位及距</w:t>
            </w:r>
          </w:p>
          <w:p w14:paraId="2D77D548">
            <w:pPr>
              <w:pStyle w:val="6"/>
              <w:spacing w:line="216" w:lineRule="auto"/>
              <w:ind w:left="482"/>
              <w:rPr>
                <w:sz w:val="21"/>
                <w:szCs w:val="21"/>
              </w:rPr>
            </w:pPr>
            <w:r>
              <w:rPr>
                <w:spacing w:val="10"/>
                <w:sz w:val="21"/>
                <w:szCs w:val="21"/>
              </w:rPr>
              <w:t>离(m)</w:t>
            </w:r>
          </w:p>
        </w:tc>
        <w:tc>
          <w:tcPr>
            <w:tcW w:w="979" w:type="dxa"/>
            <w:vAlign w:val="top"/>
          </w:tcPr>
          <w:p w14:paraId="7A8DFC28">
            <w:pPr>
              <w:pStyle w:val="6"/>
              <w:spacing w:before="163" w:line="258" w:lineRule="auto"/>
              <w:ind w:left="164" w:right="73" w:hanging="100"/>
              <w:rPr>
                <w:sz w:val="21"/>
                <w:szCs w:val="21"/>
              </w:rPr>
            </w:pPr>
            <w:r>
              <w:rPr>
                <w:spacing w:val="-3"/>
                <w:sz w:val="21"/>
                <w:szCs w:val="21"/>
              </w:rPr>
              <w:t>房屋层数</w:t>
            </w:r>
            <w:r>
              <w:rPr>
                <w:spacing w:val="1"/>
                <w:sz w:val="21"/>
                <w:szCs w:val="21"/>
              </w:rPr>
              <w:t xml:space="preserve"> </w:t>
            </w:r>
            <w:r>
              <w:rPr>
                <w:spacing w:val="4"/>
                <w:sz w:val="21"/>
                <w:szCs w:val="21"/>
              </w:rPr>
              <w:t>及结构</w:t>
            </w:r>
          </w:p>
        </w:tc>
        <w:tc>
          <w:tcPr>
            <w:tcW w:w="889" w:type="dxa"/>
            <w:vAlign w:val="top"/>
          </w:tcPr>
          <w:p w14:paraId="00004818">
            <w:pPr>
              <w:pStyle w:val="6"/>
              <w:spacing w:before="163" w:line="267" w:lineRule="auto"/>
              <w:ind w:left="175" w:right="132" w:hanging="50"/>
              <w:rPr>
                <w:sz w:val="21"/>
                <w:szCs w:val="21"/>
              </w:rPr>
            </w:pPr>
            <w:r>
              <w:rPr>
                <w:spacing w:val="-4"/>
                <w:sz w:val="21"/>
                <w:szCs w:val="21"/>
              </w:rPr>
              <w:t>房屋高</w:t>
            </w:r>
            <w:r>
              <w:rPr>
                <w:spacing w:val="1"/>
                <w:sz w:val="21"/>
                <w:szCs w:val="21"/>
              </w:rPr>
              <w:t xml:space="preserve"> </w:t>
            </w:r>
            <w:r>
              <w:rPr>
                <w:spacing w:val="10"/>
                <w:sz w:val="21"/>
                <w:szCs w:val="21"/>
              </w:rPr>
              <w:t>度(m)</w:t>
            </w:r>
          </w:p>
        </w:tc>
        <w:tc>
          <w:tcPr>
            <w:tcW w:w="809" w:type="dxa"/>
            <w:vAlign w:val="top"/>
          </w:tcPr>
          <w:p w14:paraId="591CBD3D">
            <w:pPr>
              <w:pStyle w:val="6"/>
              <w:spacing w:before="186" w:line="237" w:lineRule="auto"/>
              <w:ind w:left="86" w:right="35"/>
              <w:rPr>
                <w:sz w:val="21"/>
                <w:szCs w:val="21"/>
              </w:rPr>
            </w:pPr>
            <w:r>
              <w:rPr>
                <w:spacing w:val="-3"/>
                <w:sz w:val="21"/>
                <w:szCs w:val="21"/>
              </w:rPr>
              <w:t>影响规</w:t>
            </w:r>
            <w:r>
              <w:rPr>
                <w:sz w:val="21"/>
                <w:szCs w:val="21"/>
              </w:rPr>
              <w:t xml:space="preserve"> </w:t>
            </w:r>
            <w:r>
              <w:rPr>
                <w:spacing w:val="11"/>
                <w:sz w:val="21"/>
                <w:szCs w:val="21"/>
              </w:rPr>
              <w:t>模(人)</w:t>
            </w:r>
          </w:p>
        </w:tc>
        <w:tc>
          <w:tcPr>
            <w:tcW w:w="679" w:type="dxa"/>
            <w:vAlign w:val="top"/>
          </w:tcPr>
          <w:p w14:paraId="555C1D2D">
            <w:pPr>
              <w:spacing w:line="245" w:lineRule="auto"/>
              <w:rPr>
                <w:rFonts w:ascii="Arial"/>
                <w:sz w:val="21"/>
              </w:rPr>
            </w:pPr>
          </w:p>
          <w:p w14:paraId="18D767D0">
            <w:pPr>
              <w:pStyle w:val="6"/>
              <w:spacing w:before="68" w:line="221" w:lineRule="auto"/>
              <w:ind w:left="127"/>
              <w:rPr>
                <w:sz w:val="21"/>
                <w:szCs w:val="21"/>
              </w:rPr>
            </w:pPr>
            <w:r>
              <w:rPr>
                <w:spacing w:val="5"/>
                <w:sz w:val="21"/>
                <w:szCs w:val="21"/>
              </w:rPr>
              <w:t>功能</w:t>
            </w:r>
          </w:p>
        </w:tc>
        <w:tc>
          <w:tcPr>
            <w:tcW w:w="1503" w:type="dxa"/>
            <w:vAlign w:val="top"/>
          </w:tcPr>
          <w:p w14:paraId="27E997F8">
            <w:pPr>
              <w:spacing w:line="244" w:lineRule="auto"/>
              <w:rPr>
                <w:rFonts w:ascii="Arial"/>
                <w:sz w:val="21"/>
              </w:rPr>
            </w:pPr>
          </w:p>
          <w:p w14:paraId="3C1714FD">
            <w:pPr>
              <w:pStyle w:val="6"/>
              <w:spacing w:before="68" w:line="220" w:lineRule="auto"/>
              <w:ind w:left="329"/>
              <w:rPr>
                <w:sz w:val="21"/>
                <w:szCs w:val="21"/>
              </w:rPr>
            </w:pPr>
            <w:r>
              <w:rPr>
                <w:spacing w:val="4"/>
                <w:sz w:val="21"/>
                <w:szCs w:val="21"/>
              </w:rPr>
              <w:t>保护级别</w:t>
            </w:r>
          </w:p>
        </w:tc>
      </w:tr>
      <w:tr w14:paraId="0115F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534" w:type="dxa"/>
            <w:textDirection w:val="tbRlV"/>
            <w:vAlign w:val="top"/>
          </w:tcPr>
          <w:p w14:paraId="6D0CA769">
            <w:pPr>
              <w:pStyle w:val="6"/>
              <w:spacing w:before="167" w:line="202" w:lineRule="auto"/>
              <w:ind w:left="403"/>
              <w:rPr>
                <w:sz w:val="21"/>
                <w:szCs w:val="21"/>
              </w:rPr>
            </w:pPr>
            <w:r>
              <w:rPr>
                <w:sz w:val="21"/>
                <w:szCs w:val="21"/>
              </w:rPr>
              <w:t>电</w:t>
            </w:r>
            <w:r>
              <w:rPr>
                <w:spacing w:val="-20"/>
                <w:sz w:val="21"/>
                <w:szCs w:val="21"/>
              </w:rPr>
              <w:t xml:space="preserve"> </w:t>
            </w:r>
            <w:r>
              <w:rPr>
                <w:sz w:val="21"/>
                <w:szCs w:val="21"/>
              </w:rPr>
              <w:t>磁</w:t>
            </w:r>
            <w:r>
              <w:rPr>
                <w:spacing w:val="-20"/>
                <w:sz w:val="21"/>
                <w:szCs w:val="21"/>
              </w:rPr>
              <w:t xml:space="preserve"> </w:t>
            </w:r>
            <w:r>
              <w:rPr>
                <w:sz w:val="21"/>
                <w:szCs w:val="21"/>
              </w:rPr>
              <w:t>辐</w:t>
            </w:r>
            <w:r>
              <w:rPr>
                <w:spacing w:val="-20"/>
                <w:sz w:val="21"/>
                <w:szCs w:val="21"/>
              </w:rPr>
              <w:t xml:space="preserve"> </w:t>
            </w:r>
            <w:r>
              <w:rPr>
                <w:sz w:val="21"/>
                <w:szCs w:val="21"/>
              </w:rPr>
              <w:t>射</w:t>
            </w:r>
          </w:p>
        </w:tc>
        <w:tc>
          <w:tcPr>
            <w:tcW w:w="639" w:type="dxa"/>
            <w:vAlign w:val="top"/>
          </w:tcPr>
          <w:p w14:paraId="341FBB50">
            <w:pPr>
              <w:spacing w:line="245" w:lineRule="auto"/>
              <w:rPr>
                <w:rFonts w:ascii="Arial"/>
                <w:sz w:val="21"/>
              </w:rPr>
            </w:pPr>
          </w:p>
          <w:p w14:paraId="49A11750">
            <w:pPr>
              <w:spacing w:line="246" w:lineRule="auto"/>
              <w:rPr>
                <w:rFonts w:ascii="Arial"/>
                <w:sz w:val="21"/>
              </w:rPr>
            </w:pPr>
          </w:p>
          <w:p w14:paraId="7CFF199F">
            <w:pPr>
              <w:pStyle w:val="6"/>
              <w:spacing w:before="68" w:line="219" w:lineRule="auto"/>
              <w:ind w:left="100"/>
              <w:rPr>
                <w:sz w:val="21"/>
                <w:szCs w:val="21"/>
              </w:rPr>
            </w:pPr>
            <w:r>
              <w:rPr>
                <w:spacing w:val="4"/>
                <w:sz w:val="21"/>
                <w:szCs w:val="21"/>
              </w:rPr>
              <w:t>马龙</w:t>
            </w:r>
          </w:p>
          <w:p w14:paraId="300501B5">
            <w:pPr>
              <w:pStyle w:val="6"/>
              <w:spacing w:before="41" w:line="220" w:lineRule="auto"/>
              <w:ind w:left="100"/>
              <w:rPr>
                <w:sz w:val="21"/>
                <w:szCs w:val="21"/>
              </w:rPr>
            </w:pPr>
            <w:r>
              <w:rPr>
                <w:spacing w:val="9"/>
                <w:sz w:val="21"/>
                <w:szCs w:val="21"/>
              </w:rPr>
              <w:t>区马</w:t>
            </w:r>
          </w:p>
          <w:p w14:paraId="436CAFB9">
            <w:pPr>
              <w:pStyle w:val="6"/>
              <w:spacing w:line="220" w:lineRule="auto"/>
              <w:ind w:left="100"/>
              <w:rPr>
                <w:sz w:val="21"/>
                <w:szCs w:val="21"/>
              </w:rPr>
            </w:pPr>
            <w:r>
              <w:rPr>
                <w:spacing w:val="14"/>
                <w:sz w:val="21"/>
                <w:szCs w:val="21"/>
              </w:rPr>
              <w:t>鸣乡</w:t>
            </w:r>
          </w:p>
        </w:tc>
        <w:tc>
          <w:tcPr>
            <w:tcW w:w="989" w:type="dxa"/>
            <w:vAlign w:val="top"/>
          </w:tcPr>
          <w:p w14:paraId="660C7506">
            <w:pPr>
              <w:spacing w:line="245" w:lineRule="auto"/>
              <w:rPr>
                <w:rFonts w:ascii="Arial"/>
                <w:sz w:val="21"/>
              </w:rPr>
            </w:pPr>
          </w:p>
          <w:p w14:paraId="280B7C7B">
            <w:pPr>
              <w:spacing w:line="246" w:lineRule="auto"/>
              <w:rPr>
                <w:rFonts w:ascii="Arial"/>
                <w:sz w:val="21"/>
              </w:rPr>
            </w:pPr>
          </w:p>
          <w:p w14:paraId="1C21056C">
            <w:pPr>
              <w:pStyle w:val="6"/>
              <w:spacing w:before="68" w:line="219" w:lineRule="auto"/>
              <w:ind w:left="171"/>
              <w:rPr>
                <w:sz w:val="21"/>
                <w:szCs w:val="21"/>
              </w:rPr>
            </w:pPr>
            <w:r>
              <w:rPr>
                <w:spacing w:val="-3"/>
                <w:sz w:val="21"/>
                <w:szCs w:val="21"/>
              </w:rPr>
              <w:t>生产楼</w:t>
            </w:r>
          </w:p>
          <w:p w14:paraId="2FD749E1">
            <w:pPr>
              <w:pStyle w:val="6"/>
              <w:spacing w:before="39" w:line="253" w:lineRule="auto"/>
              <w:ind w:left="320" w:right="118" w:hanging="209"/>
              <w:rPr>
                <w:sz w:val="21"/>
                <w:szCs w:val="21"/>
              </w:rPr>
            </w:pPr>
            <w:r>
              <w:rPr>
                <w:spacing w:val="3"/>
                <w:sz w:val="21"/>
                <w:szCs w:val="21"/>
              </w:rPr>
              <w:t>(含生活</w:t>
            </w:r>
            <w:r>
              <w:rPr>
                <w:sz w:val="21"/>
                <w:szCs w:val="21"/>
              </w:rPr>
              <w:t xml:space="preserve"> </w:t>
            </w:r>
            <w:r>
              <w:rPr>
                <w:spacing w:val="-12"/>
                <w:sz w:val="21"/>
                <w:szCs w:val="21"/>
              </w:rPr>
              <w:t>区</w:t>
            </w:r>
            <w:r>
              <w:rPr>
                <w:spacing w:val="-22"/>
                <w:sz w:val="21"/>
                <w:szCs w:val="21"/>
              </w:rPr>
              <w:t xml:space="preserve"> </w:t>
            </w:r>
            <w:r>
              <w:rPr>
                <w:spacing w:val="-12"/>
                <w:sz w:val="21"/>
                <w:szCs w:val="21"/>
              </w:rPr>
              <w:t>)</w:t>
            </w:r>
          </w:p>
        </w:tc>
        <w:tc>
          <w:tcPr>
            <w:tcW w:w="1508" w:type="dxa"/>
            <w:vAlign w:val="top"/>
          </w:tcPr>
          <w:p w14:paraId="4C966915">
            <w:pPr>
              <w:spacing w:line="259" w:lineRule="auto"/>
              <w:rPr>
                <w:rFonts w:ascii="Arial"/>
                <w:sz w:val="21"/>
              </w:rPr>
            </w:pPr>
          </w:p>
          <w:p w14:paraId="2C9DF84D">
            <w:pPr>
              <w:spacing w:line="260" w:lineRule="auto"/>
              <w:rPr>
                <w:rFonts w:ascii="Arial"/>
                <w:sz w:val="21"/>
              </w:rPr>
            </w:pPr>
          </w:p>
          <w:p w14:paraId="551E062D">
            <w:pPr>
              <w:spacing w:line="260" w:lineRule="auto"/>
              <w:rPr>
                <w:rFonts w:ascii="Arial"/>
                <w:sz w:val="21"/>
              </w:rPr>
            </w:pPr>
          </w:p>
          <w:p w14:paraId="1BFE9F00">
            <w:pPr>
              <w:pStyle w:val="6"/>
              <w:spacing w:before="69" w:line="219" w:lineRule="auto"/>
              <w:ind w:left="323"/>
              <w:rPr>
                <w:sz w:val="21"/>
                <w:szCs w:val="21"/>
              </w:rPr>
            </w:pPr>
            <w:r>
              <w:rPr>
                <w:spacing w:val="7"/>
                <w:sz w:val="21"/>
                <w:szCs w:val="21"/>
              </w:rPr>
              <w:t>升压站内</w:t>
            </w:r>
          </w:p>
        </w:tc>
        <w:tc>
          <w:tcPr>
            <w:tcW w:w="979" w:type="dxa"/>
            <w:vAlign w:val="top"/>
          </w:tcPr>
          <w:p w14:paraId="74987A17">
            <w:pPr>
              <w:spacing w:line="253" w:lineRule="auto"/>
              <w:rPr>
                <w:rFonts w:ascii="Arial"/>
                <w:sz w:val="21"/>
              </w:rPr>
            </w:pPr>
          </w:p>
          <w:p w14:paraId="5AF759D7">
            <w:pPr>
              <w:spacing w:line="253" w:lineRule="auto"/>
              <w:rPr>
                <w:rFonts w:ascii="Arial"/>
                <w:sz w:val="21"/>
              </w:rPr>
            </w:pPr>
          </w:p>
          <w:p w14:paraId="6A031CFE">
            <w:pPr>
              <w:pStyle w:val="6"/>
              <w:spacing w:before="68" w:line="245" w:lineRule="auto"/>
              <w:ind w:left="64" w:right="51" w:firstLine="50"/>
              <w:jc w:val="both"/>
              <w:rPr>
                <w:sz w:val="21"/>
                <w:szCs w:val="21"/>
              </w:rPr>
            </w:pPr>
            <w:r>
              <w:rPr>
                <w:spacing w:val="-3"/>
                <w:sz w:val="21"/>
                <w:szCs w:val="21"/>
              </w:rPr>
              <w:t>2F,混凝</w:t>
            </w:r>
            <w:r>
              <w:rPr>
                <w:spacing w:val="3"/>
                <w:sz w:val="21"/>
                <w:szCs w:val="21"/>
              </w:rPr>
              <w:t xml:space="preserve"> 土框架结</w:t>
            </w:r>
            <w:r>
              <w:rPr>
                <w:sz w:val="21"/>
                <w:szCs w:val="21"/>
              </w:rPr>
              <w:t xml:space="preserve"> </w:t>
            </w:r>
            <w:r>
              <w:rPr>
                <w:spacing w:val="36"/>
                <w:sz w:val="21"/>
                <w:szCs w:val="21"/>
              </w:rPr>
              <w:t>构平顶</w:t>
            </w:r>
          </w:p>
        </w:tc>
        <w:tc>
          <w:tcPr>
            <w:tcW w:w="889" w:type="dxa"/>
            <w:vAlign w:val="top"/>
          </w:tcPr>
          <w:p w14:paraId="21DB57EF">
            <w:pPr>
              <w:spacing w:line="266" w:lineRule="auto"/>
              <w:rPr>
                <w:rFonts w:ascii="Arial"/>
                <w:sz w:val="21"/>
              </w:rPr>
            </w:pPr>
          </w:p>
          <w:p w14:paraId="4F238BD1">
            <w:pPr>
              <w:spacing w:line="266" w:lineRule="auto"/>
              <w:rPr>
                <w:rFonts w:ascii="Arial"/>
                <w:sz w:val="21"/>
              </w:rPr>
            </w:pPr>
          </w:p>
          <w:p w14:paraId="3D37E11A">
            <w:pPr>
              <w:spacing w:line="267" w:lineRule="auto"/>
              <w:rPr>
                <w:rFonts w:ascii="Arial"/>
                <w:sz w:val="21"/>
              </w:rPr>
            </w:pPr>
          </w:p>
          <w:p w14:paraId="319B067B">
            <w:pPr>
              <w:pStyle w:val="6"/>
              <w:spacing w:before="69"/>
              <w:ind w:left="385"/>
              <w:rPr>
                <w:sz w:val="21"/>
                <w:szCs w:val="21"/>
              </w:rPr>
            </w:pPr>
            <w:r>
              <w:rPr>
                <w:sz w:val="21"/>
                <w:szCs w:val="21"/>
              </w:rPr>
              <w:t>6</w:t>
            </w:r>
          </w:p>
        </w:tc>
        <w:tc>
          <w:tcPr>
            <w:tcW w:w="809" w:type="dxa"/>
            <w:vAlign w:val="top"/>
          </w:tcPr>
          <w:p w14:paraId="059A7DE0">
            <w:pPr>
              <w:spacing w:line="261" w:lineRule="auto"/>
              <w:rPr>
                <w:rFonts w:ascii="Arial"/>
                <w:sz w:val="21"/>
              </w:rPr>
            </w:pPr>
          </w:p>
          <w:p w14:paraId="4EED703D">
            <w:pPr>
              <w:spacing w:line="261" w:lineRule="auto"/>
              <w:rPr>
                <w:rFonts w:ascii="Arial"/>
                <w:sz w:val="21"/>
              </w:rPr>
            </w:pPr>
          </w:p>
          <w:p w14:paraId="750E747A">
            <w:pPr>
              <w:spacing w:line="261" w:lineRule="auto"/>
              <w:rPr>
                <w:rFonts w:ascii="Arial"/>
                <w:sz w:val="21"/>
              </w:rPr>
            </w:pPr>
          </w:p>
          <w:p w14:paraId="70F9496C">
            <w:pPr>
              <w:pStyle w:val="6"/>
              <w:spacing w:before="68" w:line="222" w:lineRule="auto"/>
              <w:ind w:left="187"/>
              <w:rPr>
                <w:sz w:val="21"/>
                <w:szCs w:val="21"/>
              </w:rPr>
            </w:pPr>
            <w:r>
              <w:rPr>
                <w:spacing w:val="2"/>
                <w:sz w:val="21"/>
                <w:szCs w:val="21"/>
              </w:rPr>
              <w:t>10人</w:t>
            </w:r>
          </w:p>
        </w:tc>
        <w:tc>
          <w:tcPr>
            <w:tcW w:w="679" w:type="dxa"/>
            <w:vAlign w:val="top"/>
          </w:tcPr>
          <w:p w14:paraId="68ADA7B5">
            <w:pPr>
              <w:spacing w:line="320" w:lineRule="auto"/>
              <w:rPr>
                <w:rFonts w:ascii="Arial"/>
                <w:sz w:val="21"/>
              </w:rPr>
            </w:pPr>
          </w:p>
          <w:p w14:paraId="5E459FCA">
            <w:pPr>
              <w:spacing w:line="320" w:lineRule="auto"/>
              <w:rPr>
                <w:rFonts w:ascii="Arial"/>
                <w:sz w:val="21"/>
              </w:rPr>
            </w:pPr>
          </w:p>
          <w:p w14:paraId="525B3167">
            <w:pPr>
              <w:pStyle w:val="6"/>
              <w:spacing w:before="68" w:line="219" w:lineRule="auto"/>
              <w:ind w:left="127"/>
              <w:rPr>
                <w:sz w:val="21"/>
                <w:szCs w:val="21"/>
              </w:rPr>
            </w:pPr>
            <w:r>
              <w:rPr>
                <w:spacing w:val="6"/>
                <w:sz w:val="21"/>
                <w:szCs w:val="21"/>
              </w:rPr>
              <w:t>办公</w:t>
            </w:r>
          </w:p>
          <w:p w14:paraId="474A0E47">
            <w:pPr>
              <w:pStyle w:val="6"/>
              <w:spacing w:before="31" w:line="220" w:lineRule="auto"/>
              <w:ind w:left="127"/>
              <w:rPr>
                <w:sz w:val="21"/>
                <w:szCs w:val="21"/>
              </w:rPr>
            </w:pPr>
            <w:r>
              <w:rPr>
                <w:spacing w:val="6"/>
                <w:sz w:val="21"/>
                <w:szCs w:val="21"/>
              </w:rPr>
              <w:t>居住</w:t>
            </w:r>
          </w:p>
        </w:tc>
        <w:tc>
          <w:tcPr>
            <w:tcW w:w="1503" w:type="dxa"/>
            <w:vAlign w:val="top"/>
          </w:tcPr>
          <w:p w14:paraId="6CD38044">
            <w:pPr>
              <w:pStyle w:val="6"/>
              <w:spacing w:before="43" w:line="220" w:lineRule="auto"/>
              <w:ind w:left="63"/>
              <w:rPr>
                <w:sz w:val="21"/>
                <w:szCs w:val="21"/>
              </w:rPr>
            </w:pPr>
            <w:r>
              <w:rPr>
                <w:spacing w:val="-3"/>
                <w:sz w:val="21"/>
                <w:szCs w:val="21"/>
              </w:rPr>
              <w:t>《电磁环境控</w:t>
            </w:r>
          </w:p>
          <w:p w14:paraId="2B9265E9">
            <w:pPr>
              <w:pStyle w:val="6"/>
              <w:spacing w:before="19" w:line="219" w:lineRule="auto"/>
              <w:ind w:left="378"/>
              <w:rPr>
                <w:sz w:val="21"/>
                <w:szCs w:val="21"/>
              </w:rPr>
            </w:pPr>
            <w:r>
              <w:rPr>
                <w:spacing w:val="-4"/>
                <w:sz w:val="21"/>
                <w:szCs w:val="21"/>
              </w:rPr>
              <w:t>制限值》</w:t>
            </w:r>
          </w:p>
          <w:p w14:paraId="12300D2A">
            <w:pPr>
              <w:pStyle w:val="6"/>
              <w:spacing w:before="43" w:line="218" w:lineRule="auto"/>
              <w:ind w:left="118"/>
              <w:rPr>
                <w:sz w:val="21"/>
                <w:szCs w:val="21"/>
              </w:rPr>
            </w:pPr>
            <w:r>
              <w:rPr>
                <w:spacing w:val="-4"/>
                <w:sz w:val="21"/>
                <w:szCs w:val="21"/>
              </w:rPr>
              <w:t>(GB8702-2014</w:t>
            </w:r>
          </w:p>
          <w:p w14:paraId="384FEA2B">
            <w:pPr>
              <w:pStyle w:val="6"/>
              <w:spacing w:line="220" w:lineRule="auto"/>
              <w:ind w:left="59"/>
              <w:rPr>
                <w:sz w:val="21"/>
                <w:szCs w:val="21"/>
              </w:rPr>
            </w:pPr>
            <w:r>
              <w:rPr>
                <w:spacing w:val="2"/>
                <w:sz w:val="21"/>
                <w:szCs w:val="21"/>
              </w:rPr>
              <w:t>)工频电场强度</w:t>
            </w:r>
          </w:p>
          <w:p w14:paraId="73C24A5F">
            <w:pPr>
              <w:pStyle w:val="6"/>
              <w:spacing w:before="32" w:line="222" w:lineRule="auto"/>
              <w:ind w:left="168"/>
              <w:rPr>
                <w:sz w:val="21"/>
                <w:szCs w:val="21"/>
              </w:rPr>
            </w:pPr>
            <w:r>
              <w:rPr>
                <w:spacing w:val="-1"/>
                <w:sz w:val="21"/>
                <w:szCs w:val="21"/>
              </w:rPr>
              <w:t>4000V/m和工</w:t>
            </w:r>
          </w:p>
          <w:p w14:paraId="554C29A8">
            <w:pPr>
              <w:pStyle w:val="6"/>
              <w:spacing w:before="15" w:line="217" w:lineRule="auto"/>
              <w:ind w:left="168" w:right="101" w:hanging="50"/>
              <w:rPr>
                <w:sz w:val="21"/>
                <w:szCs w:val="21"/>
              </w:rPr>
            </w:pPr>
            <w:r>
              <w:rPr>
                <w:spacing w:val="2"/>
                <w:sz w:val="21"/>
                <w:szCs w:val="21"/>
              </w:rPr>
              <w:t>频磁感应强度</w:t>
            </w:r>
            <w:r>
              <w:rPr>
                <w:sz w:val="21"/>
                <w:szCs w:val="21"/>
              </w:rPr>
              <w:t xml:space="preserve"> </w:t>
            </w:r>
            <w:r>
              <w:rPr>
                <w:spacing w:val="4"/>
                <w:sz w:val="21"/>
                <w:szCs w:val="21"/>
              </w:rPr>
              <w:t>限值100μT;</w:t>
            </w:r>
          </w:p>
        </w:tc>
      </w:tr>
    </w:tbl>
    <w:p w14:paraId="2A1AC8E2">
      <w:pPr>
        <w:spacing w:before="154" w:line="219" w:lineRule="auto"/>
        <w:ind w:left="94"/>
        <w:rPr>
          <w:rFonts w:ascii="宋体" w:hAnsi="宋体" w:eastAsia="宋体" w:cs="宋体"/>
          <w:sz w:val="31"/>
          <w:szCs w:val="31"/>
        </w:rPr>
      </w:pPr>
      <w:r>
        <w:rPr>
          <w:rFonts w:ascii="宋体" w:hAnsi="宋体" w:eastAsia="宋体" w:cs="宋体"/>
          <w:spacing w:val="-3"/>
          <w:sz w:val="31"/>
          <w:szCs w:val="31"/>
        </w:rPr>
        <w:t>3</w:t>
      </w:r>
      <w:r>
        <w:rPr>
          <w:rFonts w:ascii="宋体" w:hAnsi="宋体" w:eastAsia="宋体" w:cs="宋体"/>
          <w:b/>
          <w:bCs/>
          <w:spacing w:val="-3"/>
          <w:sz w:val="31"/>
          <w:szCs w:val="31"/>
        </w:rPr>
        <w:t>升压站工程概况</w:t>
      </w:r>
    </w:p>
    <w:p w14:paraId="5CC5D975">
      <w:pPr>
        <w:spacing w:before="221" w:line="219" w:lineRule="auto"/>
        <w:ind w:left="94"/>
        <w:rPr>
          <w:rFonts w:ascii="宋体" w:hAnsi="宋体" w:eastAsia="宋体" w:cs="宋体"/>
          <w:sz w:val="28"/>
          <w:szCs w:val="28"/>
        </w:rPr>
      </w:pPr>
      <w:r>
        <w:rPr>
          <w:rFonts w:ascii="宋体" w:hAnsi="宋体" w:eastAsia="宋体" w:cs="宋体"/>
          <w:spacing w:val="-2"/>
          <w:sz w:val="28"/>
          <w:szCs w:val="28"/>
        </w:rPr>
        <w:t>3.1</w:t>
      </w:r>
      <w:r>
        <w:rPr>
          <w:rFonts w:ascii="宋体" w:hAnsi="宋体" w:eastAsia="宋体" w:cs="宋体"/>
          <w:b/>
          <w:bCs/>
          <w:spacing w:val="-2"/>
          <w:sz w:val="28"/>
          <w:szCs w:val="28"/>
        </w:rPr>
        <w:t>升压站工程内容</w:t>
      </w:r>
    </w:p>
    <w:p w14:paraId="617151B4">
      <w:pPr>
        <w:spacing w:before="207" w:line="355" w:lineRule="auto"/>
        <w:ind w:left="94" w:right="145" w:firstLine="480"/>
        <w:rPr>
          <w:rFonts w:ascii="宋体" w:hAnsi="宋体" w:eastAsia="宋体" w:cs="宋体"/>
          <w:sz w:val="24"/>
          <w:szCs w:val="24"/>
        </w:rPr>
      </w:pPr>
      <w:r>
        <w:rPr>
          <w:rFonts w:ascii="宋体" w:hAnsi="宋体" w:eastAsia="宋体" w:cs="宋体"/>
          <w:spacing w:val="5"/>
          <w:sz w:val="24"/>
          <w:szCs w:val="24"/>
        </w:rPr>
        <w:t>项目拟在光伏区中部设置220</w:t>
      </w:r>
      <w:r>
        <w:rPr>
          <w:rFonts w:ascii="Times New Roman" w:hAnsi="Times New Roman" w:eastAsia="Times New Roman" w:cs="Times New Roman"/>
          <w:sz w:val="24"/>
          <w:szCs w:val="24"/>
        </w:rPr>
        <w:t>kV</w:t>
      </w:r>
      <w:r>
        <w:rPr>
          <w:rFonts w:ascii="Times New Roman" w:hAnsi="Times New Roman" w:eastAsia="Times New Roman" w:cs="Times New Roman"/>
          <w:spacing w:val="-8"/>
          <w:sz w:val="24"/>
          <w:szCs w:val="24"/>
        </w:rPr>
        <w:t xml:space="preserve"> </w:t>
      </w:r>
      <w:r>
        <w:rPr>
          <w:rFonts w:ascii="宋体" w:hAnsi="宋体" w:eastAsia="宋体" w:cs="宋体"/>
          <w:spacing w:val="5"/>
          <w:sz w:val="24"/>
          <w:szCs w:val="24"/>
        </w:rPr>
        <w:t>升压站一座，规划1台主变1×150</w:t>
      </w:r>
      <w:r>
        <w:rPr>
          <w:rFonts w:ascii="Times New Roman" w:hAnsi="Times New Roman" w:eastAsia="Times New Roman" w:cs="Times New Roman"/>
          <w:sz w:val="24"/>
          <w:szCs w:val="24"/>
        </w:rPr>
        <w:t>MVA</w:t>
      </w:r>
      <w:r>
        <w:rPr>
          <w:rFonts w:ascii="Times New Roman" w:hAnsi="Times New Roman" w:eastAsia="Times New Roman" w:cs="Times New Roman"/>
          <w:spacing w:val="-28"/>
          <w:sz w:val="24"/>
          <w:szCs w:val="24"/>
        </w:rPr>
        <w:t xml:space="preserve"> </w:t>
      </w:r>
      <w:r>
        <w:rPr>
          <w:rFonts w:ascii="宋体" w:hAnsi="宋体" w:eastAsia="宋体" w:cs="宋体"/>
          <w:spacing w:val="5"/>
          <w:sz w:val="24"/>
          <w:szCs w:val="24"/>
        </w:rPr>
        <w:t>。</w:t>
      </w:r>
      <w:r>
        <w:rPr>
          <w:rFonts w:ascii="宋体" w:hAnsi="宋体" w:eastAsia="宋体" w:cs="宋体"/>
          <w:sz w:val="24"/>
          <w:szCs w:val="24"/>
        </w:rPr>
        <w:t xml:space="preserve"> </w:t>
      </w:r>
      <w:r>
        <w:rPr>
          <w:rFonts w:ascii="宋体" w:hAnsi="宋体" w:eastAsia="宋体" w:cs="宋体"/>
          <w:spacing w:val="-9"/>
          <w:sz w:val="24"/>
          <w:szCs w:val="24"/>
        </w:rPr>
        <w:t>升压站中心底里坐标为东经：103°22'55.339”</w:t>
      </w:r>
      <w:r>
        <w:rPr>
          <w:rFonts w:ascii="宋体" w:hAnsi="宋体" w:eastAsia="宋体" w:cs="宋体"/>
          <w:spacing w:val="-10"/>
          <w:sz w:val="24"/>
          <w:szCs w:val="24"/>
        </w:rPr>
        <w:t>,北纬25°20'34.295”。全场通过4</w:t>
      </w:r>
      <w:r>
        <w:rPr>
          <w:rFonts w:ascii="宋体" w:hAnsi="宋体" w:eastAsia="宋体" w:cs="宋体"/>
          <w:sz w:val="24"/>
          <w:szCs w:val="24"/>
        </w:rPr>
        <w:t xml:space="preserve"> </w:t>
      </w:r>
      <w:r>
        <w:rPr>
          <w:rFonts w:ascii="宋体" w:hAnsi="宋体" w:eastAsia="宋体" w:cs="宋体"/>
          <w:spacing w:val="9"/>
          <w:sz w:val="24"/>
          <w:szCs w:val="24"/>
        </w:rPr>
        <w:t>回35</w:t>
      </w:r>
      <w:r>
        <w:rPr>
          <w:rFonts w:ascii="Times New Roman" w:hAnsi="Times New Roman" w:eastAsia="Times New Roman" w:cs="Times New Roman"/>
          <w:sz w:val="24"/>
          <w:szCs w:val="24"/>
        </w:rPr>
        <w:t>kV</w:t>
      </w:r>
      <w:r>
        <w:rPr>
          <w:rFonts w:ascii="Times New Roman" w:hAnsi="Times New Roman" w:eastAsia="Times New Roman" w:cs="Times New Roman"/>
          <w:spacing w:val="-7"/>
          <w:sz w:val="24"/>
          <w:szCs w:val="24"/>
        </w:rPr>
        <w:t xml:space="preserve"> </w:t>
      </w:r>
      <w:r>
        <w:rPr>
          <w:rFonts w:ascii="宋体" w:hAnsi="宋体" w:eastAsia="宋体" w:cs="宋体"/>
          <w:spacing w:val="9"/>
          <w:sz w:val="24"/>
          <w:szCs w:val="24"/>
        </w:rPr>
        <w:t>集电线路连接至220</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9"/>
          <w:sz w:val="24"/>
          <w:szCs w:val="24"/>
        </w:rPr>
        <w:t>升压站35</w:t>
      </w:r>
      <w:r>
        <w:rPr>
          <w:rFonts w:ascii="Times New Roman" w:hAnsi="Times New Roman" w:eastAsia="Times New Roman" w:cs="Times New Roman"/>
          <w:sz w:val="24"/>
          <w:szCs w:val="24"/>
        </w:rPr>
        <w:t>kV</w:t>
      </w:r>
      <w:r>
        <w:rPr>
          <w:rFonts w:ascii="Times New Roman" w:hAnsi="Times New Roman" w:eastAsia="Times New Roman" w:cs="Times New Roman"/>
          <w:spacing w:val="9"/>
          <w:sz w:val="24"/>
          <w:szCs w:val="24"/>
        </w:rPr>
        <w:t xml:space="preserve"> </w:t>
      </w:r>
      <w:r>
        <w:rPr>
          <w:rFonts w:ascii="宋体" w:hAnsi="宋体" w:eastAsia="宋体" w:cs="宋体"/>
          <w:spacing w:val="9"/>
          <w:sz w:val="24"/>
          <w:szCs w:val="24"/>
        </w:rPr>
        <w:t>配电装置，升压站35</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9"/>
          <w:sz w:val="24"/>
          <w:szCs w:val="24"/>
        </w:rPr>
        <w:t>主母线汇</w:t>
      </w:r>
      <w:r>
        <w:rPr>
          <w:rFonts w:ascii="宋体" w:hAnsi="宋体" w:eastAsia="宋体" w:cs="宋体"/>
          <w:sz w:val="24"/>
          <w:szCs w:val="24"/>
        </w:rPr>
        <w:t xml:space="preserve"> </w:t>
      </w:r>
      <w:r>
        <w:rPr>
          <w:rFonts w:ascii="宋体" w:hAnsi="宋体" w:eastAsia="宋体" w:cs="宋体"/>
          <w:spacing w:val="11"/>
          <w:sz w:val="24"/>
          <w:szCs w:val="24"/>
        </w:rPr>
        <w:t>聚后由主变压器升压接入220</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11"/>
          <w:sz w:val="24"/>
          <w:szCs w:val="24"/>
        </w:rPr>
        <w:t>配电装置，再通</w:t>
      </w:r>
      <w:r>
        <w:rPr>
          <w:rFonts w:ascii="宋体" w:hAnsi="宋体" w:eastAsia="宋体" w:cs="宋体"/>
          <w:spacing w:val="10"/>
          <w:sz w:val="24"/>
          <w:szCs w:val="24"/>
        </w:rPr>
        <w:t>过220</w:t>
      </w:r>
      <w:r>
        <w:rPr>
          <w:rFonts w:ascii="Times New Roman" w:hAnsi="Times New Roman" w:eastAsia="Times New Roman" w:cs="Times New Roman"/>
          <w:sz w:val="24"/>
          <w:szCs w:val="24"/>
        </w:rPr>
        <w:t>kV</w:t>
      </w:r>
      <w:r>
        <w:rPr>
          <w:rFonts w:ascii="Times New Roman" w:hAnsi="Times New Roman" w:eastAsia="Times New Roman" w:cs="Times New Roman"/>
          <w:spacing w:val="10"/>
          <w:sz w:val="24"/>
          <w:szCs w:val="24"/>
        </w:rPr>
        <w:t xml:space="preserve"> </w:t>
      </w:r>
      <w:r>
        <w:rPr>
          <w:rFonts w:ascii="宋体" w:hAnsi="宋体" w:eastAsia="宋体" w:cs="宋体"/>
          <w:spacing w:val="10"/>
          <w:sz w:val="24"/>
          <w:szCs w:val="24"/>
        </w:rPr>
        <w:t>配电装置出线接入</w:t>
      </w:r>
      <w:r>
        <w:rPr>
          <w:rFonts w:ascii="宋体" w:hAnsi="宋体" w:eastAsia="宋体" w:cs="宋体"/>
          <w:sz w:val="24"/>
          <w:szCs w:val="24"/>
        </w:rPr>
        <w:t xml:space="preserve"> </w:t>
      </w:r>
      <w:r>
        <w:rPr>
          <w:rFonts w:ascii="宋体" w:hAnsi="宋体" w:eastAsia="宋体" w:cs="宋体"/>
          <w:spacing w:val="-2"/>
          <w:sz w:val="24"/>
          <w:szCs w:val="24"/>
        </w:rPr>
        <w:t>500</w:t>
      </w:r>
      <w:r>
        <w:rPr>
          <w:rFonts w:ascii="Times New Roman" w:hAnsi="Times New Roman" w:eastAsia="Times New Roman" w:cs="Times New Roman"/>
          <w:spacing w:val="-2"/>
          <w:sz w:val="24"/>
          <w:szCs w:val="24"/>
        </w:rPr>
        <w:t>kV</w:t>
      </w:r>
      <w:r>
        <w:rPr>
          <w:rFonts w:ascii="Times New Roman" w:hAnsi="Times New Roman" w:eastAsia="Times New Roman" w:cs="Times New Roman"/>
          <w:spacing w:val="-21"/>
          <w:sz w:val="24"/>
          <w:szCs w:val="24"/>
        </w:rPr>
        <w:t xml:space="preserve"> </w:t>
      </w:r>
      <w:r>
        <w:rPr>
          <w:rFonts w:ascii="宋体" w:hAnsi="宋体" w:eastAsia="宋体" w:cs="宋体"/>
          <w:spacing w:val="-2"/>
          <w:sz w:val="24"/>
          <w:szCs w:val="24"/>
        </w:rPr>
        <w:t>铜都变，由于送出线路及接入方案目前尚未确定，故本次评价内容不包括</w:t>
      </w:r>
      <w:r>
        <w:rPr>
          <w:rFonts w:ascii="宋体" w:hAnsi="宋体" w:eastAsia="宋体" w:cs="宋体"/>
          <w:sz w:val="24"/>
          <w:szCs w:val="24"/>
        </w:rPr>
        <w:t xml:space="preserve"> </w:t>
      </w:r>
      <w:r>
        <w:rPr>
          <w:rFonts w:ascii="宋体" w:hAnsi="宋体" w:eastAsia="宋体" w:cs="宋体"/>
          <w:spacing w:val="-4"/>
          <w:sz w:val="24"/>
          <w:szCs w:val="24"/>
        </w:rPr>
        <w:t>送出线路。</w:t>
      </w:r>
    </w:p>
    <w:p w14:paraId="7808C473">
      <w:pPr>
        <w:spacing w:line="355" w:lineRule="auto"/>
        <w:rPr>
          <w:rFonts w:ascii="宋体" w:hAnsi="宋体" w:eastAsia="宋体" w:cs="宋体"/>
          <w:sz w:val="24"/>
          <w:szCs w:val="24"/>
        </w:rPr>
        <w:sectPr>
          <w:footerReference r:id="rId140" w:type="default"/>
          <w:pgSz w:w="11910" w:h="16830"/>
          <w:pgMar w:top="1386" w:right="1695" w:bottom="1035" w:left="1675" w:header="0" w:footer="873" w:gutter="0"/>
          <w:cols w:space="720" w:num="1"/>
        </w:sectPr>
      </w:pPr>
    </w:p>
    <w:p w14:paraId="13D39CF9">
      <w:pPr>
        <w:spacing w:before="52" w:line="211" w:lineRule="auto"/>
        <w:ind w:left="2598"/>
        <w:rPr>
          <w:rFonts w:ascii="宋体" w:hAnsi="宋体" w:eastAsia="宋体" w:cs="宋体"/>
          <w:sz w:val="26"/>
          <w:szCs w:val="26"/>
        </w:rPr>
      </w:pPr>
      <w:r>
        <w:rPr>
          <w:rFonts w:ascii="宋体" w:hAnsi="宋体" w:eastAsia="宋体" w:cs="宋体"/>
          <w:b/>
          <w:bCs/>
          <w:spacing w:val="-4"/>
          <w:sz w:val="26"/>
          <w:szCs w:val="26"/>
        </w:rPr>
        <w:t>表3.1-1项目升压站工程组成</w:t>
      </w:r>
    </w:p>
    <w:tbl>
      <w:tblPr>
        <w:tblStyle w:val="5"/>
        <w:tblW w:w="84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429"/>
        <w:gridCol w:w="419"/>
        <w:gridCol w:w="829"/>
        <w:gridCol w:w="5424"/>
        <w:gridCol w:w="924"/>
      </w:tblGrid>
      <w:tr w14:paraId="6810E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444" w:type="dxa"/>
            <w:textDirection w:val="tbRlV"/>
            <w:vAlign w:val="top"/>
          </w:tcPr>
          <w:p w14:paraId="05163531">
            <w:pPr>
              <w:pStyle w:val="6"/>
              <w:spacing w:before="158" w:line="200" w:lineRule="auto"/>
              <w:rPr>
                <w:sz w:val="21"/>
                <w:szCs w:val="21"/>
              </w:rPr>
            </w:pPr>
            <w:r>
              <w:rPr>
                <w:b/>
                <w:bCs/>
                <w:spacing w:val="-4"/>
                <w:sz w:val="21"/>
                <w:szCs w:val="21"/>
              </w:rPr>
              <w:t>类</w:t>
            </w:r>
            <w:r>
              <w:rPr>
                <w:spacing w:val="8"/>
                <w:sz w:val="21"/>
                <w:szCs w:val="21"/>
              </w:rPr>
              <w:t xml:space="preserve"> </w:t>
            </w:r>
            <w:r>
              <w:rPr>
                <w:b/>
                <w:bCs/>
                <w:spacing w:val="-4"/>
                <w:sz w:val="21"/>
                <w:szCs w:val="21"/>
              </w:rPr>
              <w:t>别</w:t>
            </w:r>
          </w:p>
        </w:tc>
        <w:tc>
          <w:tcPr>
            <w:tcW w:w="1677" w:type="dxa"/>
            <w:gridSpan w:val="3"/>
            <w:vAlign w:val="top"/>
          </w:tcPr>
          <w:p w14:paraId="050A36D9">
            <w:pPr>
              <w:pStyle w:val="6"/>
              <w:spacing w:before="161" w:line="220" w:lineRule="auto"/>
              <w:ind w:left="414"/>
              <w:rPr>
                <w:sz w:val="21"/>
                <w:szCs w:val="21"/>
              </w:rPr>
            </w:pPr>
            <w:r>
              <w:rPr>
                <w:b/>
                <w:bCs/>
                <w:spacing w:val="-5"/>
                <w:sz w:val="21"/>
                <w:szCs w:val="21"/>
              </w:rPr>
              <w:t>工程名称</w:t>
            </w:r>
          </w:p>
        </w:tc>
        <w:tc>
          <w:tcPr>
            <w:tcW w:w="5424" w:type="dxa"/>
            <w:vAlign w:val="top"/>
          </w:tcPr>
          <w:p w14:paraId="41DEBB15">
            <w:pPr>
              <w:pStyle w:val="6"/>
              <w:spacing w:before="160" w:line="219" w:lineRule="auto"/>
              <w:ind w:left="2286"/>
              <w:rPr>
                <w:sz w:val="21"/>
                <w:szCs w:val="21"/>
              </w:rPr>
            </w:pPr>
            <w:r>
              <w:rPr>
                <w:b/>
                <w:bCs/>
                <w:spacing w:val="-5"/>
                <w:sz w:val="21"/>
                <w:szCs w:val="21"/>
              </w:rPr>
              <w:t>建设内容</w:t>
            </w:r>
          </w:p>
        </w:tc>
        <w:tc>
          <w:tcPr>
            <w:tcW w:w="924" w:type="dxa"/>
            <w:vAlign w:val="top"/>
          </w:tcPr>
          <w:p w14:paraId="07AC3852">
            <w:pPr>
              <w:pStyle w:val="6"/>
              <w:spacing w:before="161" w:line="221" w:lineRule="auto"/>
              <w:ind w:left="252"/>
              <w:rPr>
                <w:sz w:val="21"/>
                <w:szCs w:val="21"/>
              </w:rPr>
            </w:pPr>
            <w:r>
              <w:rPr>
                <w:b/>
                <w:bCs/>
                <w:spacing w:val="-5"/>
                <w:sz w:val="21"/>
                <w:szCs w:val="21"/>
              </w:rPr>
              <w:t>备注</w:t>
            </w:r>
          </w:p>
        </w:tc>
      </w:tr>
      <w:tr w14:paraId="52389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8" w:hRule="atLeast"/>
        </w:trPr>
        <w:tc>
          <w:tcPr>
            <w:tcW w:w="444" w:type="dxa"/>
            <w:vMerge w:val="restart"/>
            <w:tcBorders>
              <w:bottom w:val="nil"/>
            </w:tcBorders>
            <w:textDirection w:val="tbRlV"/>
            <w:vAlign w:val="top"/>
          </w:tcPr>
          <w:p w14:paraId="706F95D7">
            <w:pPr>
              <w:pStyle w:val="6"/>
              <w:spacing w:before="126" w:line="203" w:lineRule="auto"/>
              <w:ind w:left="1795"/>
              <w:rPr>
                <w:sz w:val="21"/>
                <w:szCs w:val="21"/>
              </w:rPr>
            </w:pPr>
            <w:r>
              <w:rPr>
                <w:sz w:val="21"/>
                <w:szCs w:val="21"/>
              </w:rPr>
              <w:t>主</w:t>
            </w:r>
            <w:r>
              <w:rPr>
                <w:spacing w:val="-32"/>
                <w:sz w:val="21"/>
                <w:szCs w:val="21"/>
              </w:rPr>
              <w:t xml:space="preserve"> </w:t>
            </w:r>
            <w:r>
              <w:rPr>
                <w:sz w:val="21"/>
                <w:szCs w:val="21"/>
              </w:rPr>
              <w:t>体</w:t>
            </w:r>
            <w:r>
              <w:rPr>
                <w:spacing w:val="-32"/>
                <w:sz w:val="21"/>
                <w:szCs w:val="21"/>
              </w:rPr>
              <w:t xml:space="preserve"> </w:t>
            </w:r>
            <w:r>
              <w:rPr>
                <w:sz w:val="21"/>
                <w:szCs w:val="21"/>
              </w:rPr>
              <w:t>工</w:t>
            </w:r>
            <w:r>
              <w:rPr>
                <w:spacing w:val="-32"/>
                <w:sz w:val="21"/>
                <w:szCs w:val="21"/>
              </w:rPr>
              <w:t xml:space="preserve"> </w:t>
            </w:r>
            <w:r>
              <w:rPr>
                <w:sz w:val="21"/>
                <w:szCs w:val="21"/>
              </w:rPr>
              <w:t>程</w:t>
            </w:r>
          </w:p>
        </w:tc>
        <w:tc>
          <w:tcPr>
            <w:tcW w:w="429" w:type="dxa"/>
            <w:vMerge w:val="restart"/>
            <w:tcBorders>
              <w:bottom w:val="nil"/>
            </w:tcBorders>
            <w:textDirection w:val="tbRlV"/>
            <w:vAlign w:val="top"/>
          </w:tcPr>
          <w:p w14:paraId="0CA41B9D">
            <w:pPr>
              <w:pStyle w:val="6"/>
              <w:spacing w:before="117" w:line="200" w:lineRule="auto"/>
              <w:ind w:left="1926"/>
              <w:rPr>
                <w:sz w:val="21"/>
                <w:szCs w:val="21"/>
              </w:rPr>
            </w:pPr>
            <w:r>
              <w:rPr>
                <w:color w:val="001010"/>
                <w:sz w:val="21"/>
                <w:szCs w:val="21"/>
              </w:rPr>
              <w:t>升</w:t>
            </w:r>
            <w:r>
              <w:rPr>
                <w:color w:val="001010"/>
                <w:spacing w:val="-20"/>
                <w:sz w:val="21"/>
                <w:szCs w:val="21"/>
              </w:rPr>
              <w:t xml:space="preserve"> </w:t>
            </w:r>
            <w:r>
              <w:rPr>
                <w:color w:val="001010"/>
                <w:sz w:val="21"/>
                <w:szCs w:val="21"/>
              </w:rPr>
              <w:t>压</w:t>
            </w:r>
            <w:r>
              <w:rPr>
                <w:color w:val="001010"/>
                <w:spacing w:val="-20"/>
                <w:sz w:val="21"/>
                <w:szCs w:val="21"/>
              </w:rPr>
              <w:t xml:space="preserve"> </w:t>
            </w:r>
            <w:r>
              <w:rPr>
                <w:color w:val="001010"/>
                <w:sz w:val="21"/>
                <w:szCs w:val="21"/>
              </w:rPr>
              <w:t>站</w:t>
            </w:r>
          </w:p>
        </w:tc>
        <w:tc>
          <w:tcPr>
            <w:tcW w:w="1248" w:type="dxa"/>
            <w:gridSpan w:val="2"/>
            <w:vAlign w:val="top"/>
          </w:tcPr>
          <w:p w14:paraId="02281B86">
            <w:pPr>
              <w:spacing w:line="295" w:lineRule="auto"/>
              <w:rPr>
                <w:rFonts w:ascii="Arial"/>
                <w:sz w:val="21"/>
              </w:rPr>
            </w:pPr>
          </w:p>
          <w:p w14:paraId="7ACE83FC">
            <w:pPr>
              <w:spacing w:line="296" w:lineRule="auto"/>
              <w:rPr>
                <w:rFonts w:ascii="Arial"/>
                <w:sz w:val="21"/>
              </w:rPr>
            </w:pPr>
          </w:p>
          <w:p w14:paraId="63F2D694">
            <w:pPr>
              <w:spacing w:line="296" w:lineRule="auto"/>
              <w:rPr>
                <w:rFonts w:ascii="Arial"/>
                <w:sz w:val="21"/>
              </w:rPr>
            </w:pPr>
          </w:p>
          <w:p w14:paraId="30B7A512">
            <w:pPr>
              <w:spacing w:line="296" w:lineRule="auto"/>
              <w:rPr>
                <w:rFonts w:ascii="Arial"/>
                <w:sz w:val="21"/>
              </w:rPr>
            </w:pPr>
          </w:p>
          <w:p w14:paraId="3AF47D2B">
            <w:pPr>
              <w:pStyle w:val="6"/>
              <w:spacing w:before="68" w:line="219" w:lineRule="auto"/>
              <w:ind w:left="301"/>
              <w:rPr>
                <w:sz w:val="21"/>
                <w:szCs w:val="21"/>
              </w:rPr>
            </w:pPr>
            <w:r>
              <w:rPr>
                <w:spacing w:val="6"/>
                <w:sz w:val="21"/>
                <w:szCs w:val="21"/>
              </w:rPr>
              <w:t>生产区</w:t>
            </w:r>
          </w:p>
        </w:tc>
        <w:tc>
          <w:tcPr>
            <w:tcW w:w="5424" w:type="dxa"/>
            <w:vAlign w:val="top"/>
          </w:tcPr>
          <w:p w14:paraId="139EAAC8">
            <w:pPr>
              <w:pStyle w:val="6"/>
              <w:spacing w:before="35" w:line="216" w:lineRule="auto"/>
              <w:ind w:left="123"/>
              <w:rPr>
                <w:sz w:val="21"/>
                <w:szCs w:val="21"/>
              </w:rPr>
            </w:pPr>
            <w:r>
              <w:rPr>
                <w:spacing w:val="3"/>
                <w:sz w:val="21"/>
                <w:szCs w:val="21"/>
              </w:rPr>
              <w:t>建设场地长105m,宽87.5m,占地面积为1.1014</w:t>
            </w:r>
            <w:r>
              <w:rPr>
                <w:sz w:val="21"/>
                <w:szCs w:val="21"/>
              </w:rPr>
              <w:t>hm</w:t>
            </w:r>
            <w:r>
              <w:rPr>
                <w:spacing w:val="3"/>
                <w:sz w:val="21"/>
                <w:szCs w:val="21"/>
              </w:rPr>
              <w:t>²。升</w:t>
            </w:r>
          </w:p>
          <w:p w14:paraId="307C6C27">
            <w:pPr>
              <w:pStyle w:val="6"/>
              <w:spacing w:before="36" w:line="231" w:lineRule="auto"/>
              <w:ind w:left="123" w:right="199" w:firstLine="60"/>
              <w:rPr>
                <w:sz w:val="21"/>
                <w:szCs w:val="21"/>
              </w:rPr>
            </w:pPr>
            <w:r>
              <w:rPr>
                <w:spacing w:val="-1"/>
                <w:sz w:val="21"/>
                <w:szCs w:val="21"/>
              </w:rPr>
              <w:t>压站大门布置在场地东北侧，站内道路为最小4.5m宽混</w:t>
            </w:r>
            <w:r>
              <w:rPr>
                <w:spacing w:val="15"/>
                <w:sz w:val="21"/>
                <w:szCs w:val="21"/>
              </w:rPr>
              <w:t xml:space="preserve"> </w:t>
            </w:r>
            <w:r>
              <w:rPr>
                <w:sz w:val="21"/>
                <w:szCs w:val="21"/>
              </w:rPr>
              <w:t>凝土路面，在站内形成环形通道，道路净高</w:t>
            </w:r>
            <w:r>
              <w:rPr>
                <w:spacing w:val="-1"/>
                <w:sz w:val="21"/>
                <w:szCs w:val="21"/>
              </w:rPr>
              <w:t>不小于4m。</w:t>
            </w:r>
          </w:p>
          <w:p w14:paraId="1E8FB2CA">
            <w:pPr>
              <w:pStyle w:val="6"/>
              <w:spacing w:before="4" w:line="219" w:lineRule="auto"/>
              <w:ind w:left="123"/>
              <w:rPr>
                <w:sz w:val="21"/>
                <w:szCs w:val="21"/>
              </w:rPr>
            </w:pPr>
            <w:r>
              <w:rPr>
                <w:spacing w:val="-1"/>
                <w:sz w:val="21"/>
                <w:szCs w:val="21"/>
              </w:rPr>
              <w:t>升压站35KV进线从南侧及北侧进入，220kV出线由北侧</w:t>
            </w:r>
          </w:p>
          <w:p w14:paraId="57D49F93">
            <w:pPr>
              <w:pStyle w:val="6"/>
              <w:spacing w:before="42" w:line="237" w:lineRule="auto"/>
              <w:ind w:left="23" w:firstLine="59"/>
              <w:rPr>
                <w:sz w:val="21"/>
                <w:szCs w:val="21"/>
              </w:rPr>
            </w:pPr>
            <w:r>
              <w:rPr>
                <w:spacing w:val="-3"/>
                <w:sz w:val="21"/>
                <w:szCs w:val="21"/>
              </w:rPr>
              <w:t>出线，各电气设备之间通过电缆沟连接。变电站东北侧布</w:t>
            </w:r>
            <w:r>
              <w:rPr>
                <w:spacing w:val="6"/>
                <w:sz w:val="21"/>
                <w:szCs w:val="21"/>
              </w:rPr>
              <w:t xml:space="preserve">  </w:t>
            </w:r>
            <w:r>
              <w:rPr>
                <w:spacing w:val="4"/>
                <w:sz w:val="21"/>
                <w:szCs w:val="21"/>
              </w:rPr>
              <w:t>置综合楼及附属用房，东南角布置面积16</w:t>
            </w:r>
            <w:r>
              <w:rPr>
                <w:spacing w:val="3"/>
                <w:sz w:val="21"/>
                <w:szCs w:val="21"/>
              </w:rPr>
              <w:t>2m²的仓库和面</w:t>
            </w:r>
            <w:r>
              <w:rPr>
                <w:sz w:val="21"/>
                <w:szCs w:val="21"/>
              </w:rPr>
              <w:t xml:space="preserve">  </w:t>
            </w:r>
            <w:r>
              <w:rPr>
                <w:spacing w:val="5"/>
                <w:sz w:val="21"/>
                <w:szCs w:val="21"/>
              </w:rPr>
              <w:t>积69.3m²的危废品库，中部布置35</w:t>
            </w:r>
            <w:r>
              <w:rPr>
                <w:sz w:val="21"/>
                <w:szCs w:val="21"/>
              </w:rPr>
              <w:t>KV</w:t>
            </w:r>
            <w:r>
              <w:rPr>
                <w:spacing w:val="5"/>
                <w:sz w:val="21"/>
                <w:szCs w:val="21"/>
              </w:rPr>
              <w:t>预制舱、主变压器、</w:t>
            </w:r>
            <w:r>
              <w:rPr>
                <w:sz w:val="21"/>
                <w:szCs w:val="21"/>
              </w:rPr>
              <w:t xml:space="preserve"> GIS</w:t>
            </w:r>
            <w:r>
              <w:rPr>
                <w:spacing w:val="1"/>
                <w:sz w:val="21"/>
                <w:szCs w:val="21"/>
              </w:rPr>
              <w:t>、接地变及事故油池，总建筑面积为1814.24m²。西北</w:t>
            </w:r>
          </w:p>
          <w:p w14:paraId="7521D0A4">
            <w:pPr>
              <w:pStyle w:val="6"/>
              <w:spacing w:before="2" w:line="219" w:lineRule="auto"/>
              <w:ind w:left="123" w:right="170" w:firstLine="60"/>
              <w:rPr>
                <w:sz w:val="21"/>
                <w:szCs w:val="21"/>
              </w:rPr>
            </w:pPr>
            <w:r>
              <w:rPr>
                <w:sz w:val="21"/>
                <w:szCs w:val="21"/>
              </w:rPr>
              <w:t>侧布置消防水池及水泵房。升压站四周设2.5m高砖砌围</w:t>
            </w:r>
            <w:r>
              <w:rPr>
                <w:spacing w:val="18"/>
                <w:sz w:val="21"/>
                <w:szCs w:val="21"/>
              </w:rPr>
              <w:t xml:space="preserve"> </w:t>
            </w:r>
            <w:r>
              <w:rPr>
                <w:spacing w:val="8"/>
                <w:sz w:val="21"/>
                <w:szCs w:val="21"/>
              </w:rPr>
              <w:t>墙。绿化面积500m²。</w:t>
            </w:r>
          </w:p>
        </w:tc>
        <w:tc>
          <w:tcPr>
            <w:tcW w:w="924" w:type="dxa"/>
            <w:vAlign w:val="top"/>
          </w:tcPr>
          <w:p w14:paraId="40F2FB9A">
            <w:pPr>
              <w:spacing w:line="295" w:lineRule="auto"/>
              <w:rPr>
                <w:rFonts w:ascii="Arial"/>
                <w:sz w:val="21"/>
              </w:rPr>
            </w:pPr>
          </w:p>
          <w:p w14:paraId="10B48E18">
            <w:pPr>
              <w:spacing w:line="296" w:lineRule="auto"/>
              <w:rPr>
                <w:rFonts w:ascii="Arial"/>
                <w:sz w:val="21"/>
              </w:rPr>
            </w:pPr>
          </w:p>
          <w:p w14:paraId="1FFB9A03">
            <w:pPr>
              <w:spacing w:line="296" w:lineRule="auto"/>
              <w:rPr>
                <w:rFonts w:ascii="Arial"/>
                <w:sz w:val="21"/>
              </w:rPr>
            </w:pPr>
          </w:p>
          <w:p w14:paraId="07ECB1AF">
            <w:pPr>
              <w:spacing w:line="296" w:lineRule="auto"/>
              <w:rPr>
                <w:rFonts w:ascii="Arial"/>
                <w:sz w:val="21"/>
              </w:rPr>
            </w:pPr>
          </w:p>
          <w:p w14:paraId="385B0C7E">
            <w:pPr>
              <w:pStyle w:val="6"/>
              <w:spacing w:before="69" w:line="220" w:lineRule="auto"/>
              <w:ind w:left="249"/>
              <w:rPr>
                <w:sz w:val="21"/>
                <w:szCs w:val="21"/>
              </w:rPr>
            </w:pPr>
            <w:r>
              <w:rPr>
                <w:spacing w:val="-3"/>
                <w:sz w:val="21"/>
                <w:szCs w:val="21"/>
              </w:rPr>
              <w:t>新建</w:t>
            </w:r>
          </w:p>
        </w:tc>
      </w:tr>
      <w:tr w14:paraId="18F43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44" w:type="dxa"/>
            <w:vMerge w:val="continue"/>
            <w:tcBorders>
              <w:top w:val="nil"/>
              <w:bottom w:val="nil"/>
            </w:tcBorders>
            <w:textDirection w:val="tbRlV"/>
            <w:vAlign w:val="top"/>
          </w:tcPr>
          <w:p w14:paraId="30901F0C">
            <w:pPr>
              <w:rPr>
                <w:rFonts w:ascii="Arial"/>
                <w:sz w:val="21"/>
              </w:rPr>
            </w:pPr>
          </w:p>
        </w:tc>
        <w:tc>
          <w:tcPr>
            <w:tcW w:w="429" w:type="dxa"/>
            <w:vMerge w:val="continue"/>
            <w:tcBorders>
              <w:top w:val="nil"/>
              <w:bottom w:val="nil"/>
            </w:tcBorders>
            <w:textDirection w:val="tbRlV"/>
            <w:vAlign w:val="top"/>
          </w:tcPr>
          <w:p w14:paraId="344E6451">
            <w:pPr>
              <w:rPr>
                <w:rFonts w:ascii="Arial"/>
                <w:sz w:val="21"/>
              </w:rPr>
            </w:pPr>
          </w:p>
        </w:tc>
        <w:tc>
          <w:tcPr>
            <w:tcW w:w="419" w:type="dxa"/>
            <w:vMerge w:val="restart"/>
            <w:tcBorders>
              <w:bottom w:val="nil"/>
            </w:tcBorders>
            <w:textDirection w:val="tbRlV"/>
            <w:vAlign w:val="top"/>
          </w:tcPr>
          <w:p w14:paraId="091136A2">
            <w:pPr>
              <w:pStyle w:val="6"/>
              <w:spacing w:before="125" w:line="200" w:lineRule="auto"/>
              <w:ind w:left="411"/>
              <w:rPr>
                <w:sz w:val="21"/>
                <w:szCs w:val="21"/>
              </w:rPr>
            </w:pPr>
            <w:r>
              <w:rPr>
                <w:color w:val="203030"/>
                <w:sz w:val="21"/>
                <w:szCs w:val="21"/>
              </w:rPr>
              <w:t>生</w:t>
            </w:r>
            <w:r>
              <w:rPr>
                <w:color w:val="203030"/>
                <w:spacing w:val="-20"/>
                <w:sz w:val="21"/>
                <w:szCs w:val="21"/>
              </w:rPr>
              <w:t xml:space="preserve"> </w:t>
            </w:r>
            <w:r>
              <w:rPr>
                <w:color w:val="203030"/>
                <w:sz w:val="21"/>
                <w:szCs w:val="21"/>
              </w:rPr>
              <w:t>活</w:t>
            </w:r>
            <w:r>
              <w:rPr>
                <w:color w:val="203030"/>
                <w:spacing w:val="-20"/>
                <w:sz w:val="21"/>
                <w:szCs w:val="21"/>
              </w:rPr>
              <w:t xml:space="preserve"> </w:t>
            </w:r>
            <w:r>
              <w:rPr>
                <w:color w:val="203030"/>
                <w:sz w:val="21"/>
                <w:szCs w:val="21"/>
              </w:rPr>
              <w:t>区</w:t>
            </w:r>
          </w:p>
        </w:tc>
        <w:tc>
          <w:tcPr>
            <w:tcW w:w="829" w:type="dxa"/>
            <w:vAlign w:val="top"/>
          </w:tcPr>
          <w:p w14:paraId="2D5FCABF">
            <w:pPr>
              <w:pStyle w:val="6"/>
              <w:spacing w:before="161" w:line="256" w:lineRule="auto"/>
              <w:ind w:left="302" w:right="215" w:hanging="110"/>
              <w:rPr>
                <w:sz w:val="21"/>
                <w:szCs w:val="21"/>
              </w:rPr>
            </w:pPr>
            <w:r>
              <w:rPr>
                <w:spacing w:val="-5"/>
                <w:sz w:val="21"/>
                <w:szCs w:val="21"/>
              </w:rPr>
              <w:t>生活</w:t>
            </w:r>
            <w:r>
              <w:rPr>
                <w:sz w:val="21"/>
                <w:szCs w:val="21"/>
              </w:rPr>
              <w:t xml:space="preserve"> 楼</w:t>
            </w:r>
          </w:p>
        </w:tc>
        <w:tc>
          <w:tcPr>
            <w:tcW w:w="5424" w:type="dxa"/>
            <w:vAlign w:val="top"/>
          </w:tcPr>
          <w:p w14:paraId="454133AB">
            <w:pPr>
              <w:pStyle w:val="6"/>
              <w:spacing w:before="51" w:line="219" w:lineRule="auto"/>
              <w:ind w:left="123" w:right="35" w:firstLine="60"/>
              <w:jc w:val="both"/>
              <w:rPr>
                <w:sz w:val="21"/>
                <w:szCs w:val="21"/>
              </w:rPr>
            </w:pPr>
            <w:r>
              <w:rPr>
                <w:spacing w:val="-1"/>
                <w:sz w:val="21"/>
                <w:szCs w:val="21"/>
              </w:rPr>
              <w:t>升压站站址西南侧设置生活楼一栋，为二层框架结构建</w:t>
            </w:r>
            <w:r>
              <w:rPr>
                <w:spacing w:val="6"/>
                <w:sz w:val="21"/>
                <w:szCs w:val="21"/>
              </w:rPr>
              <w:t xml:space="preserve">  </w:t>
            </w:r>
            <w:r>
              <w:rPr>
                <w:spacing w:val="7"/>
                <w:sz w:val="21"/>
                <w:szCs w:val="21"/>
              </w:rPr>
              <w:t>筑，建筑面积为836.5m²,设置宿舍、办公室、活动室、</w:t>
            </w:r>
            <w:r>
              <w:rPr>
                <w:spacing w:val="17"/>
                <w:sz w:val="21"/>
                <w:szCs w:val="21"/>
              </w:rPr>
              <w:t xml:space="preserve"> </w:t>
            </w:r>
            <w:r>
              <w:rPr>
                <w:spacing w:val="-1"/>
                <w:sz w:val="21"/>
                <w:szCs w:val="21"/>
              </w:rPr>
              <w:t>厨房、餐厅、卫生间等。</w:t>
            </w:r>
          </w:p>
        </w:tc>
        <w:tc>
          <w:tcPr>
            <w:tcW w:w="924" w:type="dxa"/>
            <w:vAlign w:val="top"/>
          </w:tcPr>
          <w:p w14:paraId="312E5630">
            <w:pPr>
              <w:pStyle w:val="6"/>
              <w:spacing w:before="301" w:line="220" w:lineRule="auto"/>
              <w:ind w:left="249"/>
              <w:rPr>
                <w:sz w:val="21"/>
                <w:szCs w:val="21"/>
              </w:rPr>
            </w:pPr>
            <w:r>
              <w:rPr>
                <w:spacing w:val="-3"/>
                <w:sz w:val="21"/>
                <w:szCs w:val="21"/>
              </w:rPr>
              <w:t>新建</w:t>
            </w:r>
          </w:p>
        </w:tc>
      </w:tr>
      <w:tr w14:paraId="7C7FE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44" w:type="dxa"/>
            <w:vMerge w:val="continue"/>
            <w:tcBorders>
              <w:top w:val="nil"/>
              <w:bottom w:val="nil"/>
            </w:tcBorders>
            <w:textDirection w:val="tbRlV"/>
            <w:vAlign w:val="top"/>
          </w:tcPr>
          <w:p w14:paraId="4141EE45">
            <w:pPr>
              <w:rPr>
                <w:rFonts w:ascii="Arial"/>
                <w:sz w:val="21"/>
              </w:rPr>
            </w:pPr>
          </w:p>
        </w:tc>
        <w:tc>
          <w:tcPr>
            <w:tcW w:w="429" w:type="dxa"/>
            <w:vMerge w:val="continue"/>
            <w:tcBorders>
              <w:top w:val="nil"/>
              <w:bottom w:val="nil"/>
            </w:tcBorders>
            <w:textDirection w:val="tbRlV"/>
            <w:vAlign w:val="top"/>
          </w:tcPr>
          <w:p w14:paraId="2EB8B7C4">
            <w:pPr>
              <w:rPr>
                <w:rFonts w:ascii="Arial"/>
                <w:sz w:val="21"/>
              </w:rPr>
            </w:pPr>
          </w:p>
        </w:tc>
        <w:tc>
          <w:tcPr>
            <w:tcW w:w="419" w:type="dxa"/>
            <w:vMerge w:val="continue"/>
            <w:tcBorders>
              <w:top w:val="nil"/>
            </w:tcBorders>
            <w:textDirection w:val="tbRlV"/>
            <w:vAlign w:val="top"/>
          </w:tcPr>
          <w:p w14:paraId="0604B736">
            <w:pPr>
              <w:rPr>
                <w:rFonts w:ascii="Arial"/>
                <w:sz w:val="21"/>
              </w:rPr>
            </w:pPr>
          </w:p>
        </w:tc>
        <w:tc>
          <w:tcPr>
            <w:tcW w:w="829" w:type="dxa"/>
            <w:vAlign w:val="top"/>
          </w:tcPr>
          <w:p w14:paraId="20398E6D">
            <w:pPr>
              <w:pStyle w:val="6"/>
              <w:spacing w:before="172" w:line="220" w:lineRule="auto"/>
              <w:ind w:left="192"/>
              <w:rPr>
                <w:sz w:val="21"/>
                <w:szCs w:val="21"/>
              </w:rPr>
            </w:pPr>
            <w:r>
              <w:rPr>
                <w:spacing w:val="6"/>
                <w:sz w:val="21"/>
                <w:szCs w:val="21"/>
              </w:rPr>
              <w:t>辅助</w:t>
            </w:r>
          </w:p>
          <w:p w14:paraId="54F91869">
            <w:pPr>
              <w:pStyle w:val="6"/>
              <w:spacing w:before="29" w:line="220" w:lineRule="auto"/>
              <w:ind w:left="192"/>
              <w:rPr>
                <w:sz w:val="21"/>
                <w:szCs w:val="21"/>
              </w:rPr>
            </w:pPr>
            <w:r>
              <w:rPr>
                <w:spacing w:val="7"/>
                <w:sz w:val="21"/>
                <w:szCs w:val="21"/>
              </w:rPr>
              <w:t>用房</w:t>
            </w:r>
          </w:p>
        </w:tc>
        <w:tc>
          <w:tcPr>
            <w:tcW w:w="5424" w:type="dxa"/>
            <w:vAlign w:val="top"/>
          </w:tcPr>
          <w:p w14:paraId="63BBEE13">
            <w:pPr>
              <w:pStyle w:val="6"/>
              <w:spacing w:before="51" w:line="219" w:lineRule="auto"/>
              <w:ind w:left="113" w:right="34" w:firstLine="20"/>
              <w:jc w:val="both"/>
              <w:rPr>
                <w:sz w:val="21"/>
                <w:szCs w:val="21"/>
              </w:rPr>
            </w:pPr>
            <w:r>
              <w:rPr>
                <w:sz w:val="21"/>
                <w:szCs w:val="21"/>
              </w:rPr>
              <w:t>升压站站址西南侧设置一栋辅助用房，上一</w:t>
            </w:r>
            <w:r>
              <w:rPr>
                <w:spacing w:val="-1"/>
                <w:sz w:val="21"/>
                <w:szCs w:val="21"/>
              </w:rPr>
              <w:t>层地下一层，</w:t>
            </w:r>
            <w:r>
              <w:rPr>
                <w:sz w:val="21"/>
                <w:szCs w:val="21"/>
              </w:rPr>
              <w:t xml:space="preserve"> </w:t>
            </w:r>
            <w:r>
              <w:rPr>
                <w:spacing w:val="4"/>
                <w:sz w:val="21"/>
                <w:szCs w:val="21"/>
              </w:rPr>
              <w:t>建筑面积为262.8m²,设有备品备件间、消防水池和水泵</w:t>
            </w:r>
            <w:r>
              <w:rPr>
                <w:spacing w:val="8"/>
                <w:sz w:val="21"/>
                <w:szCs w:val="21"/>
              </w:rPr>
              <w:t xml:space="preserve">  </w:t>
            </w:r>
            <w:r>
              <w:rPr>
                <w:sz w:val="21"/>
                <w:szCs w:val="21"/>
              </w:rPr>
              <w:t>房</w:t>
            </w:r>
          </w:p>
        </w:tc>
        <w:tc>
          <w:tcPr>
            <w:tcW w:w="924" w:type="dxa"/>
            <w:vAlign w:val="top"/>
          </w:tcPr>
          <w:p w14:paraId="23E04954">
            <w:pPr>
              <w:pStyle w:val="6"/>
              <w:spacing w:before="302" w:line="220" w:lineRule="auto"/>
              <w:ind w:left="249"/>
              <w:rPr>
                <w:sz w:val="21"/>
                <w:szCs w:val="21"/>
              </w:rPr>
            </w:pPr>
            <w:r>
              <w:rPr>
                <w:spacing w:val="-3"/>
                <w:sz w:val="21"/>
                <w:szCs w:val="21"/>
              </w:rPr>
              <w:t>新建</w:t>
            </w:r>
          </w:p>
        </w:tc>
      </w:tr>
      <w:tr w14:paraId="3EAB4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44" w:type="dxa"/>
            <w:vMerge w:val="continue"/>
            <w:tcBorders>
              <w:top w:val="nil"/>
            </w:tcBorders>
            <w:textDirection w:val="tbRlV"/>
            <w:vAlign w:val="top"/>
          </w:tcPr>
          <w:p w14:paraId="744A4836">
            <w:pPr>
              <w:rPr>
                <w:rFonts w:ascii="Arial"/>
                <w:sz w:val="21"/>
              </w:rPr>
            </w:pPr>
          </w:p>
        </w:tc>
        <w:tc>
          <w:tcPr>
            <w:tcW w:w="429" w:type="dxa"/>
            <w:vMerge w:val="continue"/>
            <w:tcBorders>
              <w:top w:val="nil"/>
            </w:tcBorders>
            <w:textDirection w:val="tbRlV"/>
            <w:vAlign w:val="top"/>
          </w:tcPr>
          <w:p w14:paraId="3A39A4AD">
            <w:pPr>
              <w:rPr>
                <w:rFonts w:ascii="Arial"/>
                <w:sz w:val="21"/>
              </w:rPr>
            </w:pPr>
          </w:p>
        </w:tc>
        <w:tc>
          <w:tcPr>
            <w:tcW w:w="1248" w:type="dxa"/>
            <w:gridSpan w:val="2"/>
            <w:vAlign w:val="top"/>
          </w:tcPr>
          <w:p w14:paraId="3BA200DE">
            <w:pPr>
              <w:pStyle w:val="6"/>
              <w:spacing w:before="43" w:line="208" w:lineRule="auto"/>
              <w:ind w:left="401"/>
              <w:rPr>
                <w:sz w:val="21"/>
                <w:szCs w:val="21"/>
              </w:rPr>
            </w:pPr>
            <w:r>
              <w:rPr>
                <w:spacing w:val="4"/>
                <w:sz w:val="21"/>
                <w:szCs w:val="21"/>
              </w:rPr>
              <w:t>围墙</w:t>
            </w:r>
          </w:p>
        </w:tc>
        <w:tc>
          <w:tcPr>
            <w:tcW w:w="5424" w:type="dxa"/>
            <w:vAlign w:val="top"/>
          </w:tcPr>
          <w:p w14:paraId="1891E656">
            <w:pPr>
              <w:pStyle w:val="6"/>
              <w:spacing w:before="42" w:line="209" w:lineRule="auto"/>
              <w:ind w:left="443"/>
              <w:rPr>
                <w:sz w:val="21"/>
                <w:szCs w:val="21"/>
              </w:rPr>
            </w:pPr>
            <w:r>
              <w:rPr>
                <w:spacing w:val="-1"/>
                <w:sz w:val="21"/>
                <w:szCs w:val="21"/>
              </w:rPr>
              <w:t>升压站设置围墙，采用2.5米高实体围墙，长332m</w:t>
            </w:r>
          </w:p>
        </w:tc>
        <w:tc>
          <w:tcPr>
            <w:tcW w:w="924" w:type="dxa"/>
            <w:vAlign w:val="top"/>
          </w:tcPr>
          <w:p w14:paraId="0D6B8560">
            <w:pPr>
              <w:pStyle w:val="6"/>
              <w:spacing w:before="43" w:line="208" w:lineRule="auto"/>
              <w:ind w:left="249"/>
              <w:rPr>
                <w:sz w:val="21"/>
                <w:szCs w:val="21"/>
              </w:rPr>
            </w:pPr>
            <w:r>
              <w:rPr>
                <w:spacing w:val="-3"/>
                <w:sz w:val="21"/>
                <w:szCs w:val="21"/>
              </w:rPr>
              <w:t>新建</w:t>
            </w:r>
          </w:p>
        </w:tc>
      </w:tr>
      <w:tr w14:paraId="0B072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44" w:type="dxa"/>
            <w:vMerge w:val="restart"/>
            <w:tcBorders>
              <w:bottom w:val="nil"/>
            </w:tcBorders>
            <w:textDirection w:val="tbRlV"/>
            <w:vAlign w:val="top"/>
          </w:tcPr>
          <w:p w14:paraId="7EC43D05">
            <w:pPr>
              <w:pStyle w:val="6"/>
              <w:spacing w:before="126" w:line="203" w:lineRule="auto"/>
              <w:ind w:left="1211"/>
              <w:rPr>
                <w:sz w:val="21"/>
                <w:szCs w:val="21"/>
              </w:rPr>
            </w:pPr>
            <w:r>
              <w:rPr>
                <w:color w:val="101010"/>
                <w:sz w:val="21"/>
                <w:szCs w:val="21"/>
              </w:rPr>
              <w:t>公</w:t>
            </w:r>
            <w:r>
              <w:rPr>
                <w:color w:val="101010"/>
                <w:spacing w:val="-26"/>
                <w:sz w:val="21"/>
                <w:szCs w:val="21"/>
              </w:rPr>
              <w:t xml:space="preserve"> </w:t>
            </w:r>
            <w:r>
              <w:rPr>
                <w:color w:val="101010"/>
                <w:sz w:val="21"/>
                <w:szCs w:val="21"/>
              </w:rPr>
              <w:t>用</w:t>
            </w:r>
            <w:r>
              <w:rPr>
                <w:color w:val="101010"/>
                <w:spacing w:val="-26"/>
                <w:sz w:val="21"/>
                <w:szCs w:val="21"/>
              </w:rPr>
              <w:t xml:space="preserve"> </w:t>
            </w:r>
            <w:r>
              <w:rPr>
                <w:color w:val="101010"/>
                <w:sz w:val="21"/>
                <w:szCs w:val="21"/>
              </w:rPr>
              <w:t>工</w:t>
            </w:r>
            <w:r>
              <w:rPr>
                <w:color w:val="101010"/>
                <w:spacing w:val="-26"/>
                <w:sz w:val="21"/>
                <w:szCs w:val="21"/>
              </w:rPr>
              <w:t xml:space="preserve"> </w:t>
            </w:r>
            <w:r>
              <w:rPr>
                <w:color w:val="101010"/>
                <w:sz w:val="21"/>
                <w:szCs w:val="21"/>
              </w:rPr>
              <w:t>程</w:t>
            </w:r>
          </w:p>
        </w:tc>
        <w:tc>
          <w:tcPr>
            <w:tcW w:w="1677" w:type="dxa"/>
            <w:gridSpan w:val="3"/>
            <w:vAlign w:val="top"/>
          </w:tcPr>
          <w:p w14:paraId="6E2046EA">
            <w:pPr>
              <w:pStyle w:val="6"/>
              <w:spacing w:before="161" w:line="219" w:lineRule="auto"/>
              <w:ind w:left="620"/>
              <w:rPr>
                <w:sz w:val="21"/>
                <w:szCs w:val="21"/>
              </w:rPr>
            </w:pPr>
            <w:r>
              <w:rPr>
                <w:spacing w:val="6"/>
                <w:sz w:val="21"/>
                <w:szCs w:val="21"/>
              </w:rPr>
              <w:t>供电</w:t>
            </w:r>
          </w:p>
        </w:tc>
        <w:tc>
          <w:tcPr>
            <w:tcW w:w="5424" w:type="dxa"/>
            <w:vAlign w:val="top"/>
          </w:tcPr>
          <w:p w14:paraId="20F9ABF1">
            <w:pPr>
              <w:pStyle w:val="6"/>
              <w:spacing w:before="42" w:line="210" w:lineRule="auto"/>
              <w:ind w:left="123" w:right="197" w:firstLine="60"/>
              <w:rPr>
                <w:sz w:val="21"/>
                <w:szCs w:val="21"/>
              </w:rPr>
            </w:pPr>
            <w:r>
              <w:rPr>
                <w:spacing w:val="-1"/>
                <w:sz w:val="21"/>
                <w:szCs w:val="21"/>
              </w:rPr>
              <w:t>施工期用电从附近10kV农网引接。运营期使用光伏电站</w:t>
            </w:r>
            <w:r>
              <w:rPr>
                <w:spacing w:val="17"/>
                <w:sz w:val="21"/>
                <w:szCs w:val="21"/>
              </w:rPr>
              <w:t xml:space="preserve"> </w:t>
            </w:r>
            <w:r>
              <w:rPr>
                <w:spacing w:val="-1"/>
                <w:sz w:val="21"/>
                <w:szCs w:val="21"/>
              </w:rPr>
              <w:t>供电系统自己供给。</w:t>
            </w:r>
          </w:p>
        </w:tc>
        <w:tc>
          <w:tcPr>
            <w:tcW w:w="924" w:type="dxa"/>
            <w:vAlign w:val="top"/>
          </w:tcPr>
          <w:p w14:paraId="404708AF">
            <w:pPr>
              <w:pStyle w:val="6"/>
              <w:spacing w:before="282" w:line="143" w:lineRule="exact"/>
              <w:ind w:left="350"/>
              <w:rPr>
                <w:sz w:val="21"/>
                <w:szCs w:val="21"/>
              </w:rPr>
            </w:pPr>
            <w:r>
              <w:rPr>
                <w:spacing w:val="-2"/>
                <w:position w:val="-3"/>
                <w:sz w:val="21"/>
                <w:szCs w:val="21"/>
              </w:rPr>
              <w:t>--</w:t>
            </w:r>
          </w:p>
        </w:tc>
      </w:tr>
      <w:tr w14:paraId="4E38C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44" w:type="dxa"/>
            <w:vMerge w:val="continue"/>
            <w:tcBorders>
              <w:top w:val="nil"/>
              <w:bottom w:val="nil"/>
            </w:tcBorders>
            <w:textDirection w:val="tbRlV"/>
            <w:vAlign w:val="top"/>
          </w:tcPr>
          <w:p w14:paraId="3F200AAD">
            <w:pPr>
              <w:rPr>
                <w:rFonts w:ascii="Arial"/>
                <w:sz w:val="21"/>
              </w:rPr>
            </w:pPr>
          </w:p>
        </w:tc>
        <w:tc>
          <w:tcPr>
            <w:tcW w:w="1677" w:type="dxa"/>
            <w:gridSpan w:val="3"/>
            <w:vAlign w:val="top"/>
          </w:tcPr>
          <w:p w14:paraId="19864A04">
            <w:pPr>
              <w:pStyle w:val="6"/>
              <w:spacing w:before="180" w:line="227" w:lineRule="auto"/>
              <w:ind w:left="620"/>
              <w:rPr>
                <w:sz w:val="21"/>
                <w:szCs w:val="21"/>
              </w:rPr>
            </w:pPr>
            <w:r>
              <w:rPr>
                <w:spacing w:val="-3"/>
                <w:sz w:val="21"/>
                <w:szCs w:val="21"/>
              </w:rPr>
              <w:t>通讯</w:t>
            </w:r>
          </w:p>
        </w:tc>
        <w:tc>
          <w:tcPr>
            <w:tcW w:w="5424" w:type="dxa"/>
            <w:vAlign w:val="top"/>
          </w:tcPr>
          <w:p w14:paraId="4ED4DE4B">
            <w:pPr>
              <w:pStyle w:val="6"/>
              <w:spacing w:before="40" w:line="215" w:lineRule="auto"/>
              <w:ind w:left="123" w:right="54" w:hanging="39"/>
              <w:rPr>
                <w:sz w:val="21"/>
                <w:szCs w:val="21"/>
              </w:rPr>
            </w:pPr>
            <w:r>
              <w:rPr>
                <w:spacing w:val="1"/>
                <w:sz w:val="21"/>
                <w:szCs w:val="21"/>
              </w:rPr>
              <w:t>施工现场有中国移动、联通信号覆盖，对外通信主要采用</w:t>
            </w:r>
            <w:r>
              <w:rPr>
                <w:sz w:val="21"/>
                <w:szCs w:val="21"/>
              </w:rPr>
              <w:t xml:space="preserve"> </w:t>
            </w:r>
            <w:r>
              <w:rPr>
                <w:spacing w:val="-1"/>
                <w:sz w:val="21"/>
                <w:szCs w:val="21"/>
              </w:rPr>
              <w:t>移动通讯方式。必要时也可采用大功率对讲机</w:t>
            </w:r>
          </w:p>
        </w:tc>
        <w:tc>
          <w:tcPr>
            <w:tcW w:w="924" w:type="dxa"/>
            <w:vAlign w:val="top"/>
          </w:tcPr>
          <w:p w14:paraId="624A26F4">
            <w:pPr>
              <w:spacing w:line="292" w:lineRule="auto"/>
              <w:rPr>
                <w:rFonts w:ascii="Arial"/>
                <w:sz w:val="21"/>
              </w:rPr>
            </w:pPr>
          </w:p>
          <w:p w14:paraId="1EB421B3">
            <w:pPr>
              <w:pStyle w:val="6"/>
              <w:spacing w:before="68" w:line="143" w:lineRule="exact"/>
              <w:ind w:left="350"/>
              <w:rPr>
                <w:sz w:val="21"/>
                <w:szCs w:val="21"/>
              </w:rPr>
            </w:pPr>
            <w:r>
              <w:rPr>
                <w:spacing w:val="-2"/>
                <w:position w:val="-3"/>
                <w:sz w:val="21"/>
                <w:szCs w:val="21"/>
              </w:rPr>
              <w:t>--</w:t>
            </w:r>
          </w:p>
        </w:tc>
      </w:tr>
      <w:tr w14:paraId="5B78A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444" w:type="dxa"/>
            <w:vMerge w:val="continue"/>
            <w:tcBorders>
              <w:top w:val="nil"/>
              <w:bottom w:val="nil"/>
            </w:tcBorders>
            <w:textDirection w:val="tbRlV"/>
            <w:vAlign w:val="top"/>
          </w:tcPr>
          <w:p w14:paraId="118F00CC">
            <w:pPr>
              <w:rPr>
                <w:rFonts w:ascii="Arial"/>
                <w:sz w:val="21"/>
              </w:rPr>
            </w:pPr>
          </w:p>
        </w:tc>
        <w:tc>
          <w:tcPr>
            <w:tcW w:w="848" w:type="dxa"/>
            <w:gridSpan w:val="2"/>
            <w:vMerge w:val="restart"/>
            <w:tcBorders>
              <w:bottom w:val="nil"/>
            </w:tcBorders>
            <w:vAlign w:val="top"/>
          </w:tcPr>
          <w:p w14:paraId="6BE55638">
            <w:pPr>
              <w:spacing w:line="259" w:lineRule="auto"/>
              <w:rPr>
                <w:rFonts w:ascii="Arial"/>
                <w:sz w:val="21"/>
              </w:rPr>
            </w:pPr>
          </w:p>
          <w:p w14:paraId="61FFECA8">
            <w:pPr>
              <w:spacing w:line="260" w:lineRule="auto"/>
              <w:rPr>
                <w:rFonts w:ascii="Arial"/>
                <w:sz w:val="21"/>
              </w:rPr>
            </w:pPr>
          </w:p>
          <w:p w14:paraId="284806C1">
            <w:pPr>
              <w:pStyle w:val="6"/>
              <w:spacing w:before="69" w:line="219" w:lineRule="auto"/>
              <w:ind w:left="200"/>
              <w:rPr>
                <w:sz w:val="21"/>
                <w:szCs w:val="21"/>
              </w:rPr>
            </w:pPr>
            <w:r>
              <w:rPr>
                <w:spacing w:val="-3"/>
                <w:sz w:val="21"/>
                <w:szCs w:val="21"/>
              </w:rPr>
              <w:t>供水</w:t>
            </w:r>
          </w:p>
        </w:tc>
        <w:tc>
          <w:tcPr>
            <w:tcW w:w="829" w:type="dxa"/>
            <w:vAlign w:val="top"/>
          </w:tcPr>
          <w:p w14:paraId="13F0147D">
            <w:pPr>
              <w:pStyle w:val="6"/>
              <w:spacing w:before="53" w:line="220" w:lineRule="auto"/>
              <w:ind w:left="93"/>
              <w:rPr>
                <w:sz w:val="21"/>
                <w:szCs w:val="21"/>
              </w:rPr>
            </w:pPr>
            <w:r>
              <w:rPr>
                <w:spacing w:val="8"/>
                <w:sz w:val="21"/>
                <w:szCs w:val="21"/>
              </w:rPr>
              <w:t>生活用</w:t>
            </w:r>
          </w:p>
          <w:p w14:paraId="4A56D694">
            <w:pPr>
              <w:pStyle w:val="6"/>
              <w:spacing w:before="9" w:line="219" w:lineRule="auto"/>
              <w:ind w:left="93"/>
              <w:rPr>
                <w:sz w:val="21"/>
                <w:szCs w:val="21"/>
              </w:rPr>
            </w:pPr>
            <w:r>
              <w:rPr>
                <w:spacing w:val="6"/>
                <w:sz w:val="21"/>
                <w:szCs w:val="21"/>
              </w:rPr>
              <w:t>水、消</w:t>
            </w:r>
          </w:p>
          <w:p w14:paraId="3BDADFD6">
            <w:pPr>
              <w:pStyle w:val="6"/>
              <w:spacing w:before="10" w:line="199" w:lineRule="auto"/>
              <w:ind w:left="93"/>
              <w:rPr>
                <w:sz w:val="21"/>
                <w:szCs w:val="21"/>
              </w:rPr>
            </w:pPr>
            <w:r>
              <w:rPr>
                <w:spacing w:val="3"/>
                <w:sz w:val="21"/>
                <w:szCs w:val="21"/>
              </w:rPr>
              <w:t>防用水</w:t>
            </w:r>
          </w:p>
        </w:tc>
        <w:tc>
          <w:tcPr>
            <w:tcW w:w="5424" w:type="dxa"/>
            <w:vAlign w:val="top"/>
          </w:tcPr>
          <w:p w14:paraId="055137A3">
            <w:pPr>
              <w:pStyle w:val="6"/>
              <w:spacing w:before="191" w:line="219" w:lineRule="auto"/>
              <w:ind w:left="84"/>
              <w:rPr>
                <w:sz w:val="21"/>
                <w:szCs w:val="21"/>
              </w:rPr>
            </w:pPr>
            <w:r>
              <w:rPr>
                <w:spacing w:val="4"/>
                <w:sz w:val="21"/>
                <w:szCs w:val="21"/>
              </w:rPr>
              <w:t>升压站新建一座120m³生活、消防共用水池，水池补水采</w:t>
            </w:r>
          </w:p>
          <w:p w14:paraId="13FBF2A8">
            <w:pPr>
              <w:pStyle w:val="6"/>
              <w:spacing w:before="12" w:line="219" w:lineRule="auto"/>
              <w:ind w:left="2123"/>
              <w:rPr>
                <w:sz w:val="21"/>
                <w:szCs w:val="21"/>
              </w:rPr>
            </w:pPr>
            <w:r>
              <w:rPr>
                <w:sz w:val="21"/>
                <w:szCs w:val="21"/>
              </w:rPr>
              <w:t>用罐车运水。</w:t>
            </w:r>
          </w:p>
        </w:tc>
        <w:tc>
          <w:tcPr>
            <w:tcW w:w="924" w:type="dxa"/>
            <w:vAlign w:val="top"/>
          </w:tcPr>
          <w:p w14:paraId="3E7DC25D">
            <w:pPr>
              <w:spacing w:line="352" w:lineRule="auto"/>
              <w:rPr>
                <w:rFonts w:ascii="Arial"/>
                <w:sz w:val="21"/>
              </w:rPr>
            </w:pPr>
          </w:p>
          <w:p w14:paraId="065F4C35">
            <w:pPr>
              <w:pStyle w:val="6"/>
              <w:spacing w:before="68" w:line="142" w:lineRule="exact"/>
              <w:ind w:left="350"/>
              <w:rPr>
                <w:sz w:val="21"/>
                <w:szCs w:val="21"/>
              </w:rPr>
            </w:pPr>
            <w:r>
              <w:rPr>
                <w:spacing w:val="-2"/>
                <w:position w:val="-3"/>
                <w:sz w:val="21"/>
                <w:szCs w:val="21"/>
              </w:rPr>
              <w:t>--</w:t>
            </w:r>
          </w:p>
        </w:tc>
      </w:tr>
      <w:tr w14:paraId="74871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44" w:type="dxa"/>
            <w:vMerge w:val="continue"/>
            <w:tcBorders>
              <w:top w:val="nil"/>
              <w:bottom w:val="nil"/>
            </w:tcBorders>
            <w:textDirection w:val="tbRlV"/>
            <w:vAlign w:val="top"/>
          </w:tcPr>
          <w:p w14:paraId="122722C3">
            <w:pPr>
              <w:rPr>
                <w:rFonts w:ascii="Arial"/>
                <w:sz w:val="21"/>
              </w:rPr>
            </w:pPr>
          </w:p>
        </w:tc>
        <w:tc>
          <w:tcPr>
            <w:tcW w:w="848" w:type="dxa"/>
            <w:gridSpan w:val="2"/>
            <w:vMerge w:val="continue"/>
            <w:tcBorders>
              <w:top w:val="nil"/>
            </w:tcBorders>
            <w:vAlign w:val="top"/>
          </w:tcPr>
          <w:p w14:paraId="7E501D00">
            <w:pPr>
              <w:rPr>
                <w:rFonts w:ascii="Arial"/>
                <w:sz w:val="21"/>
              </w:rPr>
            </w:pPr>
          </w:p>
        </w:tc>
        <w:tc>
          <w:tcPr>
            <w:tcW w:w="829" w:type="dxa"/>
            <w:vAlign w:val="top"/>
          </w:tcPr>
          <w:p w14:paraId="01A2EAE7">
            <w:pPr>
              <w:pStyle w:val="6"/>
              <w:spacing w:before="54" w:line="222" w:lineRule="auto"/>
              <w:ind w:left="302" w:right="70" w:hanging="209"/>
              <w:rPr>
                <w:sz w:val="21"/>
                <w:szCs w:val="21"/>
              </w:rPr>
            </w:pPr>
            <w:r>
              <w:rPr>
                <w:spacing w:val="8"/>
                <w:sz w:val="21"/>
                <w:szCs w:val="21"/>
              </w:rPr>
              <w:t>绿化用</w:t>
            </w:r>
            <w:r>
              <w:rPr>
                <w:sz w:val="21"/>
                <w:szCs w:val="21"/>
              </w:rPr>
              <w:t xml:space="preserve"> 水</w:t>
            </w:r>
          </w:p>
        </w:tc>
        <w:tc>
          <w:tcPr>
            <w:tcW w:w="5424" w:type="dxa"/>
            <w:vAlign w:val="top"/>
          </w:tcPr>
          <w:p w14:paraId="414170E7">
            <w:pPr>
              <w:pStyle w:val="6"/>
              <w:spacing w:before="183" w:line="219" w:lineRule="auto"/>
              <w:ind w:left="233"/>
              <w:rPr>
                <w:sz w:val="21"/>
                <w:szCs w:val="21"/>
              </w:rPr>
            </w:pPr>
            <w:r>
              <w:rPr>
                <w:sz w:val="21"/>
                <w:szCs w:val="21"/>
              </w:rPr>
              <w:t>升压站绿化用水使用污水处理系统处理达标的回用水。</w:t>
            </w:r>
          </w:p>
        </w:tc>
        <w:tc>
          <w:tcPr>
            <w:tcW w:w="924" w:type="dxa"/>
            <w:vAlign w:val="top"/>
          </w:tcPr>
          <w:p w14:paraId="1EA1F174">
            <w:pPr>
              <w:spacing w:line="313" w:lineRule="auto"/>
              <w:rPr>
                <w:rFonts w:ascii="Arial"/>
                <w:sz w:val="21"/>
              </w:rPr>
            </w:pPr>
          </w:p>
          <w:p w14:paraId="2428002F">
            <w:pPr>
              <w:pStyle w:val="6"/>
              <w:spacing w:before="68" w:line="143" w:lineRule="exact"/>
              <w:ind w:left="350"/>
              <w:rPr>
                <w:sz w:val="21"/>
                <w:szCs w:val="21"/>
              </w:rPr>
            </w:pPr>
            <w:r>
              <w:rPr>
                <w:spacing w:val="-2"/>
                <w:position w:val="-3"/>
                <w:sz w:val="21"/>
                <w:szCs w:val="21"/>
              </w:rPr>
              <w:t>--</w:t>
            </w:r>
          </w:p>
        </w:tc>
      </w:tr>
      <w:tr w14:paraId="35D3E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444" w:type="dxa"/>
            <w:vMerge w:val="continue"/>
            <w:tcBorders>
              <w:top w:val="nil"/>
            </w:tcBorders>
            <w:textDirection w:val="tbRlV"/>
            <w:vAlign w:val="top"/>
          </w:tcPr>
          <w:p w14:paraId="63B8F31D">
            <w:pPr>
              <w:rPr>
                <w:rFonts w:ascii="Arial"/>
                <w:sz w:val="21"/>
              </w:rPr>
            </w:pPr>
          </w:p>
        </w:tc>
        <w:tc>
          <w:tcPr>
            <w:tcW w:w="1677" w:type="dxa"/>
            <w:gridSpan w:val="3"/>
            <w:vAlign w:val="top"/>
          </w:tcPr>
          <w:p w14:paraId="0E135A73">
            <w:pPr>
              <w:spacing w:line="343" w:lineRule="auto"/>
              <w:rPr>
                <w:rFonts w:ascii="Arial"/>
                <w:sz w:val="21"/>
              </w:rPr>
            </w:pPr>
          </w:p>
          <w:p w14:paraId="2B636C2E">
            <w:pPr>
              <w:pStyle w:val="6"/>
              <w:spacing w:before="68" w:line="219" w:lineRule="auto"/>
              <w:ind w:left="620"/>
              <w:rPr>
                <w:sz w:val="21"/>
                <w:szCs w:val="21"/>
              </w:rPr>
            </w:pPr>
            <w:r>
              <w:rPr>
                <w:spacing w:val="-3"/>
                <w:sz w:val="21"/>
                <w:szCs w:val="21"/>
              </w:rPr>
              <w:t>排水</w:t>
            </w:r>
          </w:p>
        </w:tc>
        <w:tc>
          <w:tcPr>
            <w:tcW w:w="5424" w:type="dxa"/>
            <w:vAlign w:val="top"/>
          </w:tcPr>
          <w:p w14:paraId="5D72B468">
            <w:pPr>
              <w:pStyle w:val="6"/>
              <w:spacing w:before="153" w:line="230" w:lineRule="auto"/>
              <w:ind w:left="84" w:right="88" w:firstLine="99"/>
              <w:rPr>
                <w:sz w:val="21"/>
                <w:szCs w:val="21"/>
              </w:rPr>
            </w:pPr>
            <w:r>
              <w:rPr>
                <w:spacing w:val="-1"/>
                <w:sz w:val="21"/>
                <w:szCs w:val="21"/>
              </w:rPr>
              <w:t>升压站食堂废水经隔油池预处理后与其它生活污水一并</w:t>
            </w:r>
            <w:r>
              <w:rPr>
                <w:spacing w:val="6"/>
                <w:sz w:val="21"/>
                <w:szCs w:val="21"/>
              </w:rPr>
              <w:t xml:space="preserve">  </w:t>
            </w:r>
            <w:r>
              <w:rPr>
                <w:spacing w:val="-1"/>
                <w:sz w:val="21"/>
                <w:szCs w:val="21"/>
              </w:rPr>
              <w:t>排入化粪池，经化粪池处理后进入一体化污水处理站处理</w:t>
            </w:r>
            <w:r>
              <w:rPr>
                <w:spacing w:val="15"/>
                <w:sz w:val="21"/>
                <w:szCs w:val="21"/>
              </w:rPr>
              <w:t xml:space="preserve"> </w:t>
            </w:r>
            <w:r>
              <w:rPr>
                <w:spacing w:val="1"/>
                <w:sz w:val="21"/>
                <w:szCs w:val="21"/>
              </w:rPr>
              <w:t>达标后全部回用于项目区绿化。</w:t>
            </w:r>
          </w:p>
        </w:tc>
        <w:tc>
          <w:tcPr>
            <w:tcW w:w="924" w:type="dxa"/>
            <w:vAlign w:val="top"/>
          </w:tcPr>
          <w:p w14:paraId="36D754F8">
            <w:pPr>
              <w:pStyle w:val="6"/>
              <w:spacing w:before="134" w:line="220" w:lineRule="auto"/>
              <w:ind w:left="139"/>
              <w:rPr>
                <w:sz w:val="21"/>
                <w:szCs w:val="21"/>
              </w:rPr>
            </w:pPr>
            <w:r>
              <w:rPr>
                <w:spacing w:val="3"/>
                <w:sz w:val="21"/>
                <w:szCs w:val="21"/>
              </w:rPr>
              <w:t>设计提</w:t>
            </w:r>
          </w:p>
          <w:p w14:paraId="1966F2E5">
            <w:pPr>
              <w:pStyle w:val="6"/>
              <w:spacing w:before="19"/>
              <w:ind w:left="249" w:right="135" w:hanging="110"/>
              <w:rPr>
                <w:sz w:val="21"/>
                <w:szCs w:val="21"/>
              </w:rPr>
            </w:pPr>
            <w:r>
              <w:rPr>
                <w:spacing w:val="2"/>
                <w:sz w:val="21"/>
                <w:szCs w:val="21"/>
              </w:rPr>
              <w:t>出环评</w:t>
            </w:r>
            <w:r>
              <w:rPr>
                <w:spacing w:val="1"/>
                <w:sz w:val="21"/>
                <w:szCs w:val="21"/>
              </w:rPr>
              <w:t xml:space="preserve"> </w:t>
            </w:r>
            <w:r>
              <w:rPr>
                <w:spacing w:val="6"/>
                <w:sz w:val="21"/>
                <w:szCs w:val="21"/>
              </w:rPr>
              <w:t>补充</w:t>
            </w:r>
          </w:p>
        </w:tc>
      </w:tr>
      <w:tr w14:paraId="496EE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44" w:type="dxa"/>
            <w:vMerge w:val="restart"/>
            <w:tcBorders>
              <w:bottom w:val="nil"/>
            </w:tcBorders>
            <w:textDirection w:val="tbRlV"/>
            <w:vAlign w:val="top"/>
          </w:tcPr>
          <w:p w14:paraId="10EA6467">
            <w:pPr>
              <w:pStyle w:val="6"/>
              <w:spacing w:before="126" w:line="203" w:lineRule="auto"/>
              <w:ind w:left="1767"/>
              <w:rPr>
                <w:sz w:val="21"/>
                <w:szCs w:val="21"/>
              </w:rPr>
            </w:pPr>
            <w:r>
              <w:rPr>
                <w:sz w:val="21"/>
                <w:szCs w:val="21"/>
              </w:rPr>
              <w:t>环</w:t>
            </w:r>
            <w:r>
              <w:rPr>
                <w:spacing w:val="-24"/>
                <w:sz w:val="21"/>
                <w:szCs w:val="21"/>
              </w:rPr>
              <w:t xml:space="preserve"> </w:t>
            </w:r>
            <w:r>
              <w:rPr>
                <w:sz w:val="21"/>
                <w:szCs w:val="21"/>
              </w:rPr>
              <w:t>保</w:t>
            </w:r>
            <w:r>
              <w:rPr>
                <w:spacing w:val="-24"/>
                <w:sz w:val="21"/>
                <w:szCs w:val="21"/>
              </w:rPr>
              <w:t xml:space="preserve"> </w:t>
            </w:r>
            <w:r>
              <w:rPr>
                <w:sz w:val="21"/>
                <w:szCs w:val="21"/>
              </w:rPr>
              <w:t>工</w:t>
            </w:r>
            <w:r>
              <w:rPr>
                <w:spacing w:val="-24"/>
                <w:sz w:val="21"/>
                <w:szCs w:val="21"/>
              </w:rPr>
              <w:t xml:space="preserve"> </w:t>
            </w:r>
            <w:r>
              <w:rPr>
                <w:sz w:val="21"/>
                <w:szCs w:val="21"/>
              </w:rPr>
              <w:t>程</w:t>
            </w:r>
          </w:p>
        </w:tc>
        <w:tc>
          <w:tcPr>
            <w:tcW w:w="429" w:type="dxa"/>
            <w:textDirection w:val="tbRlV"/>
            <w:vAlign w:val="top"/>
          </w:tcPr>
          <w:p w14:paraId="521D6651">
            <w:pPr>
              <w:pStyle w:val="6"/>
              <w:spacing w:before="118" w:line="200" w:lineRule="auto"/>
              <w:ind w:left="16"/>
              <w:rPr>
                <w:sz w:val="21"/>
                <w:szCs w:val="21"/>
              </w:rPr>
            </w:pPr>
            <w:r>
              <w:rPr>
                <w:sz w:val="21"/>
                <w:szCs w:val="21"/>
              </w:rPr>
              <w:t>废</w:t>
            </w:r>
            <w:r>
              <w:rPr>
                <w:spacing w:val="9"/>
                <w:sz w:val="21"/>
                <w:szCs w:val="21"/>
              </w:rPr>
              <w:t xml:space="preserve"> </w:t>
            </w:r>
            <w:r>
              <w:rPr>
                <w:sz w:val="21"/>
                <w:szCs w:val="21"/>
              </w:rPr>
              <w:t>气</w:t>
            </w:r>
          </w:p>
        </w:tc>
        <w:tc>
          <w:tcPr>
            <w:tcW w:w="1248" w:type="dxa"/>
            <w:gridSpan w:val="2"/>
            <w:vAlign w:val="top"/>
          </w:tcPr>
          <w:p w14:paraId="0BC99668">
            <w:pPr>
              <w:pStyle w:val="6"/>
              <w:spacing w:before="183" w:line="219" w:lineRule="auto"/>
              <w:ind w:left="191"/>
              <w:rPr>
                <w:sz w:val="21"/>
                <w:szCs w:val="21"/>
              </w:rPr>
            </w:pPr>
            <w:r>
              <w:rPr>
                <w:spacing w:val="-2"/>
                <w:sz w:val="21"/>
                <w:szCs w:val="21"/>
              </w:rPr>
              <w:t>抽油烟机</w:t>
            </w:r>
          </w:p>
        </w:tc>
        <w:tc>
          <w:tcPr>
            <w:tcW w:w="5424" w:type="dxa"/>
            <w:vAlign w:val="top"/>
          </w:tcPr>
          <w:p w14:paraId="3F678B26">
            <w:pPr>
              <w:pStyle w:val="6"/>
              <w:spacing w:before="43" w:line="227" w:lineRule="auto"/>
              <w:ind w:left="1762" w:right="217" w:hanging="1529"/>
              <w:rPr>
                <w:sz w:val="21"/>
                <w:szCs w:val="21"/>
              </w:rPr>
            </w:pPr>
            <w:r>
              <w:rPr>
                <w:spacing w:val="1"/>
                <w:sz w:val="21"/>
                <w:szCs w:val="21"/>
              </w:rPr>
              <w:t>运营期升压站厨房内设置1套抽油烟机，厨房油烟经油</w:t>
            </w:r>
            <w:r>
              <w:rPr>
                <w:spacing w:val="2"/>
                <w:sz w:val="21"/>
                <w:szCs w:val="21"/>
              </w:rPr>
              <w:t xml:space="preserve"> </w:t>
            </w:r>
            <w:r>
              <w:rPr>
                <w:spacing w:val="-1"/>
                <w:sz w:val="21"/>
                <w:szCs w:val="21"/>
              </w:rPr>
              <w:t>烟机抽吸至楼顶排放</w:t>
            </w:r>
          </w:p>
        </w:tc>
        <w:tc>
          <w:tcPr>
            <w:tcW w:w="924" w:type="dxa"/>
            <w:vAlign w:val="top"/>
          </w:tcPr>
          <w:p w14:paraId="4FBDA6AE">
            <w:pPr>
              <w:pStyle w:val="6"/>
              <w:spacing w:before="45" w:line="220" w:lineRule="auto"/>
              <w:ind w:left="139"/>
              <w:rPr>
                <w:sz w:val="21"/>
                <w:szCs w:val="21"/>
              </w:rPr>
            </w:pPr>
            <w:r>
              <w:rPr>
                <w:spacing w:val="-2"/>
                <w:sz w:val="21"/>
                <w:szCs w:val="21"/>
              </w:rPr>
              <w:t>环评要</w:t>
            </w:r>
          </w:p>
          <w:p w14:paraId="6ED559FE">
            <w:pPr>
              <w:pStyle w:val="6"/>
              <w:spacing w:before="30" w:line="206" w:lineRule="auto"/>
              <w:ind w:left="350"/>
              <w:rPr>
                <w:sz w:val="21"/>
                <w:szCs w:val="21"/>
              </w:rPr>
            </w:pPr>
            <w:r>
              <w:rPr>
                <w:sz w:val="21"/>
                <w:szCs w:val="21"/>
              </w:rPr>
              <w:t>求</w:t>
            </w:r>
          </w:p>
        </w:tc>
      </w:tr>
      <w:tr w14:paraId="04DA4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444" w:type="dxa"/>
            <w:vMerge w:val="continue"/>
            <w:tcBorders>
              <w:top w:val="nil"/>
              <w:bottom w:val="nil"/>
            </w:tcBorders>
            <w:textDirection w:val="tbRlV"/>
            <w:vAlign w:val="top"/>
          </w:tcPr>
          <w:p w14:paraId="4312AC97">
            <w:pPr>
              <w:rPr>
                <w:rFonts w:ascii="Arial"/>
                <w:sz w:val="21"/>
              </w:rPr>
            </w:pPr>
          </w:p>
        </w:tc>
        <w:tc>
          <w:tcPr>
            <w:tcW w:w="429" w:type="dxa"/>
            <w:vMerge w:val="restart"/>
            <w:tcBorders>
              <w:bottom w:val="nil"/>
            </w:tcBorders>
            <w:textDirection w:val="tbRlV"/>
            <w:vAlign w:val="top"/>
          </w:tcPr>
          <w:p w14:paraId="58124E9D">
            <w:pPr>
              <w:pStyle w:val="6"/>
              <w:spacing w:before="117" w:line="200" w:lineRule="auto"/>
              <w:ind w:left="1206"/>
              <w:rPr>
                <w:sz w:val="21"/>
                <w:szCs w:val="21"/>
              </w:rPr>
            </w:pPr>
            <w:r>
              <w:rPr>
                <w:sz w:val="21"/>
                <w:szCs w:val="21"/>
              </w:rPr>
              <w:t>废水</w:t>
            </w:r>
          </w:p>
        </w:tc>
        <w:tc>
          <w:tcPr>
            <w:tcW w:w="1248" w:type="dxa"/>
            <w:gridSpan w:val="2"/>
            <w:vAlign w:val="top"/>
          </w:tcPr>
          <w:p w14:paraId="48AB5C9D">
            <w:pPr>
              <w:spacing w:line="294" w:lineRule="auto"/>
              <w:rPr>
                <w:rFonts w:ascii="Arial"/>
                <w:sz w:val="21"/>
              </w:rPr>
            </w:pPr>
          </w:p>
          <w:p w14:paraId="07346303">
            <w:pPr>
              <w:pStyle w:val="6"/>
              <w:spacing w:before="68" w:line="219" w:lineRule="auto"/>
              <w:ind w:left="301"/>
              <w:rPr>
                <w:sz w:val="21"/>
                <w:szCs w:val="21"/>
              </w:rPr>
            </w:pPr>
            <w:r>
              <w:rPr>
                <w:spacing w:val="-3"/>
                <w:sz w:val="21"/>
                <w:szCs w:val="21"/>
              </w:rPr>
              <w:t>化粪池</w:t>
            </w:r>
          </w:p>
        </w:tc>
        <w:tc>
          <w:tcPr>
            <w:tcW w:w="5424" w:type="dxa"/>
            <w:vAlign w:val="top"/>
          </w:tcPr>
          <w:p w14:paraId="7A01A8E8">
            <w:pPr>
              <w:pStyle w:val="6"/>
              <w:spacing w:before="234" w:line="248" w:lineRule="auto"/>
              <w:ind w:left="123" w:right="70" w:hanging="39"/>
              <w:rPr>
                <w:sz w:val="21"/>
                <w:szCs w:val="21"/>
              </w:rPr>
            </w:pPr>
            <w:r>
              <w:rPr>
                <w:spacing w:val="4"/>
                <w:sz w:val="21"/>
                <w:szCs w:val="21"/>
              </w:rPr>
              <w:t>升压站配套设置一座容积不小于5m³的化粪池，用于预处</w:t>
            </w:r>
            <w:r>
              <w:rPr>
                <w:spacing w:val="9"/>
                <w:sz w:val="21"/>
                <w:szCs w:val="21"/>
              </w:rPr>
              <w:t xml:space="preserve"> </w:t>
            </w:r>
            <w:r>
              <w:rPr>
                <w:sz w:val="21"/>
                <w:szCs w:val="21"/>
              </w:rPr>
              <w:t>理运营期产生的办公生活污水</w:t>
            </w:r>
          </w:p>
        </w:tc>
        <w:tc>
          <w:tcPr>
            <w:tcW w:w="924" w:type="dxa"/>
            <w:vAlign w:val="top"/>
          </w:tcPr>
          <w:p w14:paraId="02F8998E">
            <w:pPr>
              <w:pStyle w:val="6"/>
              <w:spacing w:before="95" w:line="220" w:lineRule="auto"/>
              <w:ind w:left="139"/>
              <w:rPr>
                <w:sz w:val="21"/>
                <w:szCs w:val="21"/>
              </w:rPr>
            </w:pPr>
            <w:r>
              <w:rPr>
                <w:spacing w:val="3"/>
                <w:sz w:val="21"/>
                <w:szCs w:val="21"/>
              </w:rPr>
              <w:t>设计提</w:t>
            </w:r>
          </w:p>
          <w:p w14:paraId="39B058C7">
            <w:pPr>
              <w:pStyle w:val="6"/>
              <w:spacing w:before="31" w:line="221" w:lineRule="auto"/>
              <w:ind w:left="139"/>
              <w:rPr>
                <w:sz w:val="21"/>
                <w:szCs w:val="21"/>
              </w:rPr>
            </w:pPr>
            <w:r>
              <w:rPr>
                <w:spacing w:val="3"/>
                <w:sz w:val="21"/>
                <w:szCs w:val="21"/>
              </w:rPr>
              <w:t>出，环</w:t>
            </w:r>
          </w:p>
          <w:p w14:paraId="3164795A">
            <w:pPr>
              <w:pStyle w:val="6"/>
              <w:spacing w:before="6" w:line="220" w:lineRule="auto"/>
              <w:ind w:left="139"/>
              <w:rPr>
                <w:sz w:val="21"/>
                <w:szCs w:val="21"/>
              </w:rPr>
            </w:pPr>
            <w:r>
              <w:rPr>
                <w:spacing w:val="-2"/>
                <w:sz w:val="21"/>
                <w:szCs w:val="21"/>
              </w:rPr>
              <w:t>评补充</w:t>
            </w:r>
          </w:p>
        </w:tc>
      </w:tr>
      <w:tr w14:paraId="38C9C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44" w:type="dxa"/>
            <w:vMerge w:val="continue"/>
            <w:tcBorders>
              <w:top w:val="nil"/>
              <w:bottom w:val="nil"/>
            </w:tcBorders>
            <w:textDirection w:val="tbRlV"/>
            <w:vAlign w:val="top"/>
          </w:tcPr>
          <w:p w14:paraId="7D708683">
            <w:pPr>
              <w:rPr>
                <w:rFonts w:ascii="Arial"/>
                <w:sz w:val="21"/>
              </w:rPr>
            </w:pPr>
          </w:p>
        </w:tc>
        <w:tc>
          <w:tcPr>
            <w:tcW w:w="429" w:type="dxa"/>
            <w:vMerge w:val="continue"/>
            <w:tcBorders>
              <w:top w:val="nil"/>
              <w:bottom w:val="nil"/>
            </w:tcBorders>
            <w:textDirection w:val="tbRlV"/>
            <w:vAlign w:val="top"/>
          </w:tcPr>
          <w:p w14:paraId="37C2F6D4">
            <w:pPr>
              <w:rPr>
                <w:rFonts w:ascii="Arial"/>
                <w:sz w:val="21"/>
              </w:rPr>
            </w:pPr>
          </w:p>
        </w:tc>
        <w:tc>
          <w:tcPr>
            <w:tcW w:w="1248" w:type="dxa"/>
            <w:gridSpan w:val="2"/>
            <w:vAlign w:val="top"/>
          </w:tcPr>
          <w:p w14:paraId="45F41DE9">
            <w:pPr>
              <w:spacing w:line="256" w:lineRule="auto"/>
              <w:rPr>
                <w:rFonts w:ascii="Arial"/>
                <w:sz w:val="21"/>
              </w:rPr>
            </w:pPr>
          </w:p>
          <w:p w14:paraId="77F7EDBD">
            <w:pPr>
              <w:pStyle w:val="6"/>
              <w:spacing w:before="69" w:line="221" w:lineRule="auto"/>
              <w:ind w:left="301"/>
              <w:rPr>
                <w:sz w:val="21"/>
                <w:szCs w:val="21"/>
              </w:rPr>
            </w:pPr>
            <w:r>
              <w:rPr>
                <w:spacing w:val="3"/>
                <w:sz w:val="21"/>
                <w:szCs w:val="21"/>
              </w:rPr>
              <w:t>隔油池</w:t>
            </w:r>
          </w:p>
        </w:tc>
        <w:tc>
          <w:tcPr>
            <w:tcW w:w="5424" w:type="dxa"/>
            <w:vAlign w:val="top"/>
          </w:tcPr>
          <w:p w14:paraId="40548920">
            <w:pPr>
              <w:spacing w:line="252" w:lineRule="auto"/>
              <w:rPr>
                <w:rFonts w:ascii="Arial"/>
                <w:sz w:val="21"/>
              </w:rPr>
            </w:pPr>
          </w:p>
          <w:p w14:paraId="742AB6D3">
            <w:pPr>
              <w:pStyle w:val="6"/>
              <w:spacing w:before="69" w:line="216" w:lineRule="auto"/>
              <w:ind w:left="123"/>
              <w:rPr>
                <w:sz w:val="21"/>
                <w:szCs w:val="21"/>
              </w:rPr>
            </w:pPr>
            <w:r>
              <w:rPr>
                <w:spacing w:val="4"/>
                <w:sz w:val="21"/>
                <w:szCs w:val="21"/>
              </w:rPr>
              <w:t>容积不小于0.2m³,用于预处理运营期升压站食堂废水</w:t>
            </w:r>
          </w:p>
        </w:tc>
        <w:tc>
          <w:tcPr>
            <w:tcW w:w="924" w:type="dxa"/>
            <w:vAlign w:val="top"/>
          </w:tcPr>
          <w:p w14:paraId="0976ED42">
            <w:pPr>
              <w:pStyle w:val="6"/>
              <w:spacing w:before="46" w:line="220" w:lineRule="auto"/>
              <w:ind w:left="139"/>
              <w:rPr>
                <w:sz w:val="21"/>
                <w:szCs w:val="21"/>
              </w:rPr>
            </w:pPr>
            <w:r>
              <w:rPr>
                <w:spacing w:val="3"/>
                <w:sz w:val="21"/>
                <w:szCs w:val="21"/>
              </w:rPr>
              <w:t>设计提</w:t>
            </w:r>
          </w:p>
          <w:p w14:paraId="783CA11F">
            <w:pPr>
              <w:pStyle w:val="6"/>
              <w:spacing w:before="31" w:line="221" w:lineRule="auto"/>
              <w:ind w:left="139"/>
              <w:rPr>
                <w:sz w:val="21"/>
                <w:szCs w:val="21"/>
              </w:rPr>
            </w:pPr>
            <w:r>
              <w:rPr>
                <w:spacing w:val="3"/>
                <w:sz w:val="21"/>
                <w:szCs w:val="21"/>
              </w:rPr>
              <w:t>出，环</w:t>
            </w:r>
          </w:p>
          <w:p w14:paraId="36B20E78">
            <w:pPr>
              <w:pStyle w:val="6"/>
              <w:spacing w:before="15" w:line="205" w:lineRule="auto"/>
              <w:ind w:left="139"/>
              <w:rPr>
                <w:sz w:val="21"/>
                <w:szCs w:val="21"/>
              </w:rPr>
            </w:pPr>
            <w:r>
              <w:rPr>
                <w:spacing w:val="-2"/>
                <w:sz w:val="21"/>
                <w:szCs w:val="21"/>
              </w:rPr>
              <w:t>评补充</w:t>
            </w:r>
          </w:p>
        </w:tc>
      </w:tr>
      <w:tr w14:paraId="25B55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444" w:type="dxa"/>
            <w:vMerge w:val="continue"/>
            <w:tcBorders>
              <w:top w:val="nil"/>
              <w:bottom w:val="nil"/>
            </w:tcBorders>
            <w:textDirection w:val="tbRlV"/>
            <w:vAlign w:val="top"/>
          </w:tcPr>
          <w:p w14:paraId="47A30696">
            <w:pPr>
              <w:rPr>
                <w:rFonts w:ascii="Arial"/>
                <w:sz w:val="21"/>
              </w:rPr>
            </w:pPr>
          </w:p>
        </w:tc>
        <w:tc>
          <w:tcPr>
            <w:tcW w:w="429" w:type="dxa"/>
            <w:vMerge w:val="continue"/>
            <w:tcBorders>
              <w:top w:val="nil"/>
            </w:tcBorders>
            <w:textDirection w:val="tbRlV"/>
            <w:vAlign w:val="top"/>
          </w:tcPr>
          <w:p w14:paraId="4AC50881">
            <w:pPr>
              <w:rPr>
                <w:rFonts w:ascii="Arial"/>
                <w:sz w:val="21"/>
              </w:rPr>
            </w:pPr>
          </w:p>
        </w:tc>
        <w:tc>
          <w:tcPr>
            <w:tcW w:w="1248" w:type="dxa"/>
            <w:gridSpan w:val="2"/>
            <w:vAlign w:val="top"/>
          </w:tcPr>
          <w:p w14:paraId="248BA910">
            <w:pPr>
              <w:pStyle w:val="6"/>
              <w:spacing w:before="157" w:line="221" w:lineRule="auto"/>
              <w:ind w:left="191"/>
              <w:rPr>
                <w:sz w:val="21"/>
                <w:szCs w:val="21"/>
              </w:rPr>
            </w:pPr>
            <w:r>
              <w:rPr>
                <w:spacing w:val="2"/>
                <w:sz w:val="21"/>
                <w:szCs w:val="21"/>
              </w:rPr>
              <w:t>一体化污</w:t>
            </w:r>
          </w:p>
          <w:p w14:paraId="34780E6E">
            <w:pPr>
              <w:pStyle w:val="6"/>
              <w:spacing w:before="27" w:line="219" w:lineRule="auto"/>
              <w:ind w:left="191"/>
              <w:rPr>
                <w:sz w:val="21"/>
                <w:szCs w:val="21"/>
              </w:rPr>
            </w:pPr>
            <w:r>
              <w:rPr>
                <w:spacing w:val="2"/>
                <w:sz w:val="21"/>
                <w:szCs w:val="21"/>
              </w:rPr>
              <w:t>水处理设</w:t>
            </w:r>
          </w:p>
          <w:p w14:paraId="3EC24619">
            <w:pPr>
              <w:pStyle w:val="6"/>
              <w:spacing w:before="22" w:line="221" w:lineRule="auto"/>
              <w:ind w:left="512"/>
              <w:rPr>
                <w:sz w:val="21"/>
                <w:szCs w:val="21"/>
              </w:rPr>
            </w:pPr>
            <w:r>
              <w:rPr>
                <w:sz w:val="21"/>
                <w:szCs w:val="21"/>
              </w:rPr>
              <w:t>备</w:t>
            </w:r>
          </w:p>
        </w:tc>
        <w:tc>
          <w:tcPr>
            <w:tcW w:w="5424" w:type="dxa"/>
            <w:vAlign w:val="top"/>
          </w:tcPr>
          <w:p w14:paraId="20CE4D2E">
            <w:pPr>
              <w:pStyle w:val="6"/>
              <w:spacing w:before="36" w:line="227" w:lineRule="auto"/>
              <w:ind w:left="84" w:right="71" w:firstLine="99"/>
              <w:rPr>
                <w:sz w:val="21"/>
                <w:szCs w:val="21"/>
              </w:rPr>
            </w:pPr>
            <w:r>
              <w:rPr>
                <w:sz w:val="21"/>
                <w:szCs w:val="21"/>
              </w:rPr>
              <w:t>升压站配套设置一体化污水处理设备，处理工艺为AO工</w:t>
            </w:r>
            <w:r>
              <w:rPr>
                <w:spacing w:val="5"/>
                <w:sz w:val="21"/>
                <w:szCs w:val="21"/>
              </w:rPr>
              <w:t xml:space="preserve">  </w:t>
            </w:r>
            <w:r>
              <w:rPr>
                <w:sz w:val="21"/>
                <w:szCs w:val="21"/>
              </w:rPr>
              <w:t>艺，用于处理运营期产生的办公生活污水，一体化污水处</w:t>
            </w:r>
            <w:r>
              <w:rPr>
                <w:spacing w:val="7"/>
                <w:sz w:val="21"/>
                <w:szCs w:val="21"/>
              </w:rPr>
              <w:t xml:space="preserve"> </w:t>
            </w:r>
            <w:r>
              <w:rPr>
                <w:spacing w:val="10"/>
                <w:sz w:val="21"/>
                <w:szCs w:val="21"/>
              </w:rPr>
              <w:t>理设备处理规模2m³/d。配套建设中水储存池4m³,回用</w:t>
            </w:r>
            <w:r>
              <w:rPr>
                <w:sz w:val="21"/>
                <w:szCs w:val="21"/>
              </w:rPr>
              <w:t xml:space="preserve"> </w:t>
            </w:r>
            <w:r>
              <w:rPr>
                <w:spacing w:val="8"/>
                <w:sz w:val="21"/>
                <w:szCs w:val="21"/>
              </w:rPr>
              <w:t>管网。</w:t>
            </w:r>
          </w:p>
        </w:tc>
        <w:tc>
          <w:tcPr>
            <w:tcW w:w="924" w:type="dxa"/>
            <w:vAlign w:val="top"/>
          </w:tcPr>
          <w:p w14:paraId="504AC3A6">
            <w:pPr>
              <w:pStyle w:val="6"/>
              <w:spacing w:before="157" w:line="220" w:lineRule="auto"/>
              <w:ind w:left="139"/>
              <w:rPr>
                <w:sz w:val="21"/>
                <w:szCs w:val="21"/>
              </w:rPr>
            </w:pPr>
            <w:r>
              <w:rPr>
                <w:spacing w:val="3"/>
                <w:sz w:val="21"/>
                <w:szCs w:val="21"/>
              </w:rPr>
              <w:t>设计提</w:t>
            </w:r>
          </w:p>
          <w:p w14:paraId="3C03A0F4">
            <w:pPr>
              <w:pStyle w:val="6"/>
              <w:spacing w:before="31" w:line="221" w:lineRule="auto"/>
              <w:ind w:left="139"/>
              <w:rPr>
                <w:sz w:val="21"/>
                <w:szCs w:val="21"/>
              </w:rPr>
            </w:pPr>
            <w:r>
              <w:rPr>
                <w:spacing w:val="3"/>
                <w:sz w:val="21"/>
                <w:szCs w:val="21"/>
              </w:rPr>
              <w:t>出，环</w:t>
            </w:r>
          </w:p>
          <w:p w14:paraId="68E18329">
            <w:pPr>
              <w:pStyle w:val="6"/>
              <w:spacing w:before="16" w:line="220" w:lineRule="auto"/>
              <w:ind w:left="139"/>
              <w:rPr>
                <w:sz w:val="21"/>
                <w:szCs w:val="21"/>
              </w:rPr>
            </w:pPr>
            <w:r>
              <w:rPr>
                <w:spacing w:val="-2"/>
                <w:sz w:val="21"/>
                <w:szCs w:val="21"/>
              </w:rPr>
              <w:t>评补充</w:t>
            </w:r>
          </w:p>
        </w:tc>
      </w:tr>
      <w:tr w14:paraId="1FB9E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444" w:type="dxa"/>
            <w:vMerge w:val="continue"/>
            <w:tcBorders>
              <w:top w:val="nil"/>
              <w:bottom w:val="nil"/>
            </w:tcBorders>
            <w:textDirection w:val="tbRlV"/>
            <w:vAlign w:val="top"/>
          </w:tcPr>
          <w:p w14:paraId="6F0B22A9">
            <w:pPr>
              <w:rPr>
                <w:rFonts w:ascii="Arial"/>
                <w:sz w:val="21"/>
              </w:rPr>
            </w:pPr>
          </w:p>
        </w:tc>
        <w:tc>
          <w:tcPr>
            <w:tcW w:w="429" w:type="dxa"/>
            <w:textDirection w:val="tbRlV"/>
            <w:vAlign w:val="top"/>
          </w:tcPr>
          <w:p w14:paraId="73B245E8">
            <w:pPr>
              <w:pStyle w:val="6"/>
              <w:spacing w:before="119" w:line="195" w:lineRule="auto"/>
              <w:ind w:left="82"/>
              <w:rPr>
                <w:sz w:val="21"/>
                <w:szCs w:val="21"/>
              </w:rPr>
            </w:pPr>
            <w:r>
              <w:rPr>
                <w:spacing w:val="10"/>
                <w:sz w:val="21"/>
                <w:szCs w:val="21"/>
              </w:rPr>
              <w:t>噪声</w:t>
            </w:r>
          </w:p>
        </w:tc>
        <w:tc>
          <w:tcPr>
            <w:tcW w:w="6672" w:type="dxa"/>
            <w:gridSpan w:val="3"/>
            <w:vAlign w:val="top"/>
          </w:tcPr>
          <w:p w14:paraId="2539DEB7">
            <w:pPr>
              <w:pStyle w:val="6"/>
              <w:spacing w:before="218" w:line="220" w:lineRule="auto"/>
              <w:ind w:left="121"/>
              <w:rPr>
                <w:sz w:val="21"/>
                <w:szCs w:val="21"/>
              </w:rPr>
            </w:pPr>
            <w:r>
              <w:rPr>
                <w:spacing w:val="-1"/>
                <w:sz w:val="21"/>
                <w:szCs w:val="21"/>
              </w:rPr>
              <w:t>选用低噪声设备，加装基础减振</w:t>
            </w:r>
          </w:p>
        </w:tc>
        <w:tc>
          <w:tcPr>
            <w:tcW w:w="924" w:type="dxa"/>
            <w:vAlign w:val="top"/>
          </w:tcPr>
          <w:p w14:paraId="4795DEF1">
            <w:pPr>
              <w:pStyle w:val="6"/>
              <w:spacing w:before="78" w:line="220" w:lineRule="auto"/>
              <w:ind w:left="139"/>
              <w:rPr>
                <w:sz w:val="21"/>
                <w:szCs w:val="21"/>
              </w:rPr>
            </w:pPr>
            <w:r>
              <w:rPr>
                <w:spacing w:val="-2"/>
                <w:sz w:val="21"/>
                <w:szCs w:val="21"/>
              </w:rPr>
              <w:t>环评要</w:t>
            </w:r>
          </w:p>
          <w:p w14:paraId="3C77C136">
            <w:pPr>
              <w:pStyle w:val="6"/>
              <w:spacing w:before="30" w:line="221" w:lineRule="auto"/>
              <w:ind w:left="350"/>
              <w:rPr>
                <w:sz w:val="21"/>
                <w:szCs w:val="21"/>
              </w:rPr>
            </w:pPr>
            <w:r>
              <w:rPr>
                <w:sz w:val="21"/>
                <w:szCs w:val="21"/>
              </w:rPr>
              <w:t>求</w:t>
            </w:r>
          </w:p>
        </w:tc>
      </w:tr>
      <w:tr w14:paraId="5A9B1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44" w:type="dxa"/>
            <w:vMerge w:val="continue"/>
            <w:tcBorders>
              <w:top w:val="nil"/>
            </w:tcBorders>
            <w:textDirection w:val="tbRlV"/>
            <w:vAlign w:val="top"/>
          </w:tcPr>
          <w:p w14:paraId="624F9766">
            <w:pPr>
              <w:rPr>
                <w:rFonts w:ascii="Arial"/>
                <w:sz w:val="21"/>
              </w:rPr>
            </w:pPr>
          </w:p>
        </w:tc>
        <w:tc>
          <w:tcPr>
            <w:tcW w:w="429" w:type="dxa"/>
            <w:textDirection w:val="tbRlV"/>
            <w:vAlign w:val="top"/>
          </w:tcPr>
          <w:p w14:paraId="4C4933E2">
            <w:pPr>
              <w:pStyle w:val="6"/>
              <w:spacing w:before="116" w:line="201" w:lineRule="auto"/>
              <w:ind w:left="6"/>
              <w:rPr>
                <w:sz w:val="21"/>
                <w:szCs w:val="21"/>
              </w:rPr>
            </w:pPr>
            <w:r>
              <w:rPr>
                <w:sz w:val="21"/>
                <w:szCs w:val="21"/>
              </w:rPr>
              <w:t>固</w:t>
            </w:r>
            <w:r>
              <w:rPr>
                <w:spacing w:val="13"/>
                <w:sz w:val="21"/>
                <w:szCs w:val="21"/>
              </w:rPr>
              <w:t xml:space="preserve"> </w:t>
            </w:r>
            <w:r>
              <w:rPr>
                <w:sz w:val="21"/>
                <w:szCs w:val="21"/>
              </w:rPr>
              <w:t>体</w:t>
            </w:r>
          </w:p>
        </w:tc>
        <w:tc>
          <w:tcPr>
            <w:tcW w:w="1248" w:type="dxa"/>
            <w:gridSpan w:val="2"/>
            <w:vAlign w:val="top"/>
          </w:tcPr>
          <w:p w14:paraId="79EE7D49">
            <w:pPr>
              <w:pStyle w:val="6"/>
              <w:spacing w:before="58" w:line="210" w:lineRule="auto"/>
              <w:ind w:left="191"/>
              <w:rPr>
                <w:sz w:val="21"/>
                <w:szCs w:val="21"/>
              </w:rPr>
            </w:pPr>
            <w:r>
              <w:rPr>
                <w:spacing w:val="2"/>
                <w:sz w:val="21"/>
                <w:szCs w:val="21"/>
              </w:rPr>
              <w:t>一般固体</w:t>
            </w:r>
          </w:p>
          <w:p w14:paraId="6BBDFC3D">
            <w:pPr>
              <w:pStyle w:val="6"/>
              <w:spacing w:line="216" w:lineRule="auto"/>
              <w:ind w:left="191"/>
              <w:rPr>
                <w:sz w:val="21"/>
                <w:szCs w:val="21"/>
              </w:rPr>
            </w:pPr>
            <w:r>
              <w:rPr>
                <w:spacing w:val="-2"/>
                <w:sz w:val="21"/>
                <w:szCs w:val="21"/>
              </w:rPr>
              <w:t>废物暂存</w:t>
            </w:r>
          </w:p>
        </w:tc>
        <w:tc>
          <w:tcPr>
            <w:tcW w:w="5424" w:type="dxa"/>
            <w:vAlign w:val="top"/>
          </w:tcPr>
          <w:p w14:paraId="1DDFB706">
            <w:pPr>
              <w:pStyle w:val="6"/>
              <w:spacing w:before="43" w:line="220" w:lineRule="auto"/>
              <w:ind w:left="84" w:right="70" w:firstLine="149"/>
              <w:rPr>
                <w:sz w:val="21"/>
                <w:szCs w:val="21"/>
              </w:rPr>
            </w:pPr>
            <w:r>
              <w:rPr>
                <w:spacing w:val="4"/>
                <w:sz w:val="21"/>
                <w:szCs w:val="21"/>
              </w:rPr>
              <w:t>于升压站置一般固体废物暂存间1个，面积20m²,收集</w:t>
            </w:r>
            <w:r>
              <w:rPr>
                <w:spacing w:val="6"/>
                <w:sz w:val="21"/>
                <w:szCs w:val="21"/>
              </w:rPr>
              <w:t xml:space="preserve">  </w:t>
            </w:r>
            <w:r>
              <w:rPr>
                <w:sz w:val="21"/>
                <w:szCs w:val="21"/>
              </w:rPr>
              <w:t>暂存项目产生的废光伏组件，后期由光伏组件生产厂家统</w:t>
            </w:r>
          </w:p>
        </w:tc>
        <w:tc>
          <w:tcPr>
            <w:tcW w:w="924" w:type="dxa"/>
            <w:vAlign w:val="top"/>
          </w:tcPr>
          <w:p w14:paraId="5031C2DD">
            <w:pPr>
              <w:pStyle w:val="6"/>
              <w:spacing w:before="58" w:line="220" w:lineRule="auto"/>
              <w:ind w:left="139"/>
              <w:rPr>
                <w:sz w:val="21"/>
                <w:szCs w:val="21"/>
              </w:rPr>
            </w:pPr>
            <w:r>
              <w:rPr>
                <w:spacing w:val="3"/>
                <w:sz w:val="21"/>
                <w:szCs w:val="21"/>
              </w:rPr>
              <w:t>设计提</w:t>
            </w:r>
          </w:p>
          <w:p w14:paraId="0113A9CB">
            <w:pPr>
              <w:pStyle w:val="6"/>
              <w:spacing w:before="11" w:line="197" w:lineRule="auto"/>
              <w:ind w:left="139"/>
              <w:rPr>
                <w:sz w:val="21"/>
                <w:szCs w:val="21"/>
              </w:rPr>
            </w:pPr>
            <w:r>
              <w:rPr>
                <w:spacing w:val="3"/>
                <w:sz w:val="21"/>
                <w:szCs w:val="21"/>
              </w:rPr>
              <w:t>出，环</w:t>
            </w:r>
          </w:p>
        </w:tc>
      </w:tr>
    </w:tbl>
    <w:p w14:paraId="3BF2ADF0">
      <w:pPr>
        <w:pStyle w:val="2"/>
      </w:pPr>
    </w:p>
    <w:p w14:paraId="73D688D3">
      <w:pPr>
        <w:sectPr>
          <w:footerReference r:id="rId141" w:type="default"/>
          <w:pgSz w:w="11910" w:h="16830"/>
          <w:pgMar w:top="1395" w:right="1745" w:bottom="1038" w:left="1685" w:header="0" w:footer="843" w:gutter="0"/>
          <w:cols w:space="720" w:num="1"/>
        </w:sectPr>
      </w:pPr>
    </w:p>
    <w:tbl>
      <w:tblPr>
        <w:tblStyle w:val="5"/>
        <w:tblW w:w="8499"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449"/>
        <w:gridCol w:w="1258"/>
        <w:gridCol w:w="5404"/>
        <w:gridCol w:w="944"/>
      </w:tblGrid>
      <w:tr w14:paraId="37874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44" w:type="dxa"/>
            <w:textDirection w:val="tbRlV"/>
            <w:vAlign w:val="top"/>
          </w:tcPr>
          <w:p w14:paraId="1D8987CE">
            <w:pPr>
              <w:pStyle w:val="6"/>
              <w:spacing w:before="148" w:line="200" w:lineRule="auto"/>
              <w:rPr>
                <w:sz w:val="21"/>
                <w:szCs w:val="21"/>
              </w:rPr>
            </w:pPr>
            <w:r>
              <w:rPr>
                <w:b/>
                <w:bCs/>
                <w:spacing w:val="-4"/>
                <w:sz w:val="21"/>
                <w:szCs w:val="21"/>
              </w:rPr>
              <w:t>类</w:t>
            </w:r>
            <w:r>
              <w:rPr>
                <w:spacing w:val="28"/>
                <w:sz w:val="21"/>
                <w:szCs w:val="21"/>
              </w:rPr>
              <w:t xml:space="preserve"> </w:t>
            </w:r>
            <w:r>
              <w:rPr>
                <w:b/>
                <w:bCs/>
                <w:spacing w:val="-4"/>
                <w:sz w:val="21"/>
                <w:szCs w:val="21"/>
              </w:rPr>
              <w:t>别</w:t>
            </w:r>
          </w:p>
        </w:tc>
        <w:tc>
          <w:tcPr>
            <w:tcW w:w="1707" w:type="dxa"/>
            <w:gridSpan w:val="2"/>
            <w:vAlign w:val="top"/>
          </w:tcPr>
          <w:p w14:paraId="31CB42C9">
            <w:pPr>
              <w:pStyle w:val="6"/>
              <w:spacing w:before="171" w:line="220" w:lineRule="auto"/>
              <w:ind w:left="424"/>
              <w:rPr>
                <w:sz w:val="21"/>
                <w:szCs w:val="21"/>
              </w:rPr>
            </w:pPr>
            <w:r>
              <w:rPr>
                <w:b/>
                <w:bCs/>
                <w:spacing w:val="-5"/>
                <w:sz w:val="21"/>
                <w:szCs w:val="21"/>
              </w:rPr>
              <w:t>工程名称</w:t>
            </w:r>
          </w:p>
        </w:tc>
        <w:tc>
          <w:tcPr>
            <w:tcW w:w="5404" w:type="dxa"/>
            <w:vAlign w:val="top"/>
          </w:tcPr>
          <w:p w14:paraId="527A7C7D">
            <w:pPr>
              <w:pStyle w:val="6"/>
              <w:spacing w:before="170" w:line="219" w:lineRule="auto"/>
              <w:ind w:left="2276"/>
              <w:rPr>
                <w:sz w:val="21"/>
                <w:szCs w:val="21"/>
              </w:rPr>
            </w:pPr>
            <w:r>
              <w:rPr>
                <w:b/>
                <w:bCs/>
                <w:spacing w:val="-5"/>
                <w:sz w:val="21"/>
                <w:szCs w:val="21"/>
              </w:rPr>
              <w:t>建设内容</w:t>
            </w:r>
          </w:p>
        </w:tc>
        <w:tc>
          <w:tcPr>
            <w:tcW w:w="944" w:type="dxa"/>
            <w:vAlign w:val="top"/>
          </w:tcPr>
          <w:p w14:paraId="0A9C3061">
            <w:pPr>
              <w:pStyle w:val="6"/>
              <w:spacing w:before="171" w:line="221" w:lineRule="auto"/>
              <w:ind w:left="262"/>
              <w:rPr>
                <w:sz w:val="21"/>
                <w:szCs w:val="21"/>
              </w:rPr>
            </w:pPr>
            <w:r>
              <w:rPr>
                <w:b/>
                <w:bCs/>
                <w:spacing w:val="-5"/>
                <w:sz w:val="21"/>
                <w:szCs w:val="21"/>
              </w:rPr>
              <w:t>备注</w:t>
            </w:r>
          </w:p>
        </w:tc>
      </w:tr>
      <w:tr w14:paraId="4B897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444" w:type="dxa"/>
            <w:vMerge w:val="restart"/>
            <w:tcBorders>
              <w:bottom w:val="nil"/>
            </w:tcBorders>
            <w:vAlign w:val="top"/>
          </w:tcPr>
          <w:p w14:paraId="1454BD66">
            <w:pPr>
              <w:rPr>
                <w:rFonts w:ascii="Arial"/>
                <w:sz w:val="21"/>
              </w:rPr>
            </w:pPr>
          </w:p>
        </w:tc>
        <w:tc>
          <w:tcPr>
            <w:tcW w:w="449" w:type="dxa"/>
            <w:vMerge w:val="restart"/>
            <w:tcBorders>
              <w:bottom w:val="nil"/>
            </w:tcBorders>
            <w:textDirection w:val="tbRlV"/>
            <w:vAlign w:val="top"/>
          </w:tcPr>
          <w:p w14:paraId="5E87DDC7">
            <w:pPr>
              <w:pStyle w:val="6"/>
              <w:spacing w:before="148" w:line="200" w:lineRule="auto"/>
              <w:rPr>
                <w:sz w:val="21"/>
                <w:szCs w:val="21"/>
              </w:rPr>
            </w:pPr>
            <w:r>
              <w:rPr>
                <w:spacing w:val="-3"/>
                <w:sz w:val="21"/>
                <w:szCs w:val="21"/>
              </w:rPr>
              <w:t>废物</w:t>
            </w:r>
          </w:p>
        </w:tc>
        <w:tc>
          <w:tcPr>
            <w:tcW w:w="1258" w:type="dxa"/>
            <w:vAlign w:val="top"/>
          </w:tcPr>
          <w:p w14:paraId="6FA471F5">
            <w:pPr>
              <w:pStyle w:val="6"/>
              <w:spacing w:before="82" w:line="222" w:lineRule="auto"/>
              <w:ind w:left="512"/>
              <w:rPr>
                <w:sz w:val="21"/>
                <w:szCs w:val="21"/>
              </w:rPr>
            </w:pPr>
            <w:r>
              <w:rPr>
                <w:sz w:val="21"/>
                <w:szCs w:val="21"/>
              </w:rPr>
              <w:t>间</w:t>
            </w:r>
          </w:p>
        </w:tc>
        <w:tc>
          <w:tcPr>
            <w:tcW w:w="5404" w:type="dxa"/>
            <w:vAlign w:val="top"/>
          </w:tcPr>
          <w:p w14:paraId="7CAAA76C">
            <w:pPr>
              <w:pStyle w:val="6"/>
              <w:spacing w:before="79" w:line="219" w:lineRule="auto"/>
              <w:ind w:left="93"/>
              <w:rPr>
                <w:sz w:val="21"/>
                <w:szCs w:val="21"/>
              </w:rPr>
            </w:pPr>
            <w:r>
              <w:rPr>
                <w:spacing w:val="-1"/>
                <w:sz w:val="21"/>
                <w:szCs w:val="21"/>
              </w:rPr>
              <w:t>一回收利用。</w:t>
            </w:r>
          </w:p>
        </w:tc>
        <w:tc>
          <w:tcPr>
            <w:tcW w:w="944" w:type="dxa"/>
            <w:vAlign w:val="top"/>
          </w:tcPr>
          <w:p w14:paraId="41AEA028">
            <w:pPr>
              <w:pStyle w:val="6"/>
              <w:spacing w:before="80" w:line="220" w:lineRule="auto"/>
              <w:ind w:left="149"/>
              <w:rPr>
                <w:sz w:val="21"/>
                <w:szCs w:val="21"/>
              </w:rPr>
            </w:pPr>
            <w:r>
              <w:rPr>
                <w:spacing w:val="-2"/>
                <w:sz w:val="21"/>
                <w:szCs w:val="21"/>
              </w:rPr>
              <w:t>评补充</w:t>
            </w:r>
          </w:p>
        </w:tc>
      </w:tr>
      <w:tr w14:paraId="4F7EB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7" w:hRule="atLeast"/>
        </w:trPr>
        <w:tc>
          <w:tcPr>
            <w:tcW w:w="444" w:type="dxa"/>
            <w:vMerge w:val="continue"/>
            <w:tcBorders>
              <w:top w:val="nil"/>
              <w:bottom w:val="nil"/>
            </w:tcBorders>
            <w:vAlign w:val="top"/>
          </w:tcPr>
          <w:p w14:paraId="510EB6AB">
            <w:pPr>
              <w:rPr>
                <w:rFonts w:ascii="Arial"/>
                <w:sz w:val="21"/>
              </w:rPr>
            </w:pPr>
          </w:p>
        </w:tc>
        <w:tc>
          <w:tcPr>
            <w:tcW w:w="449" w:type="dxa"/>
            <w:vMerge w:val="continue"/>
            <w:tcBorders>
              <w:top w:val="nil"/>
            </w:tcBorders>
            <w:textDirection w:val="tbRlV"/>
            <w:vAlign w:val="top"/>
          </w:tcPr>
          <w:p w14:paraId="74773CB0">
            <w:pPr>
              <w:rPr>
                <w:rFonts w:ascii="Arial"/>
                <w:sz w:val="21"/>
              </w:rPr>
            </w:pPr>
          </w:p>
        </w:tc>
        <w:tc>
          <w:tcPr>
            <w:tcW w:w="1258" w:type="dxa"/>
            <w:vAlign w:val="top"/>
          </w:tcPr>
          <w:p w14:paraId="4BEAABAF">
            <w:pPr>
              <w:spacing w:line="319" w:lineRule="auto"/>
              <w:rPr>
                <w:rFonts w:ascii="Arial"/>
                <w:sz w:val="21"/>
              </w:rPr>
            </w:pPr>
          </w:p>
          <w:p w14:paraId="05976D7E">
            <w:pPr>
              <w:spacing w:line="319" w:lineRule="auto"/>
              <w:rPr>
                <w:rFonts w:ascii="Arial"/>
                <w:sz w:val="21"/>
              </w:rPr>
            </w:pPr>
          </w:p>
          <w:p w14:paraId="5B1802FE">
            <w:pPr>
              <w:pStyle w:val="6"/>
              <w:spacing w:before="68" w:line="221" w:lineRule="auto"/>
              <w:ind w:left="301" w:right="195" w:hanging="99"/>
              <w:rPr>
                <w:sz w:val="21"/>
                <w:szCs w:val="21"/>
              </w:rPr>
            </w:pPr>
            <w:r>
              <w:rPr>
                <w:spacing w:val="2"/>
                <w:sz w:val="21"/>
                <w:szCs w:val="21"/>
              </w:rPr>
              <w:t>危险废物</w:t>
            </w:r>
            <w:r>
              <w:rPr>
                <w:spacing w:val="1"/>
                <w:sz w:val="21"/>
                <w:szCs w:val="21"/>
              </w:rPr>
              <w:t xml:space="preserve"> </w:t>
            </w:r>
            <w:r>
              <w:rPr>
                <w:spacing w:val="6"/>
                <w:sz w:val="21"/>
                <w:szCs w:val="21"/>
              </w:rPr>
              <w:t>暂存间</w:t>
            </w:r>
          </w:p>
        </w:tc>
        <w:tc>
          <w:tcPr>
            <w:tcW w:w="5404" w:type="dxa"/>
            <w:vAlign w:val="top"/>
          </w:tcPr>
          <w:p w14:paraId="1BD3FCA8">
            <w:pPr>
              <w:pStyle w:val="6"/>
              <w:spacing w:before="35" w:line="232" w:lineRule="auto"/>
              <w:ind w:left="83" w:right="120" w:firstLine="40"/>
              <w:jc w:val="both"/>
              <w:rPr>
                <w:sz w:val="21"/>
                <w:szCs w:val="21"/>
              </w:rPr>
            </w:pPr>
            <w:r>
              <w:rPr>
                <w:spacing w:val="4"/>
                <w:sz w:val="21"/>
                <w:szCs w:val="21"/>
              </w:rPr>
              <w:t>于升压站设置危险废物暂存间1间，面积63.9m²</w:t>
            </w:r>
            <w:r>
              <w:rPr>
                <w:spacing w:val="3"/>
                <w:sz w:val="21"/>
                <w:szCs w:val="21"/>
              </w:rPr>
              <w:t>,收集暂</w:t>
            </w:r>
            <w:r>
              <w:rPr>
                <w:sz w:val="21"/>
                <w:szCs w:val="21"/>
              </w:rPr>
              <w:t xml:space="preserve"> </w:t>
            </w:r>
            <w:r>
              <w:rPr>
                <w:spacing w:val="3"/>
                <w:sz w:val="21"/>
                <w:szCs w:val="21"/>
              </w:rPr>
              <w:t>存项目产生的危险废物，委托有资质的单位定期清运处</w:t>
            </w:r>
            <w:r>
              <w:rPr>
                <w:spacing w:val="9"/>
                <w:sz w:val="21"/>
                <w:szCs w:val="21"/>
              </w:rPr>
              <w:t xml:space="preserve"> </w:t>
            </w:r>
            <w:r>
              <w:rPr>
                <w:spacing w:val="-2"/>
                <w:sz w:val="21"/>
                <w:szCs w:val="21"/>
              </w:rPr>
              <w:t>置。</w:t>
            </w:r>
          </w:p>
          <w:p w14:paraId="5ECBBE7D">
            <w:pPr>
              <w:pStyle w:val="6"/>
              <w:spacing w:before="2" w:line="237" w:lineRule="auto"/>
              <w:ind w:left="113" w:right="161" w:firstLine="60"/>
              <w:rPr>
                <w:sz w:val="21"/>
                <w:szCs w:val="21"/>
              </w:rPr>
            </w:pPr>
            <w:r>
              <w:rPr>
                <w:sz w:val="21"/>
                <w:szCs w:val="21"/>
              </w:rPr>
              <w:t>危废暂存间地面及四周采用防渗层防渗性能应达到至少</w:t>
            </w:r>
            <w:r>
              <w:rPr>
                <w:spacing w:val="17"/>
                <w:sz w:val="21"/>
                <w:szCs w:val="21"/>
              </w:rPr>
              <w:t xml:space="preserve"> </w:t>
            </w:r>
            <w:r>
              <w:rPr>
                <w:spacing w:val="5"/>
                <w:sz w:val="21"/>
                <w:szCs w:val="21"/>
              </w:rPr>
              <w:t>1m厚黏土层(渗透系数不大于10-</w:t>
            </w:r>
            <w:r>
              <w:rPr>
                <w:rFonts w:ascii="Calibri" w:hAnsi="Calibri" w:eastAsia="Calibri" w:cs="Calibri"/>
                <w:spacing w:val="5"/>
                <w:sz w:val="21"/>
                <w:szCs w:val="21"/>
              </w:rPr>
              <w:t>⁷</w:t>
            </w:r>
            <w:r>
              <w:rPr>
                <w:sz w:val="21"/>
                <w:szCs w:val="21"/>
              </w:rPr>
              <w:t>cm</w:t>
            </w:r>
            <w:r>
              <w:rPr>
                <w:spacing w:val="5"/>
                <w:sz w:val="21"/>
                <w:szCs w:val="21"/>
              </w:rPr>
              <w:t>/s),</w:t>
            </w:r>
            <w:r>
              <w:rPr>
                <w:spacing w:val="4"/>
                <w:sz w:val="21"/>
                <w:szCs w:val="21"/>
              </w:rPr>
              <w:t>或至少2</w:t>
            </w:r>
            <w:r>
              <w:rPr>
                <w:sz w:val="21"/>
                <w:szCs w:val="21"/>
              </w:rPr>
              <w:t>mm</w:t>
            </w:r>
          </w:p>
          <w:p w14:paraId="22104FB5">
            <w:pPr>
              <w:pStyle w:val="6"/>
              <w:spacing w:line="223" w:lineRule="auto"/>
              <w:ind w:left="113" w:right="557" w:hanging="10"/>
              <w:rPr>
                <w:sz w:val="21"/>
                <w:szCs w:val="21"/>
              </w:rPr>
            </w:pPr>
            <w:r>
              <w:rPr>
                <w:sz w:val="21"/>
                <w:szCs w:val="21"/>
              </w:rPr>
              <w:t>厚高密度聚乙烯膜等人工防渗材料(渗透系数不大于</w:t>
            </w:r>
            <w:r>
              <w:rPr>
                <w:spacing w:val="6"/>
                <w:sz w:val="21"/>
                <w:szCs w:val="21"/>
              </w:rPr>
              <w:t xml:space="preserve"> </w:t>
            </w:r>
            <w:r>
              <w:rPr>
                <w:sz w:val="21"/>
                <w:szCs w:val="21"/>
              </w:rPr>
              <w:t>10-10cm/s),或其他防渗性能等效的材料。</w:t>
            </w:r>
          </w:p>
        </w:tc>
        <w:tc>
          <w:tcPr>
            <w:tcW w:w="944" w:type="dxa"/>
            <w:vAlign w:val="top"/>
          </w:tcPr>
          <w:p w14:paraId="0DFB8224">
            <w:pPr>
              <w:spacing w:line="249" w:lineRule="auto"/>
              <w:rPr>
                <w:rFonts w:ascii="Arial"/>
                <w:sz w:val="21"/>
              </w:rPr>
            </w:pPr>
          </w:p>
          <w:p w14:paraId="0752F74D">
            <w:pPr>
              <w:spacing w:line="250" w:lineRule="auto"/>
              <w:rPr>
                <w:rFonts w:ascii="Arial"/>
                <w:sz w:val="21"/>
              </w:rPr>
            </w:pPr>
          </w:p>
          <w:p w14:paraId="7615C147">
            <w:pPr>
              <w:pStyle w:val="6"/>
              <w:spacing w:before="68" w:line="220" w:lineRule="auto"/>
              <w:ind w:left="149"/>
              <w:rPr>
                <w:sz w:val="21"/>
                <w:szCs w:val="21"/>
              </w:rPr>
            </w:pPr>
            <w:r>
              <w:rPr>
                <w:spacing w:val="3"/>
                <w:sz w:val="21"/>
                <w:szCs w:val="21"/>
              </w:rPr>
              <w:t>设计提</w:t>
            </w:r>
          </w:p>
          <w:p w14:paraId="3394CFAD">
            <w:pPr>
              <w:pStyle w:val="6"/>
              <w:spacing w:before="21" w:line="221" w:lineRule="auto"/>
              <w:ind w:left="149"/>
              <w:rPr>
                <w:sz w:val="21"/>
                <w:szCs w:val="21"/>
              </w:rPr>
            </w:pPr>
            <w:r>
              <w:rPr>
                <w:spacing w:val="3"/>
                <w:sz w:val="21"/>
                <w:szCs w:val="21"/>
              </w:rPr>
              <w:t>出，环</w:t>
            </w:r>
          </w:p>
          <w:p w14:paraId="18ADA2F8">
            <w:pPr>
              <w:pStyle w:val="6"/>
              <w:spacing w:before="6" w:line="220" w:lineRule="auto"/>
              <w:ind w:left="149"/>
              <w:rPr>
                <w:sz w:val="21"/>
                <w:szCs w:val="21"/>
              </w:rPr>
            </w:pPr>
            <w:r>
              <w:rPr>
                <w:spacing w:val="-2"/>
                <w:sz w:val="21"/>
                <w:szCs w:val="21"/>
              </w:rPr>
              <w:t>评补充</w:t>
            </w:r>
          </w:p>
        </w:tc>
      </w:tr>
      <w:tr w14:paraId="3263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444" w:type="dxa"/>
            <w:vMerge w:val="continue"/>
            <w:tcBorders>
              <w:top w:val="nil"/>
              <w:bottom w:val="nil"/>
            </w:tcBorders>
            <w:vAlign w:val="top"/>
          </w:tcPr>
          <w:p w14:paraId="0F1FABC9">
            <w:pPr>
              <w:rPr>
                <w:rFonts w:ascii="Arial"/>
                <w:sz w:val="21"/>
              </w:rPr>
            </w:pPr>
          </w:p>
        </w:tc>
        <w:tc>
          <w:tcPr>
            <w:tcW w:w="449" w:type="dxa"/>
            <w:vMerge w:val="restart"/>
            <w:tcBorders>
              <w:bottom w:val="nil"/>
            </w:tcBorders>
            <w:textDirection w:val="tbRlV"/>
            <w:vAlign w:val="top"/>
          </w:tcPr>
          <w:p w14:paraId="0A1DE4F9">
            <w:pPr>
              <w:pStyle w:val="6"/>
              <w:spacing w:before="147" w:line="200" w:lineRule="auto"/>
              <w:ind w:left="1819"/>
              <w:rPr>
                <w:sz w:val="21"/>
                <w:szCs w:val="21"/>
              </w:rPr>
            </w:pPr>
            <w:r>
              <w:rPr>
                <w:spacing w:val="14"/>
                <w:sz w:val="21"/>
                <w:szCs w:val="21"/>
              </w:rPr>
              <w:t>风险</w:t>
            </w:r>
          </w:p>
        </w:tc>
        <w:tc>
          <w:tcPr>
            <w:tcW w:w="1258" w:type="dxa"/>
            <w:vAlign w:val="top"/>
          </w:tcPr>
          <w:p w14:paraId="33B75E1F">
            <w:pPr>
              <w:spacing w:line="255" w:lineRule="auto"/>
              <w:rPr>
                <w:rFonts w:ascii="Arial"/>
                <w:sz w:val="21"/>
              </w:rPr>
            </w:pPr>
          </w:p>
          <w:p w14:paraId="1FB1C952">
            <w:pPr>
              <w:spacing w:line="256" w:lineRule="auto"/>
              <w:rPr>
                <w:rFonts w:ascii="Arial"/>
                <w:sz w:val="21"/>
              </w:rPr>
            </w:pPr>
          </w:p>
          <w:p w14:paraId="6CE58732">
            <w:pPr>
              <w:pStyle w:val="6"/>
              <w:spacing w:before="69" w:line="220" w:lineRule="auto"/>
              <w:ind w:left="202"/>
              <w:rPr>
                <w:sz w:val="21"/>
                <w:szCs w:val="21"/>
              </w:rPr>
            </w:pPr>
            <w:r>
              <w:rPr>
                <w:spacing w:val="-2"/>
                <w:sz w:val="21"/>
                <w:szCs w:val="21"/>
              </w:rPr>
              <w:t>事故油池</w:t>
            </w:r>
          </w:p>
        </w:tc>
        <w:tc>
          <w:tcPr>
            <w:tcW w:w="5404" w:type="dxa"/>
            <w:vAlign w:val="top"/>
          </w:tcPr>
          <w:p w14:paraId="3389754E">
            <w:pPr>
              <w:pStyle w:val="6"/>
              <w:spacing w:before="29" w:line="216" w:lineRule="auto"/>
              <w:ind w:left="223"/>
              <w:rPr>
                <w:sz w:val="21"/>
                <w:szCs w:val="21"/>
              </w:rPr>
            </w:pPr>
            <w:r>
              <w:rPr>
                <w:spacing w:val="5"/>
                <w:sz w:val="21"/>
                <w:szCs w:val="21"/>
              </w:rPr>
              <w:t>升压站内设置1个地埋式事故油池，容积45m³,由排油</w:t>
            </w:r>
          </w:p>
          <w:p w14:paraId="4FA381AC">
            <w:pPr>
              <w:pStyle w:val="6"/>
              <w:spacing w:before="37" w:line="219" w:lineRule="auto"/>
              <w:ind w:left="223"/>
              <w:rPr>
                <w:sz w:val="21"/>
                <w:szCs w:val="21"/>
              </w:rPr>
            </w:pPr>
            <w:r>
              <w:rPr>
                <w:spacing w:val="4"/>
                <w:sz w:val="21"/>
                <w:szCs w:val="21"/>
              </w:rPr>
              <w:t>管道与主变下方的集油坑(容积10m³)连接。主变压器</w:t>
            </w:r>
          </w:p>
          <w:p w14:paraId="779CD252">
            <w:pPr>
              <w:pStyle w:val="6"/>
              <w:spacing w:before="20" w:line="219" w:lineRule="auto"/>
              <w:ind w:left="74"/>
              <w:rPr>
                <w:sz w:val="21"/>
                <w:szCs w:val="21"/>
              </w:rPr>
            </w:pPr>
            <w:r>
              <w:rPr>
                <w:spacing w:val="-1"/>
                <w:sz w:val="21"/>
                <w:szCs w:val="21"/>
              </w:rPr>
              <w:t>在维修和事故情况下，产生的废油由集油坑收集后，经球</w:t>
            </w:r>
          </w:p>
          <w:p w14:paraId="51D6213C">
            <w:pPr>
              <w:pStyle w:val="6"/>
              <w:spacing w:before="30" w:line="219" w:lineRule="auto"/>
              <w:ind w:left="74"/>
              <w:rPr>
                <w:sz w:val="21"/>
                <w:szCs w:val="21"/>
              </w:rPr>
            </w:pPr>
            <w:r>
              <w:rPr>
                <w:sz w:val="21"/>
                <w:szCs w:val="21"/>
              </w:rPr>
              <w:t>墨铸铁管至事故油池存放，最后抽至专用收集容器内，暂</w:t>
            </w:r>
          </w:p>
          <w:p w14:paraId="22132BFC">
            <w:pPr>
              <w:pStyle w:val="6"/>
              <w:spacing w:before="21" w:line="198" w:lineRule="auto"/>
              <w:ind w:left="223"/>
              <w:rPr>
                <w:sz w:val="21"/>
                <w:szCs w:val="21"/>
              </w:rPr>
            </w:pPr>
            <w:r>
              <w:rPr>
                <w:sz w:val="21"/>
                <w:szCs w:val="21"/>
              </w:rPr>
              <w:t>存危险废物暂存间，定期委托有资质的单位清运处置。</w:t>
            </w:r>
          </w:p>
        </w:tc>
        <w:tc>
          <w:tcPr>
            <w:tcW w:w="944" w:type="dxa"/>
            <w:vAlign w:val="top"/>
          </w:tcPr>
          <w:p w14:paraId="4A0EF371">
            <w:pPr>
              <w:spacing w:line="244" w:lineRule="auto"/>
              <w:rPr>
                <w:rFonts w:ascii="Arial"/>
                <w:sz w:val="21"/>
              </w:rPr>
            </w:pPr>
          </w:p>
          <w:p w14:paraId="48AD1122">
            <w:pPr>
              <w:pStyle w:val="6"/>
              <w:spacing w:before="68" w:line="237" w:lineRule="auto"/>
              <w:ind w:left="50" w:right="35" w:firstLine="99"/>
              <w:rPr>
                <w:sz w:val="21"/>
                <w:szCs w:val="21"/>
              </w:rPr>
            </w:pPr>
            <w:r>
              <w:rPr>
                <w:spacing w:val="3"/>
                <w:sz w:val="21"/>
                <w:szCs w:val="21"/>
              </w:rPr>
              <w:t>设计提</w:t>
            </w:r>
            <w:r>
              <w:rPr>
                <w:sz w:val="21"/>
                <w:szCs w:val="21"/>
              </w:rPr>
              <w:t xml:space="preserve">  </w:t>
            </w:r>
            <w:r>
              <w:rPr>
                <w:spacing w:val="2"/>
                <w:sz w:val="21"/>
                <w:szCs w:val="21"/>
              </w:rPr>
              <w:t>出，环评</w:t>
            </w:r>
          </w:p>
          <w:p w14:paraId="5CF18D72">
            <w:pPr>
              <w:pStyle w:val="6"/>
              <w:spacing w:line="220" w:lineRule="auto"/>
              <w:ind w:left="259"/>
              <w:rPr>
                <w:sz w:val="21"/>
                <w:szCs w:val="21"/>
              </w:rPr>
            </w:pPr>
            <w:r>
              <w:rPr>
                <w:spacing w:val="6"/>
                <w:sz w:val="21"/>
                <w:szCs w:val="21"/>
              </w:rPr>
              <w:t>补充</w:t>
            </w:r>
          </w:p>
        </w:tc>
      </w:tr>
      <w:tr w14:paraId="0131C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6" w:hRule="atLeast"/>
        </w:trPr>
        <w:tc>
          <w:tcPr>
            <w:tcW w:w="444" w:type="dxa"/>
            <w:vMerge w:val="continue"/>
            <w:tcBorders>
              <w:top w:val="nil"/>
              <w:bottom w:val="nil"/>
            </w:tcBorders>
            <w:vAlign w:val="top"/>
          </w:tcPr>
          <w:p w14:paraId="7E6943F3">
            <w:pPr>
              <w:rPr>
                <w:rFonts w:ascii="Arial"/>
                <w:sz w:val="21"/>
              </w:rPr>
            </w:pPr>
          </w:p>
        </w:tc>
        <w:tc>
          <w:tcPr>
            <w:tcW w:w="449" w:type="dxa"/>
            <w:vMerge w:val="continue"/>
            <w:tcBorders>
              <w:top w:val="nil"/>
            </w:tcBorders>
            <w:textDirection w:val="tbRlV"/>
            <w:vAlign w:val="top"/>
          </w:tcPr>
          <w:p w14:paraId="3B91FB94">
            <w:pPr>
              <w:rPr>
                <w:rFonts w:ascii="Arial"/>
                <w:sz w:val="21"/>
              </w:rPr>
            </w:pPr>
          </w:p>
        </w:tc>
        <w:tc>
          <w:tcPr>
            <w:tcW w:w="1258" w:type="dxa"/>
            <w:vAlign w:val="top"/>
          </w:tcPr>
          <w:p w14:paraId="0036AE5E">
            <w:pPr>
              <w:spacing w:line="297" w:lineRule="auto"/>
              <w:rPr>
                <w:rFonts w:ascii="Arial"/>
                <w:sz w:val="21"/>
              </w:rPr>
            </w:pPr>
          </w:p>
          <w:p w14:paraId="6282CE63">
            <w:pPr>
              <w:spacing w:line="297" w:lineRule="auto"/>
              <w:rPr>
                <w:rFonts w:ascii="Arial"/>
                <w:sz w:val="21"/>
              </w:rPr>
            </w:pPr>
          </w:p>
          <w:p w14:paraId="1CF3F3C6">
            <w:pPr>
              <w:spacing w:line="297" w:lineRule="auto"/>
              <w:rPr>
                <w:rFonts w:ascii="Arial"/>
                <w:sz w:val="21"/>
              </w:rPr>
            </w:pPr>
          </w:p>
          <w:p w14:paraId="37889B5D">
            <w:pPr>
              <w:spacing w:line="298" w:lineRule="auto"/>
              <w:rPr>
                <w:rFonts w:ascii="Arial"/>
                <w:sz w:val="21"/>
              </w:rPr>
            </w:pPr>
          </w:p>
          <w:p w14:paraId="02D7640C">
            <w:pPr>
              <w:pStyle w:val="6"/>
              <w:spacing w:before="68" w:line="220" w:lineRule="auto"/>
              <w:ind w:left="202"/>
              <w:rPr>
                <w:sz w:val="21"/>
                <w:szCs w:val="21"/>
              </w:rPr>
            </w:pPr>
            <w:r>
              <w:rPr>
                <w:spacing w:val="2"/>
                <w:sz w:val="21"/>
                <w:szCs w:val="21"/>
              </w:rPr>
              <w:t>防渗措施</w:t>
            </w:r>
          </w:p>
        </w:tc>
        <w:tc>
          <w:tcPr>
            <w:tcW w:w="5404" w:type="dxa"/>
            <w:vAlign w:val="top"/>
          </w:tcPr>
          <w:p w14:paraId="679C68AC">
            <w:pPr>
              <w:pStyle w:val="6"/>
              <w:spacing w:before="43" w:line="237" w:lineRule="auto"/>
              <w:ind w:left="74" w:right="58" w:firstLine="439"/>
              <w:jc w:val="both"/>
              <w:rPr>
                <w:sz w:val="21"/>
                <w:szCs w:val="21"/>
              </w:rPr>
            </w:pPr>
            <w:r>
              <w:rPr>
                <w:spacing w:val="-1"/>
                <w:sz w:val="21"/>
                <w:szCs w:val="21"/>
              </w:rPr>
              <w:t>本项目防渗措施主要针对升压站，项目升压站划分为</w:t>
            </w:r>
            <w:r>
              <w:rPr>
                <w:spacing w:val="12"/>
                <w:sz w:val="21"/>
                <w:szCs w:val="21"/>
              </w:rPr>
              <w:t xml:space="preserve"> </w:t>
            </w:r>
            <w:r>
              <w:rPr>
                <w:spacing w:val="-1"/>
                <w:sz w:val="21"/>
                <w:szCs w:val="21"/>
              </w:rPr>
              <w:t>重点防渗区和简单防渗区。项目升压站内的事故油池、升</w:t>
            </w:r>
            <w:r>
              <w:rPr>
                <w:spacing w:val="14"/>
                <w:sz w:val="21"/>
                <w:szCs w:val="21"/>
              </w:rPr>
              <w:t xml:space="preserve"> </w:t>
            </w:r>
            <w:r>
              <w:rPr>
                <w:sz w:val="21"/>
                <w:szCs w:val="21"/>
              </w:rPr>
              <w:t>压站卸油坑、危废暂存间作为重点防渗区。危废暂存间防</w:t>
            </w:r>
            <w:r>
              <w:rPr>
                <w:spacing w:val="10"/>
                <w:sz w:val="21"/>
                <w:szCs w:val="21"/>
              </w:rPr>
              <w:t xml:space="preserve"> </w:t>
            </w:r>
            <w:r>
              <w:rPr>
                <w:spacing w:val="1"/>
                <w:sz w:val="21"/>
                <w:szCs w:val="21"/>
              </w:rPr>
              <w:t>渗层至少1m厚黏土层(渗透系数不大于1</w:t>
            </w:r>
            <w:r>
              <w:rPr>
                <w:sz w:val="21"/>
                <w:szCs w:val="21"/>
              </w:rPr>
              <w:t>0-7cm/s),或</w:t>
            </w:r>
          </w:p>
          <w:p w14:paraId="448383AB">
            <w:pPr>
              <w:pStyle w:val="6"/>
              <w:spacing w:before="1" w:line="219" w:lineRule="auto"/>
              <w:ind w:left="113"/>
              <w:rPr>
                <w:sz w:val="21"/>
                <w:szCs w:val="21"/>
              </w:rPr>
            </w:pPr>
            <w:r>
              <w:rPr>
                <w:spacing w:val="-1"/>
                <w:sz w:val="21"/>
                <w:szCs w:val="21"/>
              </w:rPr>
              <w:t>至少2mm厚高密度聚乙烯膜等人工防渗材料(渗透系数</w:t>
            </w:r>
          </w:p>
          <w:p w14:paraId="5CB21893">
            <w:pPr>
              <w:pStyle w:val="6"/>
              <w:spacing w:before="39" w:line="216" w:lineRule="auto"/>
              <w:ind w:left="74"/>
              <w:rPr>
                <w:sz w:val="21"/>
                <w:szCs w:val="21"/>
              </w:rPr>
            </w:pPr>
            <w:r>
              <w:rPr>
                <w:spacing w:val="5"/>
                <w:sz w:val="21"/>
                <w:szCs w:val="21"/>
              </w:rPr>
              <w:t>不大于10-1</w:t>
            </w:r>
            <w:r>
              <w:rPr>
                <w:rFonts w:ascii="Calibri" w:hAnsi="Calibri" w:eastAsia="Calibri" w:cs="Calibri"/>
                <w:spacing w:val="5"/>
                <w:sz w:val="21"/>
                <w:szCs w:val="21"/>
              </w:rPr>
              <w:t>⁰</w:t>
            </w:r>
            <w:r>
              <w:rPr>
                <w:sz w:val="21"/>
                <w:szCs w:val="21"/>
              </w:rPr>
              <w:t>cm</w:t>
            </w:r>
            <w:r>
              <w:rPr>
                <w:spacing w:val="5"/>
                <w:sz w:val="21"/>
                <w:szCs w:val="21"/>
              </w:rPr>
              <w:t>/s),或其他防渗性能等效的材料。</w:t>
            </w:r>
            <w:r>
              <w:rPr>
                <w:spacing w:val="4"/>
                <w:sz w:val="21"/>
                <w:szCs w:val="21"/>
              </w:rPr>
              <w:t>事故油</w:t>
            </w:r>
          </w:p>
          <w:p w14:paraId="106EEA07">
            <w:pPr>
              <w:pStyle w:val="6"/>
              <w:tabs>
                <w:tab w:val="left" w:pos="222"/>
              </w:tabs>
              <w:spacing w:before="7" w:line="231" w:lineRule="auto"/>
              <w:ind w:left="103" w:right="219"/>
              <w:rPr>
                <w:sz w:val="21"/>
                <w:szCs w:val="21"/>
              </w:rPr>
            </w:pPr>
            <w:r>
              <w:rPr>
                <w:spacing w:val="-1"/>
                <w:sz w:val="21"/>
                <w:szCs w:val="21"/>
              </w:rPr>
              <w:t>池、集油坑按照《环境影响评价技术导则地下水环境》</w:t>
            </w:r>
            <w:r>
              <w:rPr>
                <w:spacing w:val="6"/>
                <w:sz w:val="21"/>
                <w:szCs w:val="21"/>
              </w:rPr>
              <w:t xml:space="preserve"> </w:t>
            </w:r>
            <w:r>
              <w:rPr>
                <w:sz w:val="21"/>
                <w:szCs w:val="21"/>
              </w:rPr>
              <w:tab/>
            </w:r>
            <w:r>
              <w:rPr>
                <w:sz w:val="21"/>
                <w:szCs w:val="21"/>
              </w:rPr>
              <w:t>(HJ610-2016)表7重点防渗区要求进行防渗：等效黏土</w:t>
            </w:r>
            <w:r>
              <w:rPr>
                <w:spacing w:val="15"/>
                <w:sz w:val="21"/>
                <w:szCs w:val="21"/>
              </w:rPr>
              <w:t xml:space="preserve"> </w:t>
            </w:r>
            <w:r>
              <w:rPr>
                <w:sz w:val="21"/>
                <w:szCs w:val="21"/>
              </w:rPr>
              <w:t>防渗层Mb≥6.0m,K≤1×10-7cm/s。升压站其余区域作</w:t>
            </w:r>
            <w:r>
              <w:rPr>
                <w:spacing w:val="3"/>
                <w:sz w:val="21"/>
                <w:szCs w:val="21"/>
              </w:rPr>
              <w:t xml:space="preserve">  </w:t>
            </w:r>
            <w:r>
              <w:rPr>
                <w:spacing w:val="-1"/>
                <w:sz w:val="21"/>
                <w:szCs w:val="21"/>
              </w:rPr>
              <w:t>为简单防渗区，进行地面硬化处理即可。</w:t>
            </w:r>
          </w:p>
        </w:tc>
        <w:tc>
          <w:tcPr>
            <w:tcW w:w="944" w:type="dxa"/>
            <w:vAlign w:val="top"/>
          </w:tcPr>
          <w:p w14:paraId="74663AED">
            <w:pPr>
              <w:spacing w:line="265" w:lineRule="auto"/>
              <w:rPr>
                <w:rFonts w:ascii="Arial"/>
                <w:sz w:val="21"/>
              </w:rPr>
            </w:pPr>
          </w:p>
          <w:p w14:paraId="3DCA8515">
            <w:pPr>
              <w:spacing w:line="265" w:lineRule="auto"/>
              <w:rPr>
                <w:rFonts w:ascii="Arial"/>
                <w:sz w:val="21"/>
              </w:rPr>
            </w:pPr>
          </w:p>
          <w:p w14:paraId="7B2C4126">
            <w:pPr>
              <w:spacing w:line="265" w:lineRule="auto"/>
              <w:rPr>
                <w:rFonts w:ascii="Arial"/>
                <w:sz w:val="21"/>
              </w:rPr>
            </w:pPr>
          </w:p>
          <w:p w14:paraId="718B3524">
            <w:pPr>
              <w:spacing w:line="265" w:lineRule="auto"/>
              <w:rPr>
                <w:rFonts w:ascii="Arial"/>
                <w:sz w:val="21"/>
              </w:rPr>
            </w:pPr>
          </w:p>
          <w:p w14:paraId="0B9098C1">
            <w:pPr>
              <w:pStyle w:val="6"/>
              <w:spacing w:before="68" w:line="220" w:lineRule="auto"/>
              <w:ind w:left="149"/>
              <w:rPr>
                <w:sz w:val="21"/>
                <w:szCs w:val="21"/>
              </w:rPr>
            </w:pPr>
            <w:r>
              <w:rPr>
                <w:spacing w:val="-2"/>
                <w:sz w:val="21"/>
                <w:szCs w:val="21"/>
              </w:rPr>
              <w:t>环评要</w:t>
            </w:r>
          </w:p>
          <w:p w14:paraId="5D30777E">
            <w:pPr>
              <w:pStyle w:val="6"/>
              <w:spacing w:before="10" w:line="221" w:lineRule="auto"/>
              <w:ind w:left="359"/>
              <w:rPr>
                <w:sz w:val="21"/>
                <w:szCs w:val="21"/>
              </w:rPr>
            </w:pPr>
            <w:r>
              <w:rPr>
                <w:sz w:val="21"/>
                <w:szCs w:val="21"/>
              </w:rPr>
              <w:t>求</w:t>
            </w:r>
          </w:p>
        </w:tc>
      </w:tr>
      <w:tr w14:paraId="3F654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444" w:type="dxa"/>
            <w:vMerge w:val="continue"/>
            <w:tcBorders>
              <w:top w:val="nil"/>
            </w:tcBorders>
            <w:vAlign w:val="top"/>
          </w:tcPr>
          <w:p w14:paraId="58264189">
            <w:pPr>
              <w:rPr>
                <w:rFonts w:ascii="Arial"/>
                <w:sz w:val="21"/>
              </w:rPr>
            </w:pPr>
          </w:p>
        </w:tc>
        <w:tc>
          <w:tcPr>
            <w:tcW w:w="1707" w:type="dxa"/>
            <w:gridSpan w:val="2"/>
            <w:vAlign w:val="top"/>
          </w:tcPr>
          <w:p w14:paraId="4D60DF41">
            <w:pPr>
              <w:pStyle w:val="6"/>
              <w:spacing w:before="119" w:line="221" w:lineRule="auto"/>
              <w:ind w:left="630"/>
              <w:rPr>
                <w:sz w:val="21"/>
                <w:szCs w:val="21"/>
              </w:rPr>
            </w:pPr>
            <w:r>
              <w:rPr>
                <w:spacing w:val="-3"/>
                <w:sz w:val="21"/>
                <w:szCs w:val="21"/>
              </w:rPr>
              <w:t>绿化</w:t>
            </w:r>
          </w:p>
        </w:tc>
        <w:tc>
          <w:tcPr>
            <w:tcW w:w="5404" w:type="dxa"/>
            <w:vAlign w:val="top"/>
          </w:tcPr>
          <w:p w14:paraId="23C76207">
            <w:pPr>
              <w:pStyle w:val="6"/>
              <w:spacing w:before="118" w:line="219" w:lineRule="auto"/>
              <w:ind w:left="1543"/>
              <w:rPr>
                <w:sz w:val="21"/>
                <w:szCs w:val="21"/>
              </w:rPr>
            </w:pPr>
            <w:r>
              <w:rPr>
                <w:spacing w:val="11"/>
                <w:sz w:val="21"/>
                <w:szCs w:val="21"/>
              </w:rPr>
              <w:t>升压站内绿化面积500m²</w:t>
            </w:r>
          </w:p>
        </w:tc>
        <w:tc>
          <w:tcPr>
            <w:tcW w:w="944" w:type="dxa"/>
            <w:vAlign w:val="top"/>
          </w:tcPr>
          <w:p w14:paraId="13E41EEB">
            <w:pPr>
              <w:pStyle w:val="6"/>
              <w:spacing w:before="124" w:line="224" w:lineRule="auto"/>
              <w:ind w:left="409"/>
              <w:rPr>
                <w:sz w:val="21"/>
                <w:szCs w:val="21"/>
              </w:rPr>
            </w:pPr>
            <w:r>
              <w:rPr>
                <w:sz w:val="21"/>
                <w:szCs w:val="21"/>
              </w:rPr>
              <w:t>/</w:t>
            </w:r>
          </w:p>
        </w:tc>
      </w:tr>
    </w:tbl>
    <w:p w14:paraId="0A6FA57C">
      <w:pPr>
        <w:spacing w:before="164" w:line="219" w:lineRule="auto"/>
        <w:ind w:left="94"/>
        <w:rPr>
          <w:rFonts w:ascii="宋体" w:hAnsi="宋体" w:eastAsia="宋体" w:cs="宋体"/>
          <w:sz w:val="28"/>
          <w:szCs w:val="28"/>
        </w:rPr>
      </w:pPr>
      <w:r>
        <w:rPr>
          <w:rFonts w:ascii="宋体" w:hAnsi="宋体" w:eastAsia="宋体" w:cs="宋体"/>
          <w:spacing w:val="1"/>
          <w:sz w:val="28"/>
          <w:szCs w:val="28"/>
        </w:rPr>
        <w:t>3.2升压站总体布置</w:t>
      </w:r>
    </w:p>
    <w:p w14:paraId="1EE62E35">
      <w:pPr>
        <w:spacing w:before="207" w:line="363" w:lineRule="auto"/>
        <w:ind w:left="94" w:right="109" w:firstLine="490"/>
        <w:jc w:val="both"/>
        <w:rPr>
          <w:rFonts w:ascii="宋体" w:hAnsi="宋体" w:eastAsia="宋体" w:cs="宋体"/>
          <w:sz w:val="24"/>
          <w:szCs w:val="24"/>
        </w:rPr>
      </w:pPr>
      <w:r>
        <w:rPr>
          <w:rFonts w:ascii="宋体" w:hAnsi="宋体" w:eastAsia="宋体" w:cs="宋体"/>
          <w:spacing w:val="-3"/>
          <w:sz w:val="24"/>
          <w:szCs w:val="24"/>
        </w:rPr>
        <w:t>升压站西南侧布置综合楼及辅助用房，东侧布置生产预制舱、主变、事故油</w:t>
      </w:r>
      <w:r>
        <w:rPr>
          <w:rFonts w:ascii="宋体" w:hAnsi="宋体" w:eastAsia="宋体" w:cs="宋体"/>
          <w:spacing w:val="12"/>
          <w:sz w:val="24"/>
          <w:szCs w:val="24"/>
        </w:rPr>
        <w:t xml:space="preserve"> </w:t>
      </w:r>
      <w:r>
        <w:rPr>
          <w:rFonts w:ascii="宋体" w:hAnsi="宋体" w:eastAsia="宋体" w:cs="宋体"/>
          <w:sz w:val="24"/>
          <w:szCs w:val="24"/>
        </w:rPr>
        <w:t>池、无功装置及室外</w:t>
      </w:r>
      <w:r>
        <w:rPr>
          <w:rFonts w:ascii="Times New Roman" w:hAnsi="Times New Roman" w:eastAsia="Times New Roman" w:cs="Times New Roman"/>
          <w:sz w:val="24"/>
          <w:szCs w:val="24"/>
        </w:rPr>
        <w:t>GIS</w:t>
      </w:r>
      <w:r>
        <w:rPr>
          <w:rFonts w:ascii="宋体" w:hAnsi="宋体" w:eastAsia="宋体" w:cs="宋体"/>
          <w:sz w:val="24"/>
          <w:szCs w:val="24"/>
        </w:rPr>
        <w:t>。各电气设备之间通过电缆沟连接。生活区四周适当绿</w:t>
      </w:r>
      <w:r>
        <w:rPr>
          <w:rFonts w:ascii="宋体" w:hAnsi="宋体" w:eastAsia="宋体" w:cs="宋体"/>
          <w:spacing w:val="1"/>
          <w:sz w:val="24"/>
          <w:szCs w:val="24"/>
        </w:rPr>
        <w:t xml:space="preserve"> </w:t>
      </w:r>
      <w:r>
        <w:rPr>
          <w:rFonts w:ascii="宋体" w:hAnsi="宋体" w:eastAsia="宋体" w:cs="宋体"/>
          <w:spacing w:val="-3"/>
          <w:sz w:val="24"/>
          <w:szCs w:val="24"/>
        </w:rPr>
        <w:t>化，升压站四周设2.3</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高砖砌围墙。</w:t>
      </w:r>
    </w:p>
    <w:p w14:paraId="0B90990A">
      <w:pPr>
        <w:spacing w:before="113" w:line="221" w:lineRule="auto"/>
        <w:ind w:left="94"/>
        <w:rPr>
          <w:rFonts w:ascii="宋体" w:hAnsi="宋体" w:eastAsia="宋体" w:cs="宋体"/>
          <w:sz w:val="28"/>
          <w:szCs w:val="28"/>
        </w:rPr>
      </w:pPr>
      <w:r>
        <w:rPr>
          <w:rFonts w:ascii="宋体" w:hAnsi="宋体" w:eastAsia="宋体" w:cs="宋体"/>
          <w:spacing w:val="-1"/>
          <w:sz w:val="28"/>
          <w:szCs w:val="28"/>
        </w:rPr>
        <w:t>3.3</w:t>
      </w:r>
      <w:r>
        <w:rPr>
          <w:rFonts w:ascii="宋体" w:hAnsi="宋体" w:eastAsia="宋体" w:cs="宋体"/>
          <w:b/>
          <w:bCs/>
          <w:spacing w:val="-1"/>
          <w:sz w:val="28"/>
          <w:szCs w:val="28"/>
        </w:rPr>
        <w:t>升压站主要设备</w:t>
      </w:r>
    </w:p>
    <w:p w14:paraId="7A9F83B8">
      <w:pPr>
        <w:spacing w:before="206" w:line="219" w:lineRule="auto"/>
        <w:ind w:left="605"/>
        <w:rPr>
          <w:rFonts w:ascii="宋体" w:hAnsi="宋体" w:eastAsia="宋体" w:cs="宋体"/>
          <w:sz w:val="24"/>
          <w:szCs w:val="24"/>
        </w:rPr>
      </w:pPr>
      <w:r>
        <w:rPr>
          <w:rFonts w:ascii="宋体" w:hAnsi="宋体" w:eastAsia="宋体" w:cs="宋体"/>
          <w:spacing w:val="-4"/>
          <w:sz w:val="24"/>
          <w:szCs w:val="24"/>
        </w:rPr>
        <w:t>升压站主要设备清单详见表3.3-1。</w:t>
      </w:r>
    </w:p>
    <w:p w14:paraId="4C15C0A2">
      <w:pPr>
        <w:spacing w:before="302" w:line="205" w:lineRule="auto"/>
        <w:ind w:left="2668"/>
        <w:rPr>
          <w:rFonts w:ascii="宋体" w:hAnsi="宋体" w:eastAsia="宋体" w:cs="宋体"/>
          <w:sz w:val="25"/>
          <w:szCs w:val="25"/>
        </w:rPr>
      </w:pPr>
      <w:r>
        <w:rPr>
          <w:rFonts w:ascii="宋体" w:hAnsi="宋体" w:eastAsia="宋体" w:cs="宋体"/>
          <w:b/>
          <w:bCs/>
          <w:spacing w:val="-4"/>
          <w:sz w:val="25"/>
          <w:szCs w:val="25"/>
        </w:rPr>
        <w:t>表3.3-1升压站主要设备清单</w:t>
      </w: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3"/>
        <w:gridCol w:w="1818"/>
        <w:gridCol w:w="3366"/>
        <w:gridCol w:w="989"/>
        <w:gridCol w:w="1183"/>
      </w:tblGrid>
      <w:tr w14:paraId="40693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163" w:type="dxa"/>
            <w:vAlign w:val="top"/>
          </w:tcPr>
          <w:p w14:paraId="69CDED17">
            <w:pPr>
              <w:pStyle w:val="6"/>
              <w:spacing w:before="45" w:line="201" w:lineRule="auto"/>
              <w:ind w:left="364"/>
              <w:rPr>
                <w:sz w:val="21"/>
                <w:szCs w:val="21"/>
              </w:rPr>
            </w:pPr>
            <w:r>
              <w:rPr>
                <w:spacing w:val="6"/>
                <w:sz w:val="21"/>
                <w:szCs w:val="21"/>
              </w:rPr>
              <w:t>序号</w:t>
            </w:r>
          </w:p>
        </w:tc>
        <w:tc>
          <w:tcPr>
            <w:tcW w:w="1818" w:type="dxa"/>
            <w:vAlign w:val="top"/>
          </w:tcPr>
          <w:p w14:paraId="63947834">
            <w:pPr>
              <w:pStyle w:val="6"/>
              <w:spacing w:before="45" w:line="201" w:lineRule="auto"/>
              <w:ind w:left="691"/>
              <w:rPr>
                <w:sz w:val="21"/>
                <w:szCs w:val="21"/>
              </w:rPr>
            </w:pPr>
            <w:r>
              <w:rPr>
                <w:spacing w:val="5"/>
                <w:sz w:val="21"/>
                <w:szCs w:val="21"/>
              </w:rPr>
              <w:t>名称</w:t>
            </w:r>
          </w:p>
        </w:tc>
        <w:tc>
          <w:tcPr>
            <w:tcW w:w="3366" w:type="dxa"/>
            <w:vAlign w:val="top"/>
          </w:tcPr>
          <w:p w14:paraId="74727316">
            <w:pPr>
              <w:pStyle w:val="6"/>
              <w:spacing w:before="43" w:line="203" w:lineRule="auto"/>
              <w:ind w:left="1253"/>
              <w:rPr>
                <w:sz w:val="21"/>
                <w:szCs w:val="21"/>
              </w:rPr>
            </w:pPr>
            <w:r>
              <w:rPr>
                <w:spacing w:val="2"/>
                <w:sz w:val="21"/>
                <w:szCs w:val="21"/>
              </w:rPr>
              <w:t>型号规格</w:t>
            </w:r>
          </w:p>
        </w:tc>
        <w:tc>
          <w:tcPr>
            <w:tcW w:w="989" w:type="dxa"/>
            <w:vAlign w:val="top"/>
          </w:tcPr>
          <w:p w14:paraId="0DE09677">
            <w:pPr>
              <w:pStyle w:val="6"/>
              <w:spacing w:before="44" w:line="202" w:lineRule="auto"/>
              <w:ind w:left="277"/>
              <w:rPr>
                <w:sz w:val="21"/>
                <w:szCs w:val="21"/>
              </w:rPr>
            </w:pPr>
            <w:r>
              <w:rPr>
                <w:spacing w:val="-3"/>
                <w:sz w:val="21"/>
                <w:szCs w:val="21"/>
              </w:rPr>
              <w:t>单位</w:t>
            </w:r>
          </w:p>
        </w:tc>
        <w:tc>
          <w:tcPr>
            <w:tcW w:w="1183" w:type="dxa"/>
            <w:vAlign w:val="top"/>
          </w:tcPr>
          <w:p w14:paraId="2F84A618">
            <w:pPr>
              <w:pStyle w:val="6"/>
              <w:spacing w:before="43" w:line="203" w:lineRule="auto"/>
              <w:ind w:left="378"/>
              <w:rPr>
                <w:sz w:val="21"/>
                <w:szCs w:val="21"/>
              </w:rPr>
            </w:pPr>
            <w:r>
              <w:rPr>
                <w:spacing w:val="-3"/>
                <w:sz w:val="21"/>
                <w:szCs w:val="21"/>
              </w:rPr>
              <w:t>数量</w:t>
            </w:r>
          </w:p>
        </w:tc>
      </w:tr>
      <w:tr w14:paraId="06A39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8519" w:type="dxa"/>
            <w:gridSpan w:val="5"/>
            <w:vAlign w:val="top"/>
          </w:tcPr>
          <w:p w14:paraId="2A677B64">
            <w:pPr>
              <w:pStyle w:val="6"/>
              <w:spacing w:before="30" w:line="192" w:lineRule="auto"/>
              <w:ind w:left="3654"/>
              <w:rPr>
                <w:sz w:val="21"/>
                <w:szCs w:val="21"/>
              </w:rPr>
            </w:pPr>
            <w:r>
              <w:rPr>
                <w:spacing w:val="-2"/>
                <w:sz w:val="21"/>
                <w:szCs w:val="21"/>
              </w:rPr>
              <w:t>220kV升压站</w:t>
            </w:r>
          </w:p>
        </w:tc>
      </w:tr>
      <w:tr w14:paraId="0C3B3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63" w:type="dxa"/>
            <w:vAlign w:val="top"/>
          </w:tcPr>
          <w:p w14:paraId="0D033D54">
            <w:pPr>
              <w:pStyle w:val="6"/>
              <w:spacing w:before="34" w:line="189" w:lineRule="auto"/>
              <w:ind w:left="364"/>
              <w:rPr>
                <w:sz w:val="21"/>
                <w:szCs w:val="21"/>
              </w:rPr>
            </w:pPr>
            <w:r>
              <w:rPr>
                <w:spacing w:val="-19"/>
                <w:sz w:val="21"/>
                <w:szCs w:val="21"/>
              </w:rPr>
              <w:t>(</w:t>
            </w:r>
            <w:r>
              <w:rPr>
                <w:spacing w:val="-48"/>
                <w:sz w:val="21"/>
                <w:szCs w:val="21"/>
              </w:rPr>
              <w:t xml:space="preserve"> </w:t>
            </w:r>
            <w:r>
              <w:rPr>
                <w:spacing w:val="-19"/>
                <w:sz w:val="21"/>
                <w:szCs w:val="21"/>
              </w:rPr>
              <w:t>一</w:t>
            </w:r>
            <w:r>
              <w:rPr>
                <w:spacing w:val="-51"/>
                <w:sz w:val="21"/>
                <w:szCs w:val="21"/>
              </w:rPr>
              <w:t xml:space="preserve"> </w:t>
            </w:r>
            <w:r>
              <w:rPr>
                <w:spacing w:val="-19"/>
                <w:sz w:val="21"/>
                <w:szCs w:val="21"/>
              </w:rPr>
              <w:t>)</w:t>
            </w:r>
          </w:p>
        </w:tc>
        <w:tc>
          <w:tcPr>
            <w:tcW w:w="1818" w:type="dxa"/>
            <w:vAlign w:val="top"/>
          </w:tcPr>
          <w:p w14:paraId="28329A1D">
            <w:pPr>
              <w:pStyle w:val="6"/>
              <w:spacing w:before="31" w:line="191" w:lineRule="auto"/>
              <w:ind w:left="421"/>
              <w:rPr>
                <w:sz w:val="21"/>
                <w:szCs w:val="21"/>
              </w:rPr>
            </w:pPr>
            <w:r>
              <w:rPr>
                <w:spacing w:val="4"/>
                <w:sz w:val="21"/>
                <w:szCs w:val="21"/>
              </w:rPr>
              <w:t>220</w:t>
            </w:r>
            <w:r>
              <w:rPr>
                <w:sz w:val="21"/>
                <w:szCs w:val="21"/>
              </w:rPr>
              <w:t>kV</w:t>
            </w:r>
            <w:r>
              <w:rPr>
                <w:spacing w:val="4"/>
                <w:sz w:val="21"/>
                <w:szCs w:val="21"/>
              </w:rPr>
              <w:t>间隔</w:t>
            </w:r>
          </w:p>
        </w:tc>
        <w:tc>
          <w:tcPr>
            <w:tcW w:w="3366" w:type="dxa"/>
            <w:vAlign w:val="top"/>
          </w:tcPr>
          <w:p w14:paraId="395F8309">
            <w:pPr>
              <w:rPr>
                <w:rFonts w:ascii="Arial"/>
                <w:sz w:val="21"/>
              </w:rPr>
            </w:pPr>
          </w:p>
        </w:tc>
        <w:tc>
          <w:tcPr>
            <w:tcW w:w="989" w:type="dxa"/>
            <w:vAlign w:val="top"/>
          </w:tcPr>
          <w:p w14:paraId="1439C559">
            <w:pPr>
              <w:rPr>
                <w:rFonts w:ascii="Arial"/>
                <w:sz w:val="21"/>
              </w:rPr>
            </w:pPr>
          </w:p>
        </w:tc>
        <w:tc>
          <w:tcPr>
            <w:tcW w:w="1183" w:type="dxa"/>
            <w:vAlign w:val="top"/>
          </w:tcPr>
          <w:p w14:paraId="78E13F5F">
            <w:pPr>
              <w:rPr>
                <w:rFonts w:ascii="Arial"/>
                <w:sz w:val="21"/>
              </w:rPr>
            </w:pPr>
          </w:p>
        </w:tc>
      </w:tr>
      <w:tr w14:paraId="5247B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163" w:type="dxa"/>
            <w:vAlign w:val="top"/>
          </w:tcPr>
          <w:p w14:paraId="2C2456A6">
            <w:pPr>
              <w:pStyle w:val="6"/>
              <w:spacing w:before="192" w:line="241" w:lineRule="auto"/>
              <w:ind w:left="514"/>
              <w:rPr>
                <w:sz w:val="21"/>
                <w:szCs w:val="21"/>
              </w:rPr>
            </w:pPr>
            <w:r>
              <w:rPr>
                <w:sz w:val="21"/>
                <w:szCs w:val="21"/>
              </w:rPr>
              <w:t>1</w:t>
            </w:r>
          </w:p>
        </w:tc>
        <w:tc>
          <w:tcPr>
            <w:tcW w:w="1818" w:type="dxa"/>
            <w:vAlign w:val="top"/>
          </w:tcPr>
          <w:p w14:paraId="4DCC756C">
            <w:pPr>
              <w:pStyle w:val="6"/>
              <w:spacing w:before="41" w:line="214" w:lineRule="auto"/>
              <w:ind w:left="481" w:right="166" w:hanging="320"/>
              <w:rPr>
                <w:sz w:val="21"/>
                <w:szCs w:val="21"/>
              </w:rPr>
            </w:pPr>
            <w:r>
              <w:rPr>
                <w:spacing w:val="1"/>
                <w:sz w:val="21"/>
                <w:szCs w:val="21"/>
              </w:rPr>
              <w:t>220</w:t>
            </w:r>
            <w:r>
              <w:rPr>
                <w:sz w:val="21"/>
                <w:szCs w:val="21"/>
              </w:rPr>
              <w:t>kV</w:t>
            </w:r>
            <w:r>
              <w:rPr>
                <w:spacing w:val="1"/>
                <w:sz w:val="21"/>
                <w:szCs w:val="21"/>
              </w:rPr>
              <w:t>线路~变压</w:t>
            </w:r>
            <w:r>
              <w:rPr>
                <w:sz w:val="21"/>
                <w:szCs w:val="21"/>
              </w:rPr>
              <w:t xml:space="preserve"> </w:t>
            </w:r>
            <w:r>
              <w:rPr>
                <w:spacing w:val="4"/>
                <w:sz w:val="21"/>
                <w:szCs w:val="21"/>
              </w:rPr>
              <w:t>器组间隔</w:t>
            </w:r>
          </w:p>
        </w:tc>
        <w:tc>
          <w:tcPr>
            <w:tcW w:w="3366" w:type="dxa"/>
            <w:vAlign w:val="top"/>
          </w:tcPr>
          <w:p w14:paraId="62C4CAE1">
            <w:pPr>
              <w:pStyle w:val="6"/>
              <w:spacing w:before="168" w:line="216" w:lineRule="auto"/>
              <w:ind w:left="314"/>
              <w:rPr>
                <w:sz w:val="21"/>
                <w:szCs w:val="21"/>
              </w:rPr>
            </w:pPr>
            <w:r>
              <w:rPr>
                <w:spacing w:val="-1"/>
                <w:sz w:val="21"/>
                <w:szCs w:val="21"/>
              </w:rPr>
              <w:t>220kVGIS,252kV,2500A,50kVA</w:t>
            </w:r>
          </w:p>
        </w:tc>
        <w:tc>
          <w:tcPr>
            <w:tcW w:w="989" w:type="dxa"/>
            <w:vAlign w:val="top"/>
          </w:tcPr>
          <w:p w14:paraId="584A286F">
            <w:pPr>
              <w:pStyle w:val="6"/>
              <w:spacing w:before="172" w:line="221" w:lineRule="auto"/>
              <w:ind w:left="277"/>
              <w:rPr>
                <w:sz w:val="21"/>
                <w:szCs w:val="21"/>
              </w:rPr>
            </w:pPr>
            <w:r>
              <w:rPr>
                <w:spacing w:val="8"/>
                <w:sz w:val="21"/>
                <w:szCs w:val="21"/>
              </w:rPr>
              <w:t>间隔</w:t>
            </w:r>
          </w:p>
        </w:tc>
        <w:tc>
          <w:tcPr>
            <w:tcW w:w="1183" w:type="dxa"/>
            <w:vAlign w:val="top"/>
          </w:tcPr>
          <w:p w14:paraId="0CE80F46">
            <w:pPr>
              <w:pStyle w:val="6"/>
              <w:spacing w:before="192" w:line="241" w:lineRule="auto"/>
              <w:ind w:left="529"/>
              <w:rPr>
                <w:sz w:val="21"/>
                <w:szCs w:val="21"/>
              </w:rPr>
            </w:pPr>
            <w:r>
              <w:rPr>
                <w:sz w:val="21"/>
                <w:szCs w:val="21"/>
              </w:rPr>
              <w:t>1</w:t>
            </w:r>
          </w:p>
        </w:tc>
      </w:tr>
      <w:tr w14:paraId="0FDCD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163" w:type="dxa"/>
            <w:vAlign w:val="top"/>
          </w:tcPr>
          <w:p w14:paraId="71B8E462">
            <w:pPr>
              <w:pStyle w:val="6"/>
              <w:spacing w:before="47" w:line="203" w:lineRule="auto"/>
              <w:ind w:left="364"/>
              <w:rPr>
                <w:sz w:val="21"/>
                <w:szCs w:val="21"/>
              </w:rPr>
            </w:pPr>
            <w:r>
              <w:rPr>
                <w:spacing w:val="15"/>
                <w:sz w:val="21"/>
                <w:szCs w:val="21"/>
              </w:rPr>
              <w:t>(二)</w:t>
            </w:r>
          </w:p>
        </w:tc>
        <w:tc>
          <w:tcPr>
            <w:tcW w:w="1818" w:type="dxa"/>
            <w:vAlign w:val="top"/>
          </w:tcPr>
          <w:p w14:paraId="71FF6DA4">
            <w:pPr>
              <w:pStyle w:val="6"/>
              <w:spacing w:before="43" w:line="206" w:lineRule="auto"/>
              <w:ind w:left="212"/>
              <w:rPr>
                <w:sz w:val="21"/>
                <w:szCs w:val="21"/>
              </w:rPr>
            </w:pPr>
            <w:r>
              <w:rPr>
                <w:spacing w:val="2"/>
                <w:sz w:val="21"/>
                <w:szCs w:val="21"/>
              </w:rPr>
              <w:t>220</w:t>
            </w:r>
            <w:r>
              <w:rPr>
                <w:sz w:val="21"/>
                <w:szCs w:val="21"/>
              </w:rPr>
              <w:t>kV</w:t>
            </w:r>
            <w:r>
              <w:rPr>
                <w:spacing w:val="2"/>
                <w:sz w:val="21"/>
                <w:szCs w:val="21"/>
              </w:rPr>
              <w:t>户外设备</w:t>
            </w:r>
          </w:p>
        </w:tc>
        <w:tc>
          <w:tcPr>
            <w:tcW w:w="3366" w:type="dxa"/>
            <w:vAlign w:val="top"/>
          </w:tcPr>
          <w:p w14:paraId="647D8A6B">
            <w:pPr>
              <w:rPr>
                <w:rFonts w:ascii="Arial"/>
                <w:sz w:val="21"/>
              </w:rPr>
            </w:pPr>
          </w:p>
        </w:tc>
        <w:tc>
          <w:tcPr>
            <w:tcW w:w="989" w:type="dxa"/>
            <w:vAlign w:val="top"/>
          </w:tcPr>
          <w:p w14:paraId="45647198">
            <w:pPr>
              <w:rPr>
                <w:rFonts w:ascii="Arial"/>
                <w:sz w:val="21"/>
              </w:rPr>
            </w:pPr>
          </w:p>
        </w:tc>
        <w:tc>
          <w:tcPr>
            <w:tcW w:w="1183" w:type="dxa"/>
            <w:vAlign w:val="top"/>
          </w:tcPr>
          <w:p w14:paraId="5F074640">
            <w:pPr>
              <w:rPr>
                <w:rFonts w:ascii="Arial"/>
                <w:sz w:val="21"/>
              </w:rPr>
            </w:pPr>
          </w:p>
        </w:tc>
      </w:tr>
      <w:tr w14:paraId="060C0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63" w:type="dxa"/>
            <w:vAlign w:val="top"/>
          </w:tcPr>
          <w:p w14:paraId="348CBC2C">
            <w:pPr>
              <w:pStyle w:val="6"/>
              <w:spacing w:before="56" w:line="169" w:lineRule="auto"/>
              <w:ind w:left="514"/>
              <w:rPr>
                <w:sz w:val="21"/>
                <w:szCs w:val="21"/>
              </w:rPr>
            </w:pPr>
            <w:r>
              <w:rPr>
                <w:sz w:val="21"/>
                <w:szCs w:val="21"/>
              </w:rPr>
              <w:t>1</w:t>
            </w:r>
          </w:p>
        </w:tc>
        <w:tc>
          <w:tcPr>
            <w:tcW w:w="1818" w:type="dxa"/>
            <w:vAlign w:val="top"/>
          </w:tcPr>
          <w:p w14:paraId="0AFEFD84">
            <w:pPr>
              <w:pStyle w:val="6"/>
              <w:spacing w:before="35" w:line="188" w:lineRule="auto"/>
              <w:ind w:left="271"/>
              <w:rPr>
                <w:sz w:val="21"/>
                <w:szCs w:val="21"/>
              </w:rPr>
            </w:pPr>
            <w:r>
              <w:rPr>
                <w:spacing w:val="-2"/>
                <w:sz w:val="21"/>
                <w:szCs w:val="21"/>
              </w:rPr>
              <w:t>氧化锌避雷器</w:t>
            </w:r>
          </w:p>
        </w:tc>
        <w:tc>
          <w:tcPr>
            <w:tcW w:w="3366" w:type="dxa"/>
            <w:vAlign w:val="top"/>
          </w:tcPr>
          <w:p w14:paraId="0331C5AA">
            <w:pPr>
              <w:pStyle w:val="6"/>
              <w:spacing w:before="31" w:line="191" w:lineRule="auto"/>
              <w:ind w:left="203"/>
              <w:rPr>
                <w:sz w:val="21"/>
                <w:szCs w:val="21"/>
              </w:rPr>
            </w:pPr>
            <w:r>
              <w:rPr>
                <w:spacing w:val="-1"/>
                <w:sz w:val="21"/>
                <w:szCs w:val="21"/>
              </w:rPr>
              <w:t>HY10W-216/562GY,附放电记录仪</w:t>
            </w:r>
          </w:p>
        </w:tc>
        <w:tc>
          <w:tcPr>
            <w:tcW w:w="989" w:type="dxa"/>
            <w:vAlign w:val="top"/>
          </w:tcPr>
          <w:p w14:paraId="38944FBB">
            <w:pPr>
              <w:pStyle w:val="6"/>
              <w:spacing w:before="38" w:line="185" w:lineRule="auto"/>
              <w:ind w:left="387"/>
              <w:rPr>
                <w:sz w:val="21"/>
                <w:szCs w:val="21"/>
              </w:rPr>
            </w:pPr>
            <w:r>
              <w:rPr>
                <w:sz w:val="21"/>
                <w:szCs w:val="21"/>
              </w:rPr>
              <w:t>只</w:t>
            </w:r>
          </w:p>
        </w:tc>
        <w:tc>
          <w:tcPr>
            <w:tcW w:w="1183" w:type="dxa"/>
            <w:vAlign w:val="top"/>
          </w:tcPr>
          <w:p w14:paraId="3BFB6828">
            <w:pPr>
              <w:pStyle w:val="6"/>
              <w:spacing w:before="56" w:line="169" w:lineRule="auto"/>
              <w:ind w:left="529"/>
              <w:rPr>
                <w:sz w:val="21"/>
                <w:szCs w:val="21"/>
              </w:rPr>
            </w:pPr>
            <w:r>
              <w:rPr>
                <w:sz w:val="21"/>
                <w:szCs w:val="21"/>
              </w:rPr>
              <w:t>3</w:t>
            </w:r>
          </w:p>
        </w:tc>
      </w:tr>
      <w:tr w14:paraId="290BD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163" w:type="dxa"/>
            <w:vAlign w:val="top"/>
          </w:tcPr>
          <w:p w14:paraId="7BFBDA64">
            <w:pPr>
              <w:pStyle w:val="6"/>
              <w:spacing w:before="67" w:line="177" w:lineRule="auto"/>
              <w:ind w:left="514"/>
              <w:rPr>
                <w:sz w:val="21"/>
                <w:szCs w:val="21"/>
              </w:rPr>
            </w:pPr>
            <w:r>
              <w:rPr>
                <w:sz w:val="21"/>
                <w:szCs w:val="21"/>
              </w:rPr>
              <w:t>2</w:t>
            </w:r>
          </w:p>
        </w:tc>
        <w:tc>
          <w:tcPr>
            <w:tcW w:w="1818" w:type="dxa"/>
            <w:vAlign w:val="top"/>
          </w:tcPr>
          <w:p w14:paraId="503118D4">
            <w:pPr>
              <w:pStyle w:val="6"/>
              <w:spacing w:before="46" w:line="196" w:lineRule="auto"/>
              <w:ind w:left="271"/>
              <w:rPr>
                <w:sz w:val="21"/>
                <w:szCs w:val="21"/>
              </w:rPr>
            </w:pPr>
            <w:r>
              <w:rPr>
                <w:spacing w:val="-2"/>
                <w:sz w:val="21"/>
                <w:szCs w:val="21"/>
              </w:rPr>
              <w:t>氧化锌避雷器</w:t>
            </w:r>
          </w:p>
        </w:tc>
        <w:tc>
          <w:tcPr>
            <w:tcW w:w="3366" w:type="dxa"/>
            <w:vAlign w:val="top"/>
          </w:tcPr>
          <w:p w14:paraId="404C814E">
            <w:pPr>
              <w:pStyle w:val="6"/>
              <w:spacing w:before="43" w:line="198" w:lineRule="auto"/>
              <w:ind w:left="203"/>
              <w:rPr>
                <w:sz w:val="21"/>
                <w:szCs w:val="21"/>
              </w:rPr>
            </w:pPr>
            <w:r>
              <w:rPr>
                <w:spacing w:val="-1"/>
                <w:sz w:val="21"/>
                <w:szCs w:val="21"/>
              </w:rPr>
              <w:t>HY10W-204/532GY,附放电记录仪</w:t>
            </w:r>
          </w:p>
        </w:tc>
        <w:tc>
          <w:tcPr>
            <w:tcW w:w="989" w:type="dxa"/>
            <w:vAlign w:val="top"/>
          </w:tcPr>
          <w:p w14:paraId="68A0AA3B">
            <w:pPr>
              <w:pStyle w:val="6"/>
              <w:spacing w:before="49" w:line="193" w:lineRule="auto"/>
              <w:ind w:left="387"/>
              <w:rPr>
                <w:sz w:val="21"/>
                <w:szCs w:val="21"/>
              </w:rPr>
            </w:pPr>
            <w:r>
              <w:rPr>
                <w:sz w:val="21"/>
                <w:szCs w:val="21"/>
              </w:rPr>
              <w:t>只</w:t>
            </w:r>
          </w:p>
        </w:tc>
        <w:tc>
          <w:tcPr>
            <w:tcW w:w="1183" w:type="dxa"/>
            <w:vAlign w:val="top"/>
          </w:tcPr>
          <w:p w14:paraId="5EDA3583">
            <w:pPr>
              <w:pStyle w:val="6"/>
              <w:spacing w:before="67" w:line="177" w:lineRule="auto"/>
              <w:ind w:left="529"/>
              <w:rPr>
                <w:sz w:val="21"/>
                <w:szCs w:val="21"/>
              </w:rPr>
            </w:pPr>
            <w:r>
              <w:rPr>
                <w:sz w:val="21"/>
                <w:szCs w:val="21"/>
              </w:rPr>
              <w:t>3</w:t>
            </w:r>
          </w:p>
        </w:tc>
      </w:tr>
      <w:tr w14:paraId="65210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163" w:type="dxa"/>
            <w:vAlign w:val="top"/>
          </w:tcPr>
          <w:p w14:paraId="10F60676">
            <w:pPr>
              <w:pStyle w:val="6"/>
              <w:spacing w:before="58" w:line="176" w:lineRule="auto"/>
              <w:ind w:left="514"/>
              <w:rPr>
                <w:sz w:val="21"/>
                <w:szCs w:val="21"/>
              </w:rPr>
            </w:pPr>
            <w:r>
              <w:rPr>
                <w:sz w:val="21"/>
                <w:szCs w:val="21"/>
              </w:rPr>
              <w:t>3</w:t>
            </w:r>
          </w:p>
        </w:tc>
        <w:tc>
          <w:tcPr>
            <w:tcW w:w="1818" w:type="dxa"/>
            <w:vAlign w:val="top"/>
          </w:tcPr>
          <w:p w14:paraId="407B1845">
            <w:pPr>
              <w:pStyle w:val="6"/>
              <w:spacing w:before="38" w:line="194" w:lineRule="auto"/>
              <w:ind w:left="61"/>
              <w:rPr>
                <w:sz w:val="21"/>
                <w:szCs w:val="21"/>
              </w:rPr>
            </w:pPr>
            <w:r>
              <w:rPr>
                <w:spacing w:val="1"/>
                <w:sz w:val="21"/>
                <w:szCs w:val="21"/>
              </w:rPr>
              <w:t>电容式电压互感器</w:t>
            </w:r>
          </w:p>
        </w:tc>
        <w:tc>
          <w:tcPr>
            <w:tcW w:w="3366" w:type="dxa"/>
            <w:vAlign w:val="top"/>
          </w:tcPr>
          <w:p w14:paraId="71C02DC9">
            <w:pPr>
              <w:pStyle w:val="6"/>
              <w:spacing w:before="42" w:line="190" w:lineRule="auto"/>
              <w:ind w:left="733"/>
              <w:rPr>
                <w:sz w:val="21"/>
                <w:szCs w:val="21"/>
              </w:rPr>
            </w:pPr>
            <w:r>
              <w:rPr>
                <w:spacing w:val="-4"/>
                <w:sz w:val="21"/>
                <w:szCs w:val="21"/>
              </w:rPr>
              <w:t>TYD-220/</w:t>
            </w:r>
            <w:r>
              <w:rPr>
                <w:spacing w:val="-42"/>
                <w:sz w:val="21"/>
                <w:szCs w:val="21"/>
              </w:rPr>
              <w:t xml:space="preserve"> </w:t>
            </w:r>
            <w:r>
              <w:rPr>
                <w:spacing w:val="-4"/>
                <w:sz w:val="21"/>
                <w:szCs w:val="21"/>
              </w:rPr>
              <w:t>√3-0.005H</w:t>
            </w:r>
          </w:p>
        </w:tc>
        <w:tc>
          <w:tcPr>
            <w:tcW w:w="989" w:type="dxa"/>
            <w:vAlign w:val="top"/>
          </w:tcPr>
          <w:p w14:paraId="7A3AE0CD">
            <w:pPr>
              <w:pStyle w:val="6"/>
              <w:spacing w:before="39" w:line="193" w:lineRule="auto"/>
              <w:ind w:left="387"/>
              <w:rPr>
                <w:sz w:val="21"/>
                <w:szCs w:val="21"/>
              </w:rPr>
            </w:pPr>
            <w:r>
              <w:rPr>
                <w:sz w:val="21"/>
                <w:szCs w:val="21"/>
              </w:rPr>
              <w:t>台</w:t>
            </w:r>
          </w:p>
        </w:tc>
        <w:tc>
          <w:tcPr>
            <w:tcW w:w="1183" w:type="dxa"/>
            <w:vAlign w:val="top"/>
          </w:tcPr>
          <w:p w14:paraId="007076EE">
            <w:pPr>
              <w:pStyle w:val="6"/>
              <w:spacing w:before="58" w:line="176" w:lineRule="auto"/>
              <w:ind w:left="529"/>
              <w:rPr>
                <w:sz w:val="21"/>
                <w:szCs w:val="21"/>
              </w:rPr>
            </w:pPr>
            <w:r>
              <w:rPr>
                <w:sz w:val="21"/>
                <w:szCs w:val="21"/>
              </w:rPr>
              <w:t>3</w:t>
            </w:r>
          </w:p>
        </w:tc>
      </w:tr>
      <w:tr w14:paraId="3D007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163" w:type="dxa"/>
            <w:vAlign w:val="top"/>
          </w:tcPr>
          <w:p w14:paraId="536BEBEA">
            <w:pPr>
              <w:pStyle w:val="6"/>
              <w:spacing w:before="59" w:line="171" w:lineRule="auto"/>
              <w:ind w:left="514"/>
              <w:rPr>
                <w:sz w:val="21"/>
                <w:szCs w:val="21"/>
              </w:rPr>
            </w:pPr>
            <w:r>
              <w:rPr>
                <w:sz w:val="21"/>
                <w:szCs w:val="21"/>
              </w:rPr>
              <w:t>4</w:t>
            </w:r>
          </w:p>
        </w:tc>
        <w:tc>
          <w:tcPr>
            <w:tcW w:w="1818" w:type="dxa"/>
            <w:vAlign w:val="top"/>
          </w:tcPr>
          <w:p w14:paraId="4DC351D3">
            <w:pPr>
              <w:pStyle w:val="6"/>
              <w:spacing w:before="40" w:line="188" w:lineRule="auto"/>
              <w:ind w:left="482"/>
              <w:rPr>
                <w:sz w:val="21"/>
                <w:szCs w:val="21"/>
              </w:rPr>
            </w:pPr>
            <w:r>
              <w:rPr>
                <w:spacing w:val="5"/>
                <w:sz w:val="21"/>
                <w:szCs w:val="21"/>
              </w:rPr>
              <w:t>融冰刀闸</w:t>
            </w:r>
          </w:p>
        </w:tc>
        <w:tc>
          <w:tcPr>
            <w:tcW w:w="3366" w:type="dxa"/>
            <w:vAlign w:val="top"/>
          </w:tcPr>
          <w:p w14:paraId="293B8ADB">
            <w:pPr>
              <w:pStyle w:val="6"/>
              <w:spacing w:before="41" w:line="187" w:lineRule="auto"/>
              <w:ind w:left="733"/>
              <w:rPr>
                <w:sz w:val="21"/>
                <w:szCs w:val="21"/>
              </w:rPr>
            </w:pPr>
            <w:r>
              <w:rPr>
                <w:spacing w:val="-1"/>
                <w:sz w:val="21"/>
                <w:szCs w:val="21"/>
              </w:rPr>
              <w:t>GW4-40.5D(W)/1250A</w:t>
            </w:r>
          </w:p>
        </w:tc>
        <w:tc>
          <w:tcPr>
            <w:tcW w:w="989" w:type="dxa"/>
            <w:vAlign w:val="top"/>
          </w:tcPr>
          <w:p w14:paraId="011A9D16">
            <w:pPr>
              <w:pStyle w:val="6"/>
              <w:spacing w:before="41" w:line="187" w:lineRule="auto"/>
              <w:ind w:left="387"/>
              <w:rPr>
                <w:sz w:val="21"/>
                <w:szCs w:val="21"/>
              </w:rPr>
            </w:pPr>
            <w:r>
              <w:rPr>
                <w:sz w:val="21"/>
                <w:szCs w:val="21"/>
              </w:rPr>
              <w:t>只</w:t>
            </w:r>
          </w:p>
        </w:tc>
        <w:tc>
          <w:tcPr>
            <w:tcW w:w="1183" w:type="dxa"/>
            <w:vAlign w:val="top"/>
          </w:tcPr>
          <w:p w14:paraId="1A507FAC">
            <w:pPr>
              <w:pStyle w:val="6"/>
              <w:spacing w:before="59" w:line="171" w:lineRule="auto"/>
              <w:ind w:left="529"/>
              <w:rPr>
                <w:sz w:val="21"/>
                <w:szCs w:val="21"/>
              </w:rPr>
            </w:pPr>
            <w:r>
              <w:rPr>
                <w:sz w:val="21"/>
                <w:szCs w:val="21"/>
              </w:rPr>
              <w:t>2</w:t>
            </w:r>
          </w:p>
        </w:tc>
      </w:tr>
    </w:tbl>
    <w:p w14:paraId="7794439D">
      <w:pPr>
        <w:pStyle w:val="2"/>
      </w:pPr>
      <w:r>
        <mc:AlternateContent>
          <mc:Choice Requires="wps">
            <w:drawing>
              <wp:anchor distT="0" distB="0" distL="0" distR="0" simplePos="0" relativeHeight="251688960" behindDoc="0" locked="0" layoutInCell="1" allowOverlap="1">
                <wp:simplePos x="0" y="0"/>
                <wp:positionH relativeFrom="column">
                  <wp:posOffset>2656205</wp:posOffset>
                </wp:positionH>
                <wp:positionV relativeFrom="paragraph">
                  <wp:posOffset>309880</wp:posOffset>
                </wp:positionV>
                <wp:extent cx="82550" cy="155575"/>
                <wp:effectExtent l="0" t="0" r="0" b="0"/>
                <wp:wrapNone/>
                <wp:docPr id="72" name="TextBox 72"/>
                <wp:cNvGraphicFramePr/>
                <a:graphic xmlns:a="http://schemas.openxmlformats.org/drawingml/2006/main">
                  <a:graphicData uri="http://schemas.microsoft.com/office/word/2010/wordprocessingShape">
                    <wps:wsp>
                      <wps:cNvSpPr txBox="1"/>
                      <wps:spPr>
                        <a:xfrm rot="16200000">
                          <a:off x="2656400" y="310038"/>
                          <a:ext cx="82550" cy="15557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479B5AA">
                            <w:pPr>
                              <w:spacing w:before="78" w:line="146" w:lineRule="exact"/>
                              <w:ind w:left="20"/>
                              <w:rPr>
                                <w:rFonts w:ascii="宋体" w:hAnsi="宋体" w:eastAsia="宋体" w:cs="宋体"/>
                                <w:sz w:val="19"/>
                                <w:szCs w:val="19"/>
                              </w:rPr>
                            </w:pPr>
                            <w:r>
                              <w:rPr>
                                <w:rFonts w:ascii="宋体" w:hAnsi="宋体" w:eastAsia="宋体" w:cs="宋体"/>
                                <w:sz w:val="19"/>
                                <w:szCs w:val="19"/>
                              </w:rPr>
                              <w:t>n</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2" o:spid="_x0000_s1026" o:spt="202" type="#_x0000_t202" style="position:absolute;left:0pt;margin-left:209.15pt;margin-top:24.4pt;height:12.25pt;width:6.5pt;rotation:-5898240f;z-index:251688960;mso-width-relative:page;mso-height-relative:page;" filled="f" stroked="f" coordsize="21600,21600" o:gfxdata="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TwicrYAAAACQEAAA8AAAAA&#10;AAAAAQAgAAAAIgAAAGRycy9kb3ducmV2LnhtbFBLAQIUABQAAAAIAIdO4kAs+iVzTQIAAKEEAAAO&#10;AAAAAAAAAAEAIAAAACcBAABkcnMvZTJvRG9jLnhtbFBLBQYAAAAABgAGAFkBAADmBQAAAAA=&#10;">
                <v:fill on="f" focussize="0,0"/>
                <v:stroke on="f" weight="0pt" miterlimit="0" joinstyle="miter"/>
                <v:imagedata o:title=""/>
                <o:lock v:ext="edit" aspectratio="f"/>
                <v:textbox inset="0mm,0mm,0mm,0mm">
                  <w:txbxContent>
                    <w:p w14:paraId="4479B5AA">
                      <w:pPr>
                        <w:spacing w:before="78" w:line="146" w:lineRule="exact"/>
                        <w:ind w:left="20"/>
                        <w:rPr>
                          <w:rFonts w:ascii="宋体" w:hAnsi="宋体" w:eastAsia="宋体" w:cs="宋体"/>
                          <w:sz w:val="19"/>
                          <w:szCs w:val="19"/>
                        </w:rPr>
                      </w:pPr>
                      <w:r>
                        <w:rPr>
                          <w:rFonts w:ascii="宋体" w:hAnsi="宋体" w:eastAsia="宋体" w:cs="宋体"/>
                          <w:sz w:val="19"/>
                          <w:szCs w:val="19"/>
                        </w:rPr>
                        <w:t>n</w:t>
                      </w:r>
                    </w:p>
                  </w:txbxContent>
                </v:textbox>
              </v:shape>
            </w:pict>
          </mc:Fallback>
        </mc:AlternateContent>
      </w:r>
    </w:p>
    <w:p w14:paraId="162AACF6">
      <w:pPr>
        <w:sectPr>
          <w:footerReference r:id="rId142" w:type="default"/>
          <w:pgSz w:w="11910" w:h="16830"/>
          <w:pgMar w:top="1425" w:right="1705" w:bottom="400" w:left="1675" w:header="0" w:footer="0" w:gutter="0"/>
          <w:cols w:space="720" w:num="1"/>
        </w:sectPr>
      </w:pPr>
    </w:p>
    <w:p w14:paraId="3958004F">
      <w:pPr>
        <w:spacing w:line="46" w:lineRule="auto"/>
        <w:rPr>
          <w:rFonts w:ascii="Arial"/>
          <w:sz w:val="2"/>
        </w:rPr>
      </w:pPr>
    </w:p>
    <w:tbl>
      <w:tblPr>
        <w:tblStyle w:val="5"/>
        <w:tblW w:w="84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3"/>
        <w:gridCol w:w="1798"/>
        <w:gridCol w:w="3376"/>
        <w:gridCol w:w="999"/>
        <w:gridCol w:w="1163"/>
      </w:tblGrid>
      <w:tr w14:paraId="3A9CF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53" w:type="dxa"/>
            <w:vAlign w:val="top"/>
          </w:tcPr>
          <w:p w14:paraId="0C21FE9B">
            <w:pPr>
              <w:pStyle w:val="6"/>
              <w:spacing w:before="53" w:line="186" w:lineRule="auto"/>
              <w:ind w:left="514"/>
              <w:rPr>
                <w:sz w:val="20"/>
                <w:szCs w:val="20"/>
              </w:rPr>
            </w:pPr>
            <w:r>
              <w:rPr>
                <w:sz w:val="20"/>
                <w:szCs w:val="20"/>
              </w:rPr>
              <w:t>5</w:t>
            </w:r>
          </w:p>
        </w:tc>
        <w:tc>
          <w:tcPr>
            <w:tcW w:w="1798" w:type="dxa"/>
            <w:vAlign w:val="top"/>
          </w:tcPr>
          <w:p w14:paraId="6426560D">
            <w:pPr>
              <w:pStyle w:val="6"/>
              <w:spacing w:before="35" w:line="203" w:lineRule="auto"/>
              <w:ind w:left="492"/>
              <w:rPr>
                <w:sz w:val="20"/>
                <w:szCs w:val="20"/>
              </w:rPr>
            </w:pPr>
            <w:r>
              <w:rPr>
                <w:spacing w:val="5"/>
                <w:sz w:val="20"/>
                <w:szCs w:val="20"/>
              </w:rPr>
              <w:t>融冰刀闸</w:t>
            </w:r>
          </w:p>
        </w:tc>
        <w:tc>
          <w:tcPr>
            <w:tcW w:w="3376" w:type="dxa"/>
            <w:vAlign w:val="top"/>
          </w:tcPr>
          <w:p w14:paraId="687770C7">
            <w:pPr>
              <w:pStyle w:val="6"/>
              <w:spacing w:before="29" w:line="208" w:lineRule="auto"/>
              <w:ind w:left="584"/>
              <w:rPr>
                <w:sz w:val="20"/>
                <w:szCs w:val="20"/>
              </w:rPr>
            </w:pPr>
            <w:r>
              <w:rPr>
                <w:spacing w:val="-1"/>
                <w:sz w:val="20"/>
                <w:szCs w:val="20"/>
              </w:rPr>
              <w:t>GW22A-252-3150A,±23kV</w:t>
            </w:r>
          </w:p>
        </w:tc>
        <w:tc>
          <w:tcPr>
            <w:tcW w:w="999" w:type="dxa"/>
            <w:vAlign w:val="top"/>
          </w:tcPr>
          <w:p w14:paraId="0199F066">
            <w:pPr>
              <w:pStyle w:val="6"/>
              <w:spacing w:before="36" w:line="202" w:lineRule="auto"/>
              <w:ind w:left="397"/>
              <w:rPr>
                <w:sz w:val="20"/>
                <w:szCs w:val="20"/>
              </w:rPr>
            </w:pPr>
            <w:r>
              <w:rPr>
                <w:sz w:val="20"/>
                <w:szCs w:val="20"/>
              </w:rPr>
              <w:t>只</w:t>
            </w:r>
          </w:p>
        </w:tc>
        <w:tc>
          <w:tcPr>
            <w:tcW w:w="1163" w:type="dxa"/>
            <w:vAlign w:val="top"/>
          </w:tcPr>
          <w:p w14:paraId="61076B77">
            <w:pPr>
              <w:pStyle w:val="6"/>
              <w:spacing w:before="53" w:line="186" w:lineRule="auto"/>
              <w:ind w:left="529"/>
              <w:rPr>
                <w:sz w:val="20"/>
                <w:szCs w:val="20"/>
              </w:rPr>
            </w:pPr>
            <w:r>
              <w:rPr>
                <w:sz w:val="20"/>
                <w:szCs w:val="20"/>
              </w:rPr>
              <w:t>3</w:t>
            </w:r>
          </w:p>
        </w:tc>
      </w:tr>
      <w:tr w14:paraId="0EFA1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0B63DF2D">
            <w:pPr>
              <w:pStyle w:val="6"/>
              <w:spacing w:before="58" w:line="186" w:lineRule="auto"/>
              <w:ind w:left="514"/>
              <w:rPr>
                <w:sz w:val="20"/>
                <w:szCs w:val="20"/>
              </w:rPr>
            </w:pPr>
            <w:r>
              <w:rPr>
                <w:sz w:val="20"/>
                <w:szCs w:val="20"/>
              </w:rPr>
              <w:t>6</w:t>
            </w:r>
          </w:p>
        </w:tc>
        <w:tc>
          <w:tcPr>
            <w:tcW w:w="1798" w:type="dxa"/>
            <w:vAlign w:val="top"/>
          </w:tcPr>
          <w:p w14:paraId="1CBFE9BA">
            <w:pPr>
              <w:pStyle w:val="6"/>
              <w:spacing w:before="38" w:line="204" w:lineRule="auto"/>
              <w:ind w:left="191"/>
              <w:rPr>
                <w:sz w:val="20"/>
                <w:szCs w:val="20"/>
              </w:rPr>
            </w:pPr>
            <w:r>
              <w:rPr>
                <w:spacing w:val="-2"/>
                <w:sz w:val="20"/>
                <w:szCs w:val="20"/>
              </w:rPr>
              <w:t>户外支柱绝缘子</w:t>
            </w:r>
          </w:p>
        </w:tc>
        <w:tc>
          <w:tcPr>
            <w:tcW w:w="3376" w:type="dxa"/>
            <w:vAlign w:val="top"/>
          </w:tcPr>
          <w:p w14:paraId="179A2722">
            <w:pPr>
              <w:pStyle w:val="6"/>
              <w:spacing w:before="58" w:line="186" w:lineRule="auto"/>
              <w:ind w:left="1483"/>
              <w:rPr>
                <w:sz w:val="20"/>
                <w:szCs w:val="20"/>
              </w:rPr>
            </w:pPr>
            <w:r>
              <w:rPr>
                <w:spacing w:val="-3"/>
                <w:sz w:val="20"/>
                <w:szCs w:val="20"/>
              </w:rPr>
              <w:t>35kV</w:t>
            </w:r>
          </w:p>
        </w:tc>
        <w:tc>
          <w:tcPr>
            <w:tcW w:w="999" w:type="dxa"/>
            <w:vAlign w:val="top"/>
          </w:tcPr>
          <w:p w14:paraId="59A1A358">
            <w:pPr>
              <w:pStyle w:val="6"/>
              <w:spacing w:before="38" w:line="204" w:lineRule="auto"/>
              <w:ind w:left="397"/>
              <w:rPr>
                <w:sz w:val="20"/>
                <w:szCs w:val="20"/>
              </w:rPr>
            </w:pPr>
            <w:r>
              <w:rPr>
                <w:sz w:val="20"/>
                <w:szCs w:val="20"/>
              </w:rPr>
              <w:t>套</w:t>
            </w:r>
          </w:p>
        </w:tc>
        <w:tc>
          <w:tcPr>
            <w:tcW w:w="1163" w:type="dxa"/>
            <w:vAlign w:val="top"/>
          </w:tcPr>
          <w:p w14:paraId="35EF65D7">
            <w:pPr>
              <w:pStyle w:val="6"/>
              <w:spacing w:before="58" w:line="186" w:lineRule="auto"/>
              <w:ind w:left="529"/>
              <w:rPr>
                <w:sz w:val="20"/>
                <w:szCs w:val="20"/>
              </w:rPr>
            </w:pPr>
            <w:r>
              <w:rPr>
                <w:sz w:val="20"/>
                <w:szCs w:val="20"/>
              </w:rPr>
              <w:t>2</w:t>
            </w:r>
          </w:p>
        </w:tc>
      </w:tr>
      <w:tr w14:paraId="7CCFD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53" w:type="dxa"/>
            <w:vAlign w:val="top"/>
          </w:tcPr>
          <w:p w14:paraId="6716B9A1">
            <w:pPr>
              <w:pStyle w:val="6"/>
              <w:spacing w:before="31" w:line="202" w:lineRule="auto"/>
              <w:ind w:left="364"/>
              <w:rPr>
                <w:sz w:val="20"/>
                <w:szCs w:val="20"/>
              </w:rPr>
            </w:pPr>
            <w:r>
              <w:rPr>
                <w:spacing w:val="14"/>
                <w:sz w:val="20"/>
                <w:szCs w:val="20"/>
              </w:rPr>
              <w:t>(三)</w:t>
            </w:r>
          </w:p>
        </w:tc>
        <w:tc>
          <w:tcPr>
            <w:tcW w:w="1798" w:type="dxa"/>
            <w:vAlign w:val="top"/>
          </w:tcPr>
          <w:p w14:paraId="37CE075F">
            <w:pPr>
              <w:pStyle w:val="6"/>
              <w:spacing w:before="27" w:line="205" w:lineRule="auto"/>
              <w:ind w:left="291"/>
              <w:rPr>
                <w:sz w:val="20"/>
                <w:szCs w:val="20"/>
              </w:rPr>
            </w:pPr>
            <w:r>
              <w:rPr>
                <w:spacing w:val="-2"/>
                <w:sz w:val="20"/>
                <w:szCs w:val="20"/>
              </w:rPr>
              <w:t>主变压器部分</w:t>
            </w:r>
          </w:p>
        </w:tc>
        <w:tc>
          <w:tcPr>
            <w:tcW w:w="3376" w:type="dxa"/>
            <w:vAlign w:val="top"/>
          </w:tcPr>
          <w:p w14:paraId="622E959B">
            <w:pPr>
              <w:rPr>
                <w:rFonts w:ascii="Arial"/>
                <w:sz w:val="21"/>
              </w:rPr>
            </w:pPr>
          </w:p>
        </w:tc>
        <w:tc>
          <w:tcPr>
            <w:tcW w:w="999" w:type="dxa"/>
            <w:vAlign w:val="top"/>
          </w:tcPr>
          <w:p w14:paraId="78F92139">
            <w:pPr>
              <w:rPr>
                <w:rFonts w:ascii="Arial"/>
                <w:sz w:val="21"/>
              </w:rPr>
            </w:pPr>
          </w:p>
        </w:tc>
        <w:tc>
          <w:tcPr>
            <w:tcW w:w="1163" w:type="dxa"/>
            <w:vAlign w:val="top"/>
          </w:tcPr>
          <w:p w14:paraId="1E0DAB65">
            <w:pPr>
              <w:rPr>
                <w:rFonts w:ascii="Arial"/>
                <w:sz w:val="21"/>
              </w:rPr>
            </w:pPr>
          </w:p>
        </w:tc>
      </w:tr>
      <w:tr w14:paraId="5F8FD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1153" w:type="dxa"/>
            <w:vAlign w:val="top"/>
          </w:tcPr>
          <w:p w14:paraId="2B3EDF34">
            <w:pPr>
              <w:spacing w:line="312" w:lineRule="auto"/>
              <w:rPr>
                <w:rFonts w:ascii="Arial"/>
                <w:sz w:val="21"/>
              </w:rPr>
            </w:pPr>
          </w:p>
          <w:p w14:paraId="07542D10">
            <w:pPr>
              <w:spacing w:line="312" w:lineRule="auto"/>
              <w:rPr>
                <w:rFonts w:ascii="Arial"/>
                <w:sz w:val="21"/>
              </w:rPr>
            </w:pPr>
          </w:p>
          <w:p w14:paraId="7CA1ADF0">
            <w:pPr>
              <w:spacing w:line="313" w:lineRule="auto"/>
              <w:rPr>
                <w:rFonts w:ascii="Arial"/>
                <w:sz w:val="21"/>
              </w:rPr>
            </w:pPr>
          </w:p>
          <w:p w14:paraId="3421B318">
            <w:pPr>
              <w:pStyle w:val="6"/>
              <w:spacing w:before="65" w:line="241" w:lineRule="auto"/>
              <w:ind w:left="514"/>
              <w:rPr>
                <w:sz w:val="20"/>
                <w:szCs w:val="20"/>
              </w:rPr>
            </w:pPr>
            <w:r>
              <w:rPr>
                <w:sz w:val="20"/>
                <w:szCs w:val="20"/>
              </w:rPr>
              <w:t>1</w:t>
            </w:r>
          </w:p>
        </w:tc>
        <w:tc>
          <w:tcPr>
            <w:tcW w:w="1798" w:type="dxa"/>
            <w:vAlign w:val="top"/>
          </w:tcPr>
          <w:p w14:paraId="4BBE1FA7">
            <w:pPr>
              <w:spacing w:line="306" w:lineRule="auto"/>
              <w:rPr>
                <w:rFonts w:ascii="Arial"/>
                <w:sz w:val="21"/>
              </w:rPr>
            </w:pPr>
          </w:p>
          <w:p w14:paraId="0F8ABFE7">
            <w:pPr>
              <w:spacing w:line="306" w:lineRule="auto"/>
              <w:rPr>
                <w:rFonts w:ascii="Arial"/>
                <w:sz w:val="21"/>
              </w:rPr>
            </w:pPr>
          </w:p>
          <w:p w14:paraId="1090C980">
            <w:pPr>
              <w:spacing w:line="306" w:lineRule="auto"/>
              <w:rPr>
                <w:rFonts w:ascii="Arial"/>
                <w:sz w:val="21"/>
              </w:rPr>
            </w:pPr>
          </w:p>
          <w:p w14:paraId="6F249D6F">
            <w:pPr>
              <w:pStyle w:val="6"/>
              <w:spacing w:before="65" w:line="221" w:lineRule="auto"/>
              <w:ind w:left="492"/>
              <w:rPr>
                <w:sz w:val="20"/>
                <w:szCs w:val="20"/>
              </w:rPr>
            </w:pPr>
            <w:r>
              <w:rPr>
                <w:spacing w:val="-2"/>
                <w:sz w:val="20"/>
                <w:szCs w:val="20"/>
              </w:rPr>
              <w:t>主变压器</w:t>
            </w:r>
          </w:p>
        </w:tc>
        <w:tc>
          <w:tcPr>
            <w:tcW w:w="3376" w:type="dxa"/>
            <w:vAlign w:val="top"/>
          </w:tcPr>
          <w:p w14:paraId="276C8023">
            <w:pPr>
              <w:pStyle w:val="6"/>
              <w:spacing w:before="65" w:line="246" w:lineRule="auto"/>
              <w:ind w:left="153" w:right="422" w:firstLine="40"/>
              <w:rPr>
                <w:sz w:val="20"/>
                <w:szCs w:val="20"/>
              </w:rPr>
            </w:pPr>
            <w:r>
              <w:rPr>
                <w:spacing w:val="-1"/>
                <w:sz w:val="20"/>
                <w:szCs w:val="20"/>
              </w:rPr>
              <w:t>SFZ18-120000/220GY,150MVA;</w:t>
            </w:r>
            <w:r>
              <w:rPr>
                <w:spacing w:val="8"/>
                <w:sz w:val="20"/>
                <w:szCs w:val="20"/>
              </w:rPr>
              <w:t xml:space="preserve">  </w:t>
            </w:r>
            <w:r>
              <w:rPr>
                <w:spacing w:val="-1"/>
                <w:sz w:val="20"/>
                <w:szCs w:val="20"/>
              </w:rPr>
              <w:t>230±8×1.25%/37kVUd=14%,YN,</w:t>
            </w:r>
          </w:p>
          <w:p w14:paraId="499F597B">
            <w:pPr>
              <w:pStyle w:val="6"/>
              <w:spacing w:line="219" w:lineRule="auto"/>
              <w:ind w:left="233"/>
              <w:rPr>
                <w:sz w:val="20"/>
                <w:szCs w:val="20"/>
              </w:rPr>
            </w:pPr>
            <w:r>
              <w:rPr>
                <w:spacing w:val="-1"/>
                <w:sz w:val="20"/>
                <w:szCs w:val="20"/>
              </w:rPr>
              <w:t>d11;220kV侧：含高压套管电流互</w:t>
            </w:r>
          </w:p>
          <w:p w14:paraId="20C241EB">
            <w:pPr>
              <w:pStyle w:val="6"/>
              <w:spacing w:before="25" w:line="221" w:lineRule="auto"/>
              <w:ind w:left="884"/>
              <w:rPr>
                <w:sz w:val="20"/>
                <w:szCs w:val="20"/>
              </w:rPr>
            </w:pPr>
            <w:r>
              <w:rPr>
                <w:spacing w:val="1"/>
                <w:sz w:val="20"/>
                <w:szCs w:val="20"/>
              </w:rPr>
              <w:t>感器3只：0.5S级：</w:t>
            </w:r>
          </w:p>
          <w:p w14:paraId="2C5D3688">
            <w:pPr>
              <w:pStyle w:val="6"/>
              <w:spacing w:before="50" w:line="221" w:lineRule="auto"/>
              <w:ind w:left="133"/>
              <w:rPr>
                <w:sz w:val="20"/>
                <w:szCs w:val="20"/>
              </w:rPr>
            </w:pPr>
            <w:r>
              <w:rPr>
                <w:sz w:val="20"/>
                <w:szCs w:val="20"/>
              </w:rPr>
              <w:t>400/1A5P30/5P30/5P30级</w:t>
            </w:r>
            <w:r>
              <w:rPr>
                <w:spacing w:val="-1"/>
                <w:sz w:val="20"/>
                <w:szCs w:val="20"/>
              </w:rPr>
              <w:t>：1000/1A</w:t>
            </w:r>
          </w:p>
          <w:p w14:paraId="7A45C1B4">
            <w:pPr>
              <w:pStyle w:val="6"/>
              <w:spacing w:before="27" w:line="219" w:lineRule="auto"/>
              <w:ind w:left="183"/>
              <w:rPr>
                <w:sz w:val="20"/>
                <w:szCs w:val="20"/>
              </w:rPr>
            </w:pPr>
            <w:r>
              <w:rPr>
                <w:spacing w:val="-1"/>
                <w:sz w:val="20"/>
                <w:szCs w:val="20"/>
              </w:rPr>
              <w:t>含高压中性点套管电流互感器3只：</w:t>
            </w:r>
          </w:p>
          <w:p w14:paraId="7A63BBC2">
            <w:pPr>
              <w:pStyle w:val="6"/>
              <w:spacing w:before="30" w:line="216" w:lineRule="auto"/>
              <w:ind w:left="133"/>
              <w:rPr>
                <w:sz w:val="20"/>
                <w:szCs w:val="20"/>
              </w:rPr>
            </w:pPr>
            <w:r>
              <w:rPr>
                <w:sz w:val="20"/>
                <w:szCs w:val="20"/>
              </w:rPr>
              <w:t>200/1A,5P30/5P30/5P30含低压套管</w:t>
            </w:r>
          </w:p>
          <w:p w14:paraId="4B9EC5F0">
            <w:pPr>
              <w:pStyle w:val="6"/>
              <w:spacing w:before="15" w:line="215" w:lineRule="auto"/>
              <w:ind w:left="84"/>
              <w:rPr>
                <w:sz w:val="20"/>
                <w:szCs w:val="20"/>
              </w:rPr>
            </w:pPr>
            <w:r>
              <w:rPr>
                <w:sz w:val="20"/>
                <w:szCs w:val="20"/>
              </w:rPr>
              <w:t>电流互感器2只：2500/1A,5P40/5P40</w:t>
            </w:r>
          </w:p>
        </w:tc>
        <w:tc>
          <w:tcPr>
            <w:tcW w:w="999" w:type="dxa"/>
            <w:vAlign w:val="top"/>
          </w:tcPr>
          <w:p w14:paraId="2B2849CC">
            <w:pPr>
              <w:spacing w:line="306" w:lineRule="auto"/>
              <w:rPr>
                <w:rFonts w:ascii="Arial"/>
                <w:sz w:val="21"/>
              </w:rPr>
            </w:pPr>
          </w:p>
          <w:p w14:paraId="686A37A4">
            <w:pPr>
              <w:spacing w:line="307" w:lineRule="auto"/>
              <w:rPr>
                <w:rFonts w:ascii="Arial"/>
                <w:sz w:val="21"/>
              </w:rPr>
            </w:pPr>
          </w:p>
          <w:p w14:paraId="1A90F9A1">
            <w:pPr>
              <w:spacing w:line="307" w:lineRule="auto"/>
              <w:rPr>
                <w:rFonts w:ascii="Arial"/>
                <w:sz w:val="21"/>
              </w:rPr>
            </w:pPr>
          </w:p>
          <w:p w14:paraId="572B9217">
            <w:pPr>
              <w:pStyle w:val="6"/>
              <w:spacing w:before="65" w:line="221" w:lineRule="auto"/>
              <w:ind w:left="397"/>
              <w:rPr>
                <w:sz w:val="20"/>
                <w:szCs w:val="20"/>
              </w:rPr>
            </w:pPr>
            <w:r>
              <w:rPr>
                <w:sz w:val="20"/>
                <w:szCs w:val="20"/>
              </w:rPr>
              <w:t>台</w:t>
            </w:r>
          </w:p>
        </w:tc>
        <w:tc>
          <w:tcPr>
            <w:tcW w:w="1163" w:type="dxa"/>
            <w:vAlign w:val="top"/>
          </w:tcPr>
          <w:p w14:paraId="74DE78AB">
            <w:pPr>
              <w:spacing w:line="312" w:lineRule="auto"/>
              <w:rPr>
                <w:rFonts w:ascii="Arial"/>
                <w:sz w:val="21"/>
              </w:rPr>
            </w:pPr>
          </w:p>
          <w:p w14:paraId="55CD9C90">
            <w:pPr>
              <w:spacing w:line="312" w:lineRule="auto"/>
              <w:rPr>
                <w:rFonts w:ascii="Arial"/>
                <w:sz w:val="21"/>
              </w:rPr>
            </w:pPr>
          </w:p>
          <w:p w14:paraId="4C9C325B">
            <w:pPr>
              <w:spacing w:line="313" w:lineRule="auto"/>
              <w:rPr>
                <w:rFonts w:ascii="Arial"/>
                <w:sz w:val="21"/>
              </w:rPr>
            </w:pPr>
          </w:p>
          <w:p w14:paraId="2941DF8B">
            <w:pPr>
              <w:pStyle w:val="6"/>
              <w:spacing w:before="65" w:line="241" w:lineRule="auto"/>
              <w:ind w:left="529"/>
              <w:rPr>
                <w:sz w:val="20"/>
                <w:szCs w:val="20"/>
              </w:rPr>
            </w:pPr>
            <w:r>
              <w:rPr>
                <w:sz w:val="20"/>
                <w:szCs w:val="20"/>
              </w:rPr>
              <w:t>1</w:t>
            </w:r>
          </w:p>
        </w:tc>
      </w:tr>
      <w:tr w14:paraId="5310C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153" w:type="dxa"/>
            <w:vAlign w:val="top"/>
          </w:tcPr>
          <w:p w14:paraId="7FFA0743">
            <w:pPr>
              <w:pStyle w:val="6"/>
              <w:spacing w:before="70" w:line="203" w:lineRule="auto"/>
              <w:ind w:left="514"/>
              <w:rPr>
                <w:sz w:val="20"/>
                <w:szCs w:val="20"/>
              </w:rPr>
            </w:pPr>
            <w:r>
              <w:rPr>
                <w:sz w:val="20"/>
                <w:szCs w:val="20"/>
              </w:rPr>
              <w:t>2</w:t>
            </w:r>
          </w:p>
        </w:tc>
        <w:tc>
          <w:tcPr>
            <w:tcW w:w="1798" w:type="dxa"/>
            <w:vAlign w:val="top"/>
          </w:tcPr>
          <w:p w14:paraId="7B4C2281">
            <w:pPr>
              <w:pStyle w:val="6"/>
              <w:spacing w:before="50" w:line="220" w:lineRule="auto"/>
              <w:ind w:left="192"/>
              <w:rPr>
                <w:sz w:val="20"/>
                <w:szCs w:val="20"/>
              </w:rPr>
            </w:pPr>
            <w:r>
              <w:rPr>
                <w:spacing w:val="1"/>
                <w:sz w:val="20"/>
                <w:szCs w:val="20"/>
              </w:rPr>
              <w:t>中性点隔离开关</w:t>
            </w:r>
          </w:p>
        </w:tc>
        <w:tc>
          <w:tcPr>
            <w:tcW w:w="3376" w:type="dxa"/>
            <w:vAlign w:val="top"/>
          </w:tcPr>
          <w:p w14:paraId="4FF62004">
            <w:pPr>
              <w:pStyle w:val="6"/>
              <w:spacing w:before="47" w:line="216" w:lineRule="auto"/>
              <w:ind w:left="483"/>
              <w:rPr>
                <w:sz w:val="20"/>
                <w:szCs w:val="20"/>
              </w:rPr>
            </w:pPr>
            <w:r>
              <w:rPr>
                <w:spacing w:val="-1"/>
                <w:sz w:val="20"/>
                <w:szCs w:val="20"/>
              </w:rPr>
              <w:t>GW13-126/630GY,126kV630A</w:t>
            </w:r>
          </w:p>
        </w:tc>
        <w:tc>
          <w:tcPr>
            <w:tcW w:w="999" w:type="dxa"/>
            <w:vAlign w:val="top"/>
          </w:tcPr>
          <w:p w14:paraId="4FE9D0AC">
            <w:pPr>
              <w:pStyle w:val="6"/>
              <w:spacing w:before="52" w:line="219" w:lineRule="auto"/>
              <w:ind w:left="397"/>
              <w:rPr>
                <w:sz w:val="20"/>
                <w:szCs w:val="20"/>
              </w:rPr>
            </w:pPr>
            <w:r>
              <w:rPr>
                <w:sz w:val="20"/>
                <w:szCs w:val="20"/>
              </w:rPr>
              <w:t>台</w:t>
            </w:r>
          </w:p>
        </w:tc>
        <w:tc>
          <w:tcPr>
            <w:tcW w:w="1163" w:type="dxa"/>
            <w:vAlign w:val="top"/>
          </w:tcPr>
          <w:p w14:paraId="193A4512">
            <w:pPr>
              <w:pStyle w:val="6"/>
              <w:spacing w:before="70" w:line="203" w:lineRule="auto"/>
              <w:ind w:left="529"/>
              <w:rPr>
                <w:sz w:val="20"/>
                <w:szCs w:val="20"/>
              </w:rPr>
            </w:pPr>
            <w:r>
              <w:rPr>
                <w:sz w:val="20"/>
                <w:szCs w:val="20"/>
              </w:rPr>
              <w:t>1</w:t>
            </w:r>
          </w:p>
        </w:tc>
      </w:tr>
      <w:tr w14:paraId="74648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45D5FEC8">
            <w:pPr>
              <w:pStyle w:val="6"/>
              <w:spacing w:before="60" w:line="184" w:lineRule="auto"/>
              <w:ind w:left="514"/>
              <w:rPr>
                <w:sz w:val="20"/>
                <w:szCs w:val="20"/>
              </w:rPr>
            </w:pPr>
            <w:r>
              <w:rPr>
                <w:sz w:val="20"/>
                <w:szCs w:val="20"/>
              </w:rPr>
              <w:t>3</w:t>
            </w:r>
          </w:p>
        </w:tc>
        <w:tc>
          <w:tcPr>
            <w:tcW w:w="1798" w:type="dxa"/>
            <w:vAlign w:val="top"/>
          </w:tcPr>
          <w:p w14:paraId="01A44C5F">
            <w:pPr>
              <w:pStyle w:val="6"/>
              <w:spacing w:before="38" w:line="204" w:lineRule="auto"/>
              <w:ind w:left="291"/>
              <w:rPr>
                <w:sz w:val="20"/>
                <w:szCs w:val="20"/>
              </w:rPr>
            </w:pPr>
            <w:r>
              <w:rPr>
                <w:spacing w:val="-2"/>
                <w:sz w:val="20"/>
                <w:szCs w:val="20"/>
              </w:rPr>
              <w:t>氧化锌避雷器</w:t>
            </w:r>
          </w:p>
        </w:tc>
        <w:tc>
          <w:tcPr>
            <w:tcW w:w="3376" w:type="dxa"/>
            <w:vAlign w:val="top"/>
          </w:tcPr>
          <w:p w14:paraId="7153C903">
            <w:pPr>
              <w:pStyle w:val="6"/>
              <w:spacing w:before="36" w:line="206" w:lineRule="auto"/>
              <w:ind w:left="233"/>
              <w:rPr>
                <w:sz w:val="20"/>
                <w:szCs w:val="20"/>
              </w:rPr>
            </w:pPr>
            <w:r>
              <w:rPr>
                <w:spacing w:val="-1"/>
                <w:sz w:val="20"/>
                <w:szCs w:val="20"/>
              </w:rPr>
              <w:t>HY1.5W-144/320GY,附放电记录仪</w:t>
            </w:r>
          </w:p>
        </w:tc>
        <w:tc>
          <w:tcPr>
            <w:tcW w:w="999" w:type="dxa"/>
            <w:vAlign w:val="top"/>
          </w:tcPr>
          <w:p w14:paraId="273FD8B5">
            <w:pPr>
              <w:pStyle w:val="6"/>
              <w:spacing w:before="43" w:line="200" w:lineRule="auto"/>
              <w:ind w:left="397"/>
              <w:rPr>
                <w:sz w:val="20"/>
                <w:szCs w:val="20"/>
              </w:rPr>
            </w:pPr>
            <w:r>
              <w:rPr>
                <w:sz w:val="20"/>
                <w:szCs w:val="20"/>
              </w:rPr>
              <w:t>只</w:t>
            </w:r>
          </w:p>
        </w:tc>
        <w:tc>
          <w:tcPr>
            <w:tcW w:w="1163" w:type="dxa"/>
            <w:vAlign w:val="top"/>
          </w:tcPr>
          <w:p w14:paraId="2B64BED9">
            <w:pPr>
              <w:pStyle w:val="6"/>
              <w:spacing w:before="60" w:line="184" w:lineRule="auto"/>
              <w:ind w:left="529"/>
              <w:rPr>
                <w:sz w:val="20"/>
                <w:szCs w:val="20"/>
              </w:rPr>
            </w:pPr>
            <w:r>
              <w:rPr>
                <w:sz w:val="20"/>
                <w:szCs w:val="20"/>
              </w:rPr>
              <w:t>1</w:t>
            </w:r>
          </w:p>
        </w:tc>
      </w:tr>
      <w:tr w14:paraId="49A50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53" w:type="dxa"/>
            <w:vAlign w:val="top"/>
          </w:tcPr>
          <w:p w14:paraId="66802928">
            <w:pPr>
              <w:pStyle w:val="6"/>
              <w:spacing w:before="190" w:line="241" w:lineRule="auto"/>
              <w:ind w:left="514"/>
              <w:rPr>
                <w:sz w:val="20"/>
                <w:szCs w:val="20"/>
              </w:rPr>
            </w:pPr>
            <w:r>
              <w:rPr>
                <w:sz w:val="20"/>
                <w:szCs w:val="20"/>
              </w:rPr>
              <w:t>4</w:t>
            </w:r>
          </w:p>
        </w:tc>
        <w:tc>
          <w:tcPr>
            <w:tcW w:w="1798" w:type="dxa"/>
            <w:vAlign w:val="top"/>
          </w:tcPr>
          <w:p w14:paraId="13F2655F">
            <w:pPr>
              <w:pStyle w:val="6"/>
              <w:spacing w:before="30" w:line="230" w:lineRule="auto"/>
              <w:ind w:left="691" w:right="88" w:hanging="600"/>
              <w:rPr>
                <w:sz w:val="20"/>
                <w:szCs w:val="20"/>
              </w:rPr>
            </w:pPr>
            <w:r>
              <w:rPr>
                <w:sz w:val="20"/>
                <w:szCs w:val="20"/>
              </w:rPr>
              <w:t>中性点间隙电流互</w:t>
            </w:r>
            <w:r>
              <w:rPr>
                <w:spacing w:val="6"/>
                <w:sz w:val="20"/>
                <w:szCs w:val="20"/>
              </w:rPr>
              <w:t xml:space="preserve"> </w:t>
            </w:r>
            <w:r>
              <w:rPr>
                <w:spacing w:val="-3"/>
                <w:sz w:val="20"/>
                <w:szCs w:val="20"/>
              </w:rPr>
              <w:t>感器</w:t>
            </w:r>
          </w:p>
        </w:tc>
        <w:tc>
          <w:tcPr>
            <w:tcW w:w="3376" w:type="dxa"/>
            <w:vAlign w:val="top"/>
          </w:tcPr>
          <w:p w14:paraId="43C9415B">
            <w:pPr>
              <w:pStyle w:val="6"/>
              <w:spacing w:before="176" w:line="224" w:lineRule="auto"/>
              <w:ind w:left="233"/>
              <w:rPr>
                <w:sz w:val="20"/>
                <w:szCs w:val="20"/>
              </w:rPr>
            </w:pPr>
            <w:r>
              <w:rPr>
                <w:sz w:val="20"/>
                <w:szCs w:val="20"/>
              </w:rPr>
              <w:t>LZW-35GY 100/1A5P30/5P</w:t>
            </w:r>
            <w:r>
              <w:rPr>
                <w:spacing w:val="-1"/>
                <w:sz w:val="20"/>
                <w:szCs w:val="20"/>
              </w:rPr>
              <w:t>30/5P30</w:t>
            </w:r>
          </w:p>
        </w:tc>
        <w:tc>
          <w:tcPr>
            <w:tcW w:w="999" w:type="dxa"/>
            <w:vAlign w:val="top"/>
          </w:tcPr>
          <w:p w14:paraId="0A6958A7">
            <w:pPr>
              <w:pStyle w:val="6"/>
              <w:spacing w:before="173" w:line="222" w:lineRule="auto"/>
              <w:ind w:left="397"/>
              <w:rPr>
                <w:sz w:val="20"/>
                <w:szCs w:val="20"/>
              </w:rPr>
            </w:pPr>
            <w:r>
              <w:rPr>
                <w:sz w:val="20"/>
                <w:szCs w:val="20"/>
              </w:rPr>
              <w:t>只</w:t>
            </w:r>
          </w:p>
        </w:tc>
        <w:tc>
          <w:tcPr>
            <w:tcW w:w="1163" w:type="dxa"/>
            <w:vAlign w:val="top"/>
          </w:tcPr>
          <w:p w14:paraId="403FDB77">
            <w:pPr>
              <w:pStyle w:val="6"/>
              <w:spacing w:before="189"/>
              <w:ind w:left="529"/>
              <w:rPr>
                <w:sz w:val="20"/>
                <w:szCs w:val="20"/>
              </w:rPr>
            </w:pPr>
            <w:r>
              <w:rPr>
                <w:sz w:val="20"/>
                <w:szCs w:val="20"/>
              </w:rPr>
              <w:t>3</w:t>
            </w:r>
          </w:p>
        </w:tc>
      </w:tr>
      <w:tr w14:paraId="52ADA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544BC5CD">
            <w:pPr>
              <w:pStyle w:val="6"/>
              <w:spacing w:before="61" w:line="183" w:lineRule="auto"/>
              <w:ind w:left="514"/>
              <w:rPr>
                <w:sz w:val="20"/>
                <w:szCs w:val="20"/>
              </w:rPr>
            </w:pPr>
            <w:r>
              <w:rPr>
                <w:sz w:val="20"/>
                <w:szCs w:val="20"/>
              </w:rPr>
              <w:t>5</w:t>
            </w:r>
          </w:p>
        </w:tc>
        <w:tc>
          <w:tcPr>
            <w:tcW w:w="1798" w:type="dxa"/>
            <w:vAlign w:val="top"/>
          </w:tcPr>
          <w:p w14:paraId="1C9B800F">
            <w:pPr>
              <w:pStyle w:val="6"/>
              <w:spacing w:before="42" w:line="201" w:lineRule="auto"/>
              <w:ind w:left="391"/>
              <w:rPr>
                <w:sz w:val="20"/>
                <w:szCs w:val="20"/>
              </w:rPr>
            </w:pPr>
            <w:r>
              <w:rPr>
                <w:spacing w:val="2"/>
                <w:sz w:val="20"/>
                <w:szCs w:val="20"/>
              </w:rPr>
              <w:t>连接软导线</w:t>
            </w:r>
          </w:p>
        </w:tc>
        <w:tc>
          <w:tcPr>
            <w:tcW w:w="3376" w:type="dxa"/>
            <w:vAlign w:val="top"/>
          </w:tcPr>
          <w:p w14:paraId="31C51D5F">
            <w:pPr>
              <w:pStyle w:val="6"/>
              <w:spacing w:before="40" w:line="203" w:lineRule="auto"/>
              <w:ind w:left="1183"/>
              <w:rPr>
                <w:sz w:val="20"/>
                <w:szCs w:val="20"/>
              </w:rPr>
            </w:pPr>
            <w:r>
              <w:rPr>
                <w:spacing w:val="-1"/>
                <w:sz w:val="20"/>
                <w:szCs w:val="20"/>
              </w:rPr>
              <w:t>JL/G1A-240</w:t>
            </w:r>
          </w:p>
        </w:tc>
        <w:tc>
          <w:tcPr>
            <w:tcW w:w="999" w:type="dxa"/>
            <w:vAlign w:val="top"/>
          </w:tcPr>
          <w:p w14:paraId="23E9158E">
            <w:pPr>
              <w:pStyle w:val="6"/>
              <w:spacing w:before="73" w:line="229" w:lineRule="auto"/>
              <w:ind w:left="458"/>
              <w:rPr>
                <w:sz w:val="15"/>
                <w:szCs w:val="15"/>
              </w:rPr>
            </w:pPr>
            <w:r>
              <w:rPr>
                <w:sz w:val="15"/>
                <w:szCs w:val="15"/>
              </w:rPr>
              <w:t>m</w:t>
            </w:r>
          </w:p>
        </w:tc>
        <w:tc>
          <w:tcPr>
            <w:tcW w:w="1163" w:type="dxa"/>
            <w:vAlign w:val="top"/>
          </w:tcPr>
          <w:p w14:paraId="15368B12">
            <w:pPr>
              <w:pStyle w:val="6"/>
              <w:spacing w:before="61" w:line="183" w:lineRule="auto"/>
              <w:ind w:left="428"/>
              <w:rPr>
                <w:sz w:val="20"/>
                <w:szCs w:val="20"/>
              </w:rPr>
            </w:pPr>
            <w:r>
              <w:rPr>
                <w:spacing w:val="-6"/>
                <w:sz w:val="20"/>
                <w:szCs w:val="20"/>
              </w:rPr>
              <w:t>150</w:t>
            </w:r>
          </w:p>
        </w:tc>
      </w:tr>
      <w:tr w14:paraId="3DA94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40FD096A">
            <w:pPr>
              <w:pStyle w:val="6"/>
              <w:spacing w:before="60" w:line="184" w:lineRule="auto"/>
              <w:ind w:left="514"/>
              <w:rPr>
                <w:sz w:val="20"/>
                <w:szCs w:val="20"/>
              </w:rPr>
            </w:pPr>
            <w:r>
              <w:rPr>
                <w:sz w:val="20"/>
                <w:szCs w:val="20"/>
              </w:rPr>
              <w:t>6</w:t>
            </w:r>
          </w:p>
        </w:tc>
        <w:tc>
          <w:tcPr>
            <w:tcW w:w="1798" w:type="dxa"/>
            <w:vAlign w:val="top"/>
          </w:tcPr>
          <w:p w14:paraId="6EF7B266">
            <w:pPr>
              <w:pStyle w:val="6"/>
              <w:spacing w:before="42" w:line="201" w:lineRule="auto"/>
              <w:ind w:left="391"/>
              <w:rPr>
                <w:sz w:val="20"/>
                <w:szCs w:val="20"/>
              </w:rPr>
            </w:pPr>
            <w:r>
              <w:rPr>
                <w:spacing w:val="2"/>
                <w:sz w:val="20"/>
                <w:szCs w:val="20"/>
              </w:rPr>
              <w:t>连接软导线</w:t>
            </w:r>
          </w:p>
        </w:tc>
        <w:tc>
          <w:tcPr>
            <w:tcW w:w="3376" w:type="dxa"/>
            <w:vAlign w:val="top"/>
          </w:tcPr>
          <w:p w14:paraId="3104D885">
            <w:pPr>
              <w:pStyle w:val="6"/>
              <w:spacing w:before="40" w:line="203" w:lineRule="auto"/>
              <w:ind w:left="1033"/>
              <w:rPr>
                <w:sz w:val="20"/>
                <w:szCs w:val="20"/>
              </w:rPr>
            </w:pPr>
            <w:r>
              <w:rPr>
                <w:spacing w:val="-1"/>
                <w:sz w:val="20"/>
                <w:szCs w:val="20"/>
              </w:rPr>
              <w:t>JL/G1A-300/40</w:t>
            </w:r>
          </w:p>
        </w:tc>
        <w:tc>
          <w:tcPr>
            <w:tcW w:w="999" w:type="dxa"/>
            <w:vAlign w:val="top"/>
          </w:tcPr>
          <w:p w14:paraId="3163B7CA">
            <w:pPr>
              <w:pStyle w:val="6"/>
              <w:spacing w:before="73" w:line="229" w:lineRule="auto"/>
              <w:ind w:left="458"/>
              <w:rPr>
                <w:sz w:val="15"/>
                <w:szCs w:val="15"/>
              </w:rPr>
            </w:pPr>
            <w:r>
              <w:rPr>
                <w:sz w:val="15"/>
                <w:szCs w:val="15"/>
              </w:rPr>
              <w:t>m</w:t>
            </w:r>
          </w:p>
        </w:tc>
        <w:tc>
          <w:tcPr>
            <w:tcW w:w="1163" w:type="dxa"/>
            <w:vAlign w:val="top"/>
          </w:tcPr>
          <w:p w14:paraId="68721A1A">
            <w:pPr>
              <w:pStyle w:val="6"/>
              <w:spacing w:before="60" w:line="184" w:lineRule="auto"/>
              <w:ind w:left="428"/>
              <w:rPr>
                <w:sz w:val="20"/>
                <w:szCs w:val="20"/>
              </w:rPr>
            </w:pPr>
            <w:r>
              <w:rPr>
                <w:spacing w:val="-3"/>
                <w:sz w:val="20"/>
                <w:szCs w:val="20"/>
              </w:rPr>
              <w:t>240</w:t>
            </w:r>
          </w:p>
        </w:tc>
      </w:tr>
      <w:tr w14:paraId="6D8C5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53" w:type="dxa"/>
            <w:vAlign w:val="top"/>
          </w:tcPr>
          <w:p w14:paraId="40F7D0C2">
            <w:pPr>
              <w:pStyle w:val="6"/>
              <w:spacing w:before="180"/>
              <w:ind w:left="514"/>
              <w:rPr>
                <w:sz w:val="20"/>
                <w:szCs w:val="20"/>
              </w:rPr>
            </w:pPr>
            <w:r>
              <w:rPr>
                <w:sz w:val="20"/>
                <w:szCs w:val="20"/>
              </w:rPr>
              <w:t>7</w:t>
            </w:r>
          </w:p>
        </w:tc>
        <w:tc>
          <w:tcPr>
            <w:tcW w:w="1798" w:type="dxa"/>
            <w:vAlign w:val="top"/>
          </w:tcPr>
          <w:p w14:paraId="105A11FA">
            <w:pPr>
              <w:pStyle w:val="6"/>
              <w:spacing w:before="161" w:line="219" w:lineRule="auto"/>
              <w:ind w:left="191"/>
              <w:rPr>
                <w:sz w:val="20"/>
                <w:szCs w:val="20"/>
              </w:rPr>
            </w:pPr>
            <w:r>
              <w:rPr>
                <w:spacing w:val="2"/>
                <w:sz w:val="20"/>
                <w:szCs w:val="20"/>
              </w:rPr>
              <w:t>户外绝缘管母线</w:t>
            </w:r>
          </w:p>
        </w:tc>
        <w:tc>
          <w:tcPr>
            <w:tcW w:w="3376" w:type="dxa"/>
            <w:vAlign w:val="top"/>
          </w:tcPr>
          <w:p w14:paraId="534DFD2F">
            <w:pPr>
              <w:pStyle w:val="6"/>
              <w:spacing w:before="57" w:line="204" w:lineRule="auto"/>
              <w:ind w:left="1283" w:right="437" w:hanging="850"/>
              <w:rPr>
                <w:sz w:val="20"/>
                <w:szCs w:val="20"/>
              </w:rPr>
            </w:pPr>
            <w:r>
              <w:rPr>
                <w:spacing w:val="-1"/>
                <w:sz w:val="20"/>
                <w:szCs w:val="20"/>
              </w:rPr>
              <w:t>GFM-2500A/40.5kV,冲击电流</w:t>
            </w:r>
            <w:r>
              <w:rPr>
                <w:spacing w:val="14"/>
                <w:sz w:val="20"/>
                <w:szCs w:val="20"/>
              </w:rPr>
              <w:t xml:space="preserve"> </w:t>
            </w:r>
            <w:r>
              <w:rPr>
                <w:spacing w:val="-3"/>
                <w:sz w:val="20"/>
                <w:szCs w:val="20"/>
              </w:rPr>
              <w:t>ich=80kA</w:t>
            </w:r>
          </w:p>
        </w:tc>
        <w:tc>
          <w:tcPr>
            <w:tcW w:w="999" w:type="dxa"/>
            <w:vAlign w:val="top"/>
          </w:tcPr>
          <w:p w14:paraId="2B88431D">
            <w:pPr>
              <w:spacing w:line="272" w:lineRule="auto"/>
              <w:rPr>
                <w:rFonts w:ascii="Arial"/>
                <w:sz w:val="21"/>
              </w:rPr>
            </w:pPr>
          </w:p>
          <w:p w14:paraId="12CD54BA">
            <w:pPr>
              <w:pStyle w:val="6"/>
              <w:spacing w:before="52" w:line="201" w:lineRule="auto"/>
              <w:ind w:left="458"/>
              <w:rPr>
                <w:sz w:val="16"/>
                <w:szCs w:val="16"/>
              </w:rPr>
            </w:pPr>
            <w:r>
              <w:rPr>
                <w:sz w:val="16"/>
                <w:szCs w:val="16"/>
              </w:rPr>
              <w:t>m</w:t>
            </w:r>
          </w:p>
        </w:tc>
        <w:tc>
          <w:tcPr>
            <w:tcW w:w="1163" w:type="dxa"/>
            <w:vAlign w:val="top"/>
          </w:tcPr>
          <w:p w14:paraId="682AD1C7">
            <w:pPr>
              <w:pStyle w:val="6"/>
              <w:spacing w:before="180"/>
              <w:ind w:left="478"/>
              <w:rPr>
                <w:sz w:val="20"/>
                <w:szCs w:val="20"/>
              </w:rPr>
            </w:pPr>
            <w:r>
              <w:rPr>
                <w:spacing w:val="-3"/>
                <w:sz w:val="20"/>
                <w:szCs w:val="20"/>
              </w:rPr>
              <w:t>50</w:t>
            </w:r>
          </w:p>
        </w:tc>
      </w:tr>
      <w:tr w14:paraId="76356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7E1E95BA">
            <w:pPr>
              <w:pStyle w:val="6"/>
              <w:spacing w:before="44" w:line="199" w:lineRule="auto"/>
              <w:ind w:left="364"/>
              <w:rPr>
                <w:sz w:val="20"/>
                <w:szCs w:val="20"/>
              </w:rPr>
            </w:pPr>
            <w:r>
              <w:rPr>
                <w:spacing w:val="14"/>
                <w:sz w:val="20"/>
                <w:szCs w:val="20"/>
              </w:rPr>
              <w:t>(四)</w:t>
            </w:r>
          </w:p>
        </w:tc>
        <w:tc>
          <w:tcPr>
            <w:tcW w:w="1798" w:type="dxa"/>
            <w:vAlign w:val="top"/>
          </w:tcPr>
          <w:p w14:paraId="255A2384">
            <w:pPr>
              <w:pStyle w:val="6"/>
              <w:spacing w:before="42" w:line="201" w:lineRule="auto"/>
              <w:ind w:left="291"/>
              <w:rPr>
                <w:sz w:val="20"/>
                <w:szCs w:val="20"/>
              </w:rPr>
            </w:pPr>
            <w:r>
              <w:rPr>
                <w:spacing w:val="-2"/>
                <w:sz w:val="20"/>
                <w:szCs w:val="20"/>
              </w:rPr>
              <w:t>35KV配电装置</w:t>
            </w:r>
          </w:p>
        </w:tc>
        <w:tc>
          <w:tcPr>
            <w:tcW w:w="3376" w:type="dxa"/>
            <w:vAlign w:val="top"/>
          </w:tcPr>
          <w:p w14:paraId="29ED7FE8">
            <w:pPr>
              <w:rPr>
                <w:rFonts w:ascii="Arial"/>
                <w:sz w:val="21"/>
              </w:rPr>
            </w:pPr>
          </w:p>
        </w:tc>
        <w:tc>
          <w:tcPr>
            <w:tcW w:w="999" w:type="dxa"/>
            <w:vAlign w:val="top"/>
          </w:tcPr>
          <w:p w14:paraId="579BB6C4">
            <w:pPr>
              <w:rPr>
                <w:rFonts w:ascii="Arial"/>
                <w:sz w:val="21"/>
              </w:rPr>
            </w:pPr>
          </w:p>
        </w:tc>
        <w:tc>
          <w:tcPr>
            <w:tcW w:w="1163" w:type="dxa"/>
            <w:vAlign w:val="top"/>
          </w:tcPr>
          <w:p w14:paraId="4F4894F3">
            <w:pPr>
              <w:rPr>
                <w:rFonts w:ascii="Arial"/>
                <w:sz w:val="21"/>
              </w:rPr>
            </w:pPr>
          </w:p>
        </w:tc>
      </w:tr>
      <w:tr w14:paraId="40562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4346D283">
            <w:pPr>
              <w:pStyle w:val="6"/>
              <w:spacing w:before="60" w:line="184" w:lineRule="auto"/>
              <w:ind w:left="514"/>
              <w:rPr>
                <w:sz w:val="20"/>
                <w:szCs w:val="20"/>
              </w:rPr>
            </w:pPr>
            <w:r>
              <w:rPr>
                <w:sz w:val="20"/>
                <w:szCs w:val="20"/>
              </w:rPr>
              <w:t>1</w:t>
            </w:r>
          </w:p>
        </w:tc>
        <w:tc>
          <w:tcPr>
            <w:tcW w:w="1798" w:type="dxa"/>
            <w:vAlign w:val="top"/>
          </w:tcPr>
          <w:p w14:paraId="04148DAB">
            <w:pPr>
              <w:pStyle w:val="6"/>
              <w:spacing w:before="42" w:line="201" w:lineRule="auto"/>
              <w:ind w:left="391"/>
              <w:rPr>
                <w:sz w:val="20"/>
                <w:szCs w:val="20"/>
              </w:rPr>
            </w:pPr>
            <w:r>
              <w:rPr>
                <w:spacing w:val="-2"/>
                <w:sz w:val="20"/>
                <w:szCs w:val="20"/>
              </w:rPr>
              <w:t>主变进线柜</w:t>
            </w:r>
          </w:p>
        </w:tc>
        <w:tc>
          <w:tcPr>
            <w:tcW w:w="3376" w:type="dxa"/>
            <w:vAlign w:val="top"/>
          </w:tcPr>
          <w:p w14:paraId="3C7547D1">
            <w:pPr>
              <w:pStyle w:val="6"/>
              <w:spacing w:before="42" w:line="201" w:lineRule="auto"/>
              <w:ind w:left="933"/>
              <w:rPr>
                <w:sz w:val="20"/>
                <w:szCs w:val="20"/>
              </w:rPr>
            </w:pPr>
            <w:r>
              <w:rPr>
                <w:spacing w:val="-1"/>
                <w:sz w:val="20"/>
                <w:szCs w:val="20"/>
              </w:rPr>
              <w:t>SF6充气式开关柜</w:t>
            </w:r>
          </w:p>
        </w:tc>
        <w:tc>
          <w:tcPr>
            <w:tcW w:w="999" w:type="dxa"/>
            <w:vAlign w:val="top"/>
          </w:tcPr>
          <w:p w14:paraId="3E864D74">
            <w:pPr>
              <w:pStyle w:val="6"/>
              <w:spacing w:before="42" w:line="201" w:lineRule="auto"/>
              <w:ind w:left="397"/>
              <w:rPr>
                <w:sz w:val="20"/>
                <w:szCs w:val="20"/>
              </w:rPr>
            </w:pPr>
            <w:r>
              <w:rPr>
                <w:sz w:val="20"/>
                <w:szCs w:val="20"/>
              </w:rPr>
              <w:t>面</w:t>
            </w:r>
          </w:p>
        </w:tc>
        <w:tc>
          <w:tcPr>
            <w:tcW w:w="1163" w:type="dxa"/>
            <w:vAlign w:val="top"/>
          </w:tcPr>
          <w:p w14:paraId="3CDAB591">
            <w:pPr>
              <w:pStyle w:val="6"/>
              <w:spacing w:before="60" w:line="184" w:lineRule="auto"/>
              <w:ind w:left="529"/>
              <w:rPr>
                <w:sz w:val="20"/>
                <w:szCs w:val="20"/>
              </w:rPr>
            </w:pPr>
            <w:r>
              <w:rPr>
                <w:sz w:val="20"/>
                <w:szCs w:val="20"/>
              </w:rPr>
              <w:t>1</w:t>
            </w:r>
          </w:p>
        </w:tc>
      </w:tr>
      <w:tr w14:paraId="20462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53" w:type="dxa"/>
            <w:vAlign w:val="top"/>
          </w:tcPr>
          <w:p w14:paraId="00A84CBD">
            <w:pPr>
              <w:pStyle w:val="6"/>
              <w:spacing w:before="191" w:line="241" w:lineRule="auto"/>
              <w:ind w:left="514"/>
              <w:rPr>
                <w:sz w:val="20"/>
                <w:szCs w:val="20"/>
              </w:rPr>
            </w:pPr>
            <w:r>
              <w:rPr>
                <w:sz w:val="20"/>
                <w:szCs w:val="20"/>
              </w:rPr>
              <w:t>2</w:t>
            </w:r>
          </w:p>
        </w:tc>
        <w:tc>
          <w:tcPr>
            <w:tcW w:w="1798" w:type="dxa"/>
            <w:vAlign w:val="top"/>
          </w:tcPr>
          <w:p w14:paraId="6B550B4D">
            <w:pPr>
              <w:pStyle w:val="6"/>
              <w:spacing w:before="50" w:line="221" w:lineRule="auto"/>
              <w:ind w:left="791" w:right="82" w:hanging="700"/>
              <w:rPr>
                <w:sz w:val="20"/>
                <w:szCs w:val="20"/>
              </w:rPr>
            </w:pPr>
            <w:r>
              <w:rPr>
                <w:spacing w:val="1"/>
                <w:sz w:val="20"/>
                <w:szCs w:val="20"/>
              </w:rPr>
              <w:t>光伏集电线路进线</w:t>
            </w:r>
            <w:r>
              <w:rPr>
                <w:spacing w:val="4"/>
                <w:sz w:val="20"/>
                <w:szCs w:val="20"/>
              </w:rPr>
              <w:t xml:space="preserve"> </w:t>
            </w:r>
            <w:r>
              <w:rPr>
                <w:sz w:val="20"/>
                <w:szCs w:val="20"/>
              </w:rPr>
              <w:t>柜</w:t>
            </w:r>
          </w:p>
        </w:tc>
        <w:tc>
          <w:tcPr>
            <w:tcW w:w="3376" w:type="dxa"/>
            <w:vAlign w:val="top"/>
          </w:tcPr>
          <w:p w14:paraId="49E53DAC">
            <w:pPr>
              <w:pStyle w:val="6"/>
              <w:spacing w:before="171" w:line="220" w:lineRule="auto"/>
              <w:ind w:left="933"/>
              <w:rPr>
                <w:sz w:val="20"/>
                <w:szCs w:val="20"/>
              </w:rPr>
            </w:pPr>
            <w:r>
              <w:rPr>
                <w:spacing w:val="-1"/>
                <w:sz w:val="20"/>
                <w:szCs w:val="20"/>
              </w:rPr>
              <w:t>SF6充气式开关柜</w:t>
            </w:r>
          </w:p>
        </w:tc>
        <w:tc>
          <w:tcPr>
            <w:tcW w:w="999" w:type="dxa"/>
            <w:vAlign w:val="top"/>
          </w:tcPr>
          <w:p w14:paraId="455FF116">
            <w:pPr>
              <w:pStyle w:val="6"/>
              <w:spacing w:before="172" w:line="221" w:lineRule="auto"/>
              <w:ind w:left="397"/>
              <w:rPr>
                <w:sz w:val="20"/>
                <w:szCs w:val="20"/>
              </w:rPr>
            </w:pPr>
            <w:r>
              <w:rPr>
                <w:sz w:val="20"/>
                <w:szCs w:val="20"/>
              </w:rPr>
              <w:t>面</w:t>
            </w:r>
          </w:p>
        </w:tc>
        <w:tc>
          <w:tcPr>
            <w:tcW w:w="1163" w:type="dxa"/>
            <w:vAlign w:val="top"/>
          </w:tcPr>
          <w:p w14:paraId="763E521C">
            <w:pPr>
              <w:pStyle w:val="6"/>
              <w:spacing w:before="191" w:line="241" w:lineRule="auto"/>
              <w:ind w:left="529"/>
              <w:rPr>
                <w:sz w:val="20"/>
                <w:szCs w:val="20"/>
              </w:rPr>
            </w:pPr>
            <w:r>
              <w:rPr>
                <w:sz w:val="20"/>
                <w:szCs w:val="20"/>
              </w:rPr>
              <w:t>4</w:t>
            </w:r>
          </w:p>
        </w:tc>
      </w:tr>
      <w:tr w14:paraId="3F0CD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53" w:type="dxa"/>
            <w:vAlign w:val="top"/>
          </w:tcPr>
          <w:p w14:paraId="744CB7F6">
            <w:pPr>
              <w:pStyle w:val="6"/>
              <w:spacing w:before="201"/>
              <w:ind w:left="514"/>
              <w:rPr>
                <w:sz w:val="20"/>
                <w:szCs w:val="20"/>
              </w:rPr>
            </w:pPr>
            <w:r>
              <w:rPr>
                <w:sz w:val="20"/>
                <w:szCs w:val="20"/>
              </w:rPr>
              <w:t>3</w:t>
            </w:r>
          </w:p>
        </w:tc>
        <w:tc>
          <w:tcPr>
            <w:tcW w:w="1798" w:type="dxa"/>
            <w:vAlign w:val="top"/>
          </w:tcPr>
          <w:p w14:paraId="06373563">
            <w:pPr>
              <w:pStyle w:val="6"/>
              <w:spacing w:before="42" w:line="229" w:lineRule="auto"/>
              <w:ind w:left="690" w:right="181" w:hanging="499"/>
              <w:rPr>
                <w:sz w:val="20"/>
                <w:szCs w:val="20"/>
              </w:rPr>
            </w:pPr>
            <w:r>
              <w:rPr>
                <w:spacing w:val="2"/>
                <w:sz w:val="20"/>
                <w:szCs w:val="20"/>
              </w:rPr>
              <w:t>35</w:t>
            </w:r>
            <w:r>
              <w:rPr>
                <w:sz w:val="20"/>
                <w:szCs w:val="20"/>
              </w:rPr>
              <w:t>kV</w:t>
            </w:r>
            <w:r>
              <w:rPr>
                <w:spacing w:val="2"/>
                <w:sz w:val="20"/>
                <w:szCs w:val="20"/>
              </w:rPr>
              <w:t>动态无功补</w:t>
            </w:r>
            <w:r>
              <w:rPr>
                <w:sz w:val="20"/>
                <w:szCs w:val="20"/>
              </w:rPr>
              <w:t xml:space="preserve"> </w:t>
            </w:r>
            <w:r>
              <w:rPr>
                <w:spacing w:val="-2"/>
                <w:sz w:val="20"/>
                <w:szCs w:val="20"/>
              </w:rPr>
              <w:t>偿柜</w:t>
            </w:r>
          </w:p>
        </w:tc>
        <w:tc>
          <w:tcPr>
            <w:tcW w:w="3376" w:type="dxa"/>
            <w:vAlign w:val="top"/>
          </w:tcPr>
          <w:p w14:paraId="2E44625D">
            <w:pPr>
              <w:pStyle w:val="6"/>
              <w:spacing w:before="182" w:line="220" w:lineRule="auto"/>
              <w:ind w:left="933"/>
              <w:rPr>
                <w:sz w:val="20"/>
                <w:szCs w:val="20"/>
              </w:rPr>
            </w:pPr>
            <w:r>
              <w:rPr>
                <w:spacing w:val="-1"/>
                <w:sz w:val="20"/>
                <w:szCs w:val="20"/>
              </w:rPr>
              <w:t>SF6充气式开关柜</w:t>
            </w:r>
          </w:p>
        </w:tc>
        <w:tc>
          <w:tcPr>
            <w:tcW w:w="999" w:type="dxa"/>
            <w:vAlign w:val="top"/>
          </w:tcPr>
          <w:p w14:paraId="6743B914">
            <w:pPr>
              <w:pStyle w:val="6"/>
              <w:spacing w:before="183" w:line="221" w:lineRule="auto"/>
              <w:ind w:left="397"/>
              <w:rPr>
                <w:sz w:val="20"/>
                <w:szCs w:val="20"/>
              </w:rPr>
            </w:pPr>
            <w:r>
              <w:rPr>
                <w:sz w:val="20"/>
                <w:szCs w:val="20"/>
              </w:rPr>
              <w:t>面</w:t>
            </w:r>
          </w:p>
        </w:tc>
        <w:tc>
          <w:tcPr>
            <w:tcW w:w="1163" w:type="dxa"/>
            <w:vAlign w:val="top"/>
          </w:tcPr>
          <w:p w14:paraId="737BC1F5">
            <w:pPr>
              <w:pStyle w:val="6"/>
              <w:spacing w:before="202" w:line="241" w:lineRule="auto"/>
              <w:ind w:left="529"/>
              <w:rPr>
                <w:sz w:val="20"/>
                <w:szCs w:val="20"/>
              </w:rPr>
            </w:pPr>
            <w:r>
              <w:rPr>
                <w:sz w:val="20"/>
                <w:szCs w:val="20"/>
              </w:rPr>
              <w:t>1</w:t>
            </w:r>
          </w:p>
        </w:tc>
      </w:tr>
      <w:tr w14:paraId="35933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53" w:type="dxa"/>
            <w:vAlign w:val="top"/>
          </w:tcPr>
          <w:p w14:paraId="4DEAAED1">
            <w:pPr>
              <w:pStyle w:val="6"/>
              <w:spacing w:before="52" w:line="182" w:lineRule="auto"/>
              <w:ind w:left="514"/>
              <w:rPr>
                <w:sz w:val="20"/>
                <w:szCs w:val="20"/>
              </w:rPr>
            </w:pPr>
            <w:r>
              <w:rPr>
                <w:sz w:val="20"/>
                <w:szCs w:val="20"/>
              </w:rPr>
              <w:t>4</w:t>
            </w:r>
          </w:p>
        </w:tc>
        <w:tc>
          <w:tcPr>
            <w:tcW w:w="1798" w:type="dxa"/>
            <w:vAlign w:val="top"/>
          </w:tcPr>
          <w:p w14:paraId="0B8F21DF">
            <w:pPr>
              <w:pStyle w:val="6"/>
              <w:spacing w:before="33" w:line="200" w:lineRule="auto"/>
              <w:ind w:left="91"/>
              <w:rPr>
                <w:sz w:val="20"/>
                <w:szCs w:val="20"/>
              </w:rPr>
            </w:pPr>
            <w:r>
              <w:rPr>
                <w:spacing w:val="-1"/>
                <w:sz w:val="20"/>
                <w:szCs w:val="20"/>
              </w:rPr>
              <w:t>母线电压互感器柜</w:t>
            </w:r>
          </w:p>
        </w:tc>
        <w:tc>
          <w:tcPr>
            <w:tcW w:w="3376" w:type="dxa"/>
            <w:vAlign w:val="top"/>
          </w:tcPr>
          <w:p w14:paraId="473A3A09">
            <w:pPr>
              <w:pStyle w:val="6"/>
              <w:spacing w:before="33" w:line="200" w:lineRule="auto"/>
              <w:ind w:left="933"/>
              <w:rPr>
                <w:sz w:val="20"/>
                <w:szCs w:val="20"/>
              </w:rPr>
            </w:pPr>
            <w:r>
              <w:rPr>
                <w:spacing w:val="-1"/>
                <w:sz w:val="20"/>
                <w:szCs w:val="20"/>
              </w:rPr>
              <w:t>SF6充气式开关柜</w:t>
            </w:r>
          </w:p>
        </w:tc>
        <w:tc>
          <w:tcPr>
            <w:tcW w:w="999" w:type="dxa"/>
            <w:vAlign w:val="top"/>
          </w:tcPr>
          <w:p w14:paraId="52AECC7A">
            <w:pPr>
              <w:pStyle w:val="6"/>
              <w:spacing w:before="34" w:line="199" w:lineRule="auto"/>
              <w:ind w:left="397"/>
              <w:rPr>
                <w:sz w:val="20"/>
                <w:szCs w:val="20"/>
              </w:rPr>
            </w:pPr>
            <w:r>
              <w:rPr>
                <w:sz w:val="20"/>
                <w:szCs w:val="20"/>
              </w:rPr>
              <w:t>面</w:t>
            </w:r>
          </w:p>
        </w:tc>
        <w:tc>
          <w:tcPr>
            <w:tcW w:w="1163" w:type="dxa"/>
            <w:vAlign w:val="top"/>
          </w:tcPr>
          <w:p w14:paraId="1317A2DE">
            <w:pPr>
              <w:pStyle w:val="6"/>
              <w:spacing w:before="52" w:line="182" w:lineRule="auto"/>
              <w:ind w:left="529"/>
              <w:rPr>
                <w:sz w:val="20"/>
                <w:szCs w:val="20"/>
              </w:rPr>
            </w:pPr>
            <w:r>
              <w:rPr>
                <w:sz w:val="20"/>
                <w:szCs w:val="20"/>
              </w:rPr>
              <w:t>1</w:t>
            </w:r>
          </w:p>
        </w:tc>
      </w:tr>
      <w:tr w14:paraId="74524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153" w:type="dxa"/>
            <w:vAlign w:val="top"/>
          </w:tcPr>
          <w:p w14:paraId="7299DDFB">
            <w:pPr>
              <w:pStyle w:val="6"/>
              <w:spacing w:before="212"/>
              <w:ind w:left="514"/>
              <w:rPr>
                <w:sz w:val="20"/>
                <w:szCs w:val="20"/>
              </w:rPr>
            </w:pPr>
            <w:r>
              <w:rPr>
                <w:sz w:val="20"/>
                <w:szCs w:val="20"/>
              </w:rPr>
              <w:t>5</w:t>
            </w:r>
          </w:p>
        </w:tc>
        <w:tc>
          <w:tcPr>
            <w:tcW w:w="1798" w:type="dxa"/>
            <w:vAlign w:val="top"/>
          </w:tcPr>
          <w:p w14:paraId="1180ED5A">
            <w:pPr>
              <w:pStyle w:val="6"/>
              <w:spacing w:before="53" w:line="238" w:lineRule="auto"/>
              <w:ind w:left="791" w:right="182" w:hanging="600"/>
              <w:rPr>
                <w:sz w:val="20"/>
                <w:szCs w:val="20"/>
              </w:rPr>
            </w:pPr>
            <w:r>
              <w:rPr>
                <w:spacing w:val="1"/>
                <w:sz w:val="20"/>
                <w:szCs w:val="20"/>
              </w:rPr>
              <w:t>35</w:t>
            </w:r>
            <w:r>
              <w:rPr>
                <w:sz w:val="20"/>
                <w:szCs w:val="20"/>
              </w:rPr>
              <w:t>kV</w:t>
            </w:r>
            <w:r>
              <w:rPr>
                <w:spacing w:val="1"/>
                <w:sz w:val="20"/>
                <w:szCs w:val="20"/>
              </w:rPr>
              <w:t>站用变进线</w:t>
            </w:r>
            <w:r>
              <w:rPr>
                <w:spacing w:val="5"/>
                <w:sz w:val="20"/>
                <w:szCs w:val="20"/>
              </w:rPr>
              <w:t xml:space="preserve"> </w:t>
            </w:r>
            <w:r>
              <w:rPr>
                <w:sz w:val="20"/>
                <w:szCs w:val="20"/>
              </w:rPr>
              <w:t>柜</w:t>
            </w:r>
          </w:p>
        </w:tc>
        <w:tc>
          <w:tcPr>
            <w:tcW w:w="3376" w:type="dxa"/>
            <w:vAlign w:val="top"/>
          </w:tcPr>
          <w:p w14:paraId="519D8305">
            <w:pPr>
              <w:pStyle w:val="6"/>
              <w:spacing w:before="193" w:line="220" w:lineRule="auto"/>
              <w:ind w:left="933"/>
              <w:rPr>
                <w:sz w:val="20"/>
                <w:szCs w:val="20"/>
              </w:rPr>
            </w:pPr>
            <w:r>
              <w:rPr>
                <w:spacing w:val="-1"/>
                <w:sz w:val="20"/>
                <w:szCs w:val="20"/>
              </w:rPr>
              <w:t>SF6充气式开关柜</w:t>
            </w:r>
          </w:p>
        </w:tc>
        <w:tc>
          <w:tcPr>
            <w:tcW w:w="999" w:type="dxa"/>
            <w:vAlign w:val="top"/>
          </w:tcPr>
          <w:p w14:paraId="26F00022">
            <w:pPr>
              <w:pStyle w:val="6"/>
              <w:spacing w:before="194" w:line="221" w:lineRule="auto"/>
              <w:ind w:left="397"/>
              <w:rPr>
                <w:sz w:val="20"/>
                <w:szCs w:val="20"/>
              </w:rPr>
            </w:pPr>
            <w:r>
              <w:rPr>
                <w:sz w:val="20"/>
                <w:szCs w:val="20"/>
              </w:rPr>
              <w:t>面</w:t>
            </w:r>
          </w:p>
        </w:tc>
        <w:tc>
          <w:tcPr>
            <w:tcW w:w="1163" w:type="dxa"/>
            <w:vAlign w:val="top"/>
          </w:tcPr>
          <w:p w14:paraId="0990A73B">
            <w:pPr>
              <w:pStyle w:val="6"/>
              <w:spacing w:before="213" w:line="241" w:lineRule="auto"/>
              <w:ind w:left="529"/>
              <w:rPr>
                <w:sz w:val="20"/>
                <w:szCs w:val="20"/>
              </w:rPr>
            </w:pPr>
            <w:r>
              <w:rPr>
                <w:sz w:val="20"/>
                <w:szCs w:val="20"/>
              </w:rPr>
              <w:t>1</w:t>
            </w:r>
          </w:p>
        </w:tc>
      </w:tr>
      <w:tr w14:paraId="6A6A0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53" w:type="dxa"/>
            <w:vAlign w:val="top"/>
          </w:tcPr>
          <w:p w14:paraId="357918CE">
            <w:pPr>
              <w:pStyle w:val="6"/>
              <w:spacing w:before="193"/>
              <w:ind w:left="514"/>
              <w:rPr>
                <w:sz w:val="20"/>
                <w:szCs w:val="20"/>
              </w:rPr>
            </w:pPr>
            <w:r>
              <w:rPr>
                <w:sz w:val="20"/>
                <w:szCs w:val="20"/>
              </w:rPr>
              <w:t>6</w:t>
            </w:r>
          </w:p>
        </w:tc>
        <w:tc>
          <w:tcPr>
            <w:tcW w:w="1798" w:type="dxa"/>
            <w:vAlign w:val="top"/>
          </w:tcPr>
          <w:p w14:paraId="7B4158AD">
            <w:pPr>
              <w:pStyle w:val="6"/>
              <w:spacing w:before="24" w:line="233" w:lineRule="auto"/>
              <w:ind w:left="791" w:right="182" w:hanging="600"/>
              <w:rPr>
                <w:sz w:val="20"/>
                <w:szCs w:val="20"/>
              </w:rPr>
            </w:pPr>
            <w:r>
              <w:rPr>
                <w:spacing w:val="1"/>
                <w:sz w:val="20"/>
                <w:szCs w:val="20"/>
              </w:rPr>
              <w:t>35</w:t>
            </w:r>
            <w:r>
              <w:rPr>
                <w:sz w:val="20"/>
                <w:szCs w:val="20"/>
              </w:rPr>
              <w:t>kV</w:t>
            </w:r>
            <w:r>
              <w:rPr>
                <w:spacing w:val="1"/>
                <w:sz w:val="20"/>
                <w:szCs w:val="20"/>
              </w:rPr>
              <w:t>接地变进线</w:t>
            </w:r>
            <w:r>
              <w:rPr>
                <w:spacing w:val="5"/>
                <w:sz w:val="20"/>
                <w:szCs w:val="20"/>
              </w:rPr>
              <w:t xml:space="preserve"> </w:t>
            </w:r>
            <w:r>
              <w:rPr>
                <w:sz w:val="20"/>
                <w:szCs w:val="20"/>
              </w:rPr>
              <w:t>柜</w:t>
            </w:r>
          </w:p>
        </w:tc>
        <w:tc>
          <w:tcPr>
            <w:tcW w:w="3376" w:type="dxa"/>
            <w:vAlign w:val="top"/>
          </w:tcPr>
          <w:p w14:paraId="20BA43CD">
            <w:pPr>
              <w:pStyle w:val="6"/>
              <w:spacing w:before="174" w:line="220" w:lineRule="auto"/>
              <w:ind w:left="933"/>
              <w:rPr>
                <w:sz w:val="20"/>
                <w:szCs w:val="20"/>
              </w:rPr>
            </w:pPr>
            <w:r>
              <w:rPr>
                <w:spacing w:val="-1"/>
                <w:sz w:val="20"/>
                <w:szCs w:val="20"/>
              </w:rPr>
              <w:t>SF6充气式开关柜</w:t>
            </w:r>
          </w:p>
        </w:tc>
        <w:tc>
          <w:tcPr>
            <w:tcW w:w="999" w:type="dxa"/>
            <w:vAlign w:val="top"/>
          </w:tcPr>
          <w:p w14:paraId="4A313D17">
            <w:pPr>
              <w:pStyle w:val="6"/>
              <w:spacing w:before="175" w:line="221" w:lineRule="auto"/>
              <w:ind w:left="397"/>
              <w:rPr>
                <w:sz w:val="20"/>
                <w:szCs w:val="20"/>
              </w:rPr>
            </w:pPr>
            <w:r>
              <w:rPr>
                <w:sz w:val="20"/>
                <w:szCs w:val="20"/>
              </w:rPr>
              <w:t>面</w:t>
            </w:r>
          </w:p>
        </w:tc>
        <w:tc>
          <w:tcPr>
            <w:tcW w:w="1163" w:type="dxa"/>
            <w:vAlign w:val="top"/>
          </w:tcPr>
          <w:p w14:paraId="4C137253">
            <w:pPr>
              <w:pStyle w:val="6"/>
              <w:spacing w:before="194" w:line="241" w:lineRule="auto"/>
              <w:ind w:left="529"/>
              <w:rPr>
                <w:sz w:val="20"/>
                <w:szCs w:val="20"/>
              </w:rPr>
            </w:pPr>
            <w:r>
              <w:rPr>
                <w:sz w:val="20"/>
                <w:szCs w:val="20"/>
              </w:rPr>
              <w:t>1</w:t>
            </w:r>
          </w:p>
        </w:tc>
      </w:tr>
      <w:tr w14:paraId="1B6CE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1153" w:type="dxa"/>
            <w:vAlign w:val="top"/>
          </w:tcPr>
          <w:p w14:paraId="31A3B56F">
            <w:pPr>
              <w:spacing w:line="337" w:lineRule="auto"/>
              <w:rPr>
                <w:rFonts w:ascii="Arial"/>
                <w:sz w:val="21"/>
              </w:rPr>
            </w:pPr>
          </w:p>
          <w:p w14:paraId="1850F98E">
            <w:pPr>
              <w:spacing w:line="338" w:lineRule="auto"/>
              <w:rPr>
                <w:rFonts w:ascii="Arial"/>
                <w:sz w:val="21"/>
              </w:rPr>
            </w:pPr>
          </w:p>
          <w:p w14:paraId="127779F8">
            <w:pPr>
              <w:pStyle w:val="6"/>
              <w:spacing w:before="65"/>
              <w:ind w:left="514"/>
              <w:rPr>
                <w:sz w:val="20"/>
                <w:szCs w:val="20"/>
              </w:rPr>
            </w:pPr>
            <w:r>
              <w:rPr>
                <w:sz w:val="20"/>
                <w:szCs w:val="20"/>
              </w:rPr>
              <w:t>7</w:t>
            </w:r>
          </w:p>
        </w:tc>
        <w:tc>
          <w:tcPr>
            <w:tcW w:w="1798" w:type="dxa"/>
            <w:vAlign w:val="top"/>
          </w:tcPr>
          <w:p w14:paraId="249E50B4">
            <w:pPr>
              <w:spacing w:line="328" w:lineRule="auto"/>
              <w:rPr>
                <w:rFonts w:ascii="Arial"/>
                <w:sz w:val="21"/>
              </w:rPr>
            </w:pPr>
          </w:p>
          <w:p w14:paraId="255AF2CF">
            <w:pPr>
              <w:spacing w:line="328" w:lineRule="auto"/>
              <w:rPr>
                <w:rFonts w:ascii="Arial"/>
                <w:sz w:val="21"/>
              </w:rPr>
            </w:pPr>
          </w:p>
          <w:p w14:paraId="0B5EB428">
            <w:pPr>
              <w:pStyle w:val="6"/>
              <w:spacing w:before="65" w:line="219" w:lineRule="auto"/>
              <w:ind w:left="391"/>
              <w:rPr>
                <w:sz w:val="20"/>
                <w:szCs w:val="20"/>
              </w:rPr>
            </w:pPr>
            <w:r>
              <w:rPr>
                <w:spacing w:val="-2"/>
                <w:sz w:val="20"/>
                <w:szCs w:val="20"/>
              </w:rPr>
              <w:t>生产预制舱</w:t>
            </w:r>
          </w:p>
        </w:tc>
        <w:tc>
          <w:tcPr>
            <w:tcW w:w="3376" w:type="dxa"/>
            <w:vAlign w:val="top"/>
          </w:tcPr>
          <w:p w14:paraId="6DE29AF3">
            <w:pPr>
              <w:pStyle w:val="6"/>
              <w:spacing w:before="25" w:line="219" w:lineRule="auto"/>
              <w:ind w:left="183"/>
              <w:rPr>
                <w:sz w:val="20"/>
                <w:szCs w:val="20"/>
              </w:rPr>
            </w:pPr>
            <w:r>
              <w:rPr>
                <w:spacing w:val="2"/>
                <w:sz w:val="20"/>
                <w:szCs w:val="20"/>
              </w:rPr>
              <w:t>一层长×宽：32m×5.4m;二层长×</w:t>
            </w:r>
          </w:p>
          <w:p w14:paraId="0703979A">
            <w:pPr>
              <w:pStyle w:val="6"/>
              <w:spacing w:before="42" w:line="219" w:lineRule="auto"/>
              <w:ind w:left="283"/>
              <w:rPr>
                <w:sz w:val="20"/>
                <w:szCs w:val="20"/>
              </w:rPr>
            </w:pPr>
            <w:r>
              <w:rPr>
                <w:sz w:val="20"/>
                <w:szCs w:val="20"/>
              </w:rPr>
              <w:t>宽：32m×5.4m;防护等级不低于</w:t>
            </w:r>
          </w:p>
          <w:p w14:paraId="76CAF5BA">
            <w:pPr>
              <w:pStyle w:val="6"/>
              <w:spacing w:before="29" w:line="216" w:lineRule="auto"/>
              <w:ind w:left="133"/>
              <w:rPr>
                <w:sz w:val="20"/>
                <w:szCs w:val="20"/>
              </w:rPr>
            </w:pPr>
            <w:r>
              <w:rPr>
                <w:sz w:val="20"/>
                <w:szCs w:val="20"/>
              </w:rPr>
              <w:t>IP54,含绝缘垫、一二次接地网、电</w:t>
            </w:r>
          </w:p>
          <w:p w14:paraId="19A304F5">
            <w:pPr>
              <w:pStyle w:val="6"/>
              <w:spacing w:before="38" w:line="219" w:lineRule="auto"/>
              <w:ind w:left="183"/>
              <w:rPr>
                <w:sz w:val="20"/>
                <w:szCs w:val="20"/>
              </w:rPr>
            </w:pPr>
            <w:r>
              <w:rPr>
                <w:spacing w:val="-1"/>
                <w:sz w:val="20"/>
                <w:szCs w:val="20"/>
              </w:rPr>
              <w:t>缆槽盒及其空调、通风、消防、火</w:t>
            </w:r>
          </w:p>
          <w:p w14:paraId="2E4C96D1">
            <w:pPr>
              <w:pStyle w:val="6"/>
              <w:spacing w:before="43" w:line="219" w:lineRule="auto"/>
              <w:ind w:left="183"/>
              <w:rPr>
                <w:sz w:val="20"/>
                <w:szCs w:val="20"/>
              </w:rPr>
            </w:pPr>
            <w:r>
              <w:rPr>
                <w:sz w:val="20"/>
                <w:szCs w:val="20"/>
              </w:rPr>
              <w:t>灾报警、环境监测等满足工程需要</w:t>
            </w:r>
          </w:p>
          <w:p w14:paraId="74F8E7DE">
            <w:pPr>
              <w:pStyle w:val="6"/>
              <w:spacing w:before="32" w:line="207" w:lineRule="auto"/>
              <w:ind w:left="1183"/>
              <w:rPr>
                <w:sz w:val="20"/>
                <w:szCs w:val="20"/>
              </w:rPr>
            </w:pPr>
            <w:r>
              <w:rPr>
                <w:spacing w:val="1"/>
                <w:sz w:val="20"/>
                <w:szCs w:val="20"/>
              </w:rPr>
              <w:t>的附属设备</w:t>
            </w:r>
          </w:p>
        </w:tc>
        <w:tc>
          <w:tcPr>
            <w:tcW w:w="999" w:type="dxa"/>
            <w:vAlign w:val="top"/>
          </w:tcPr>
          <w:p w14:paraId="0D746ED3">
            <w:pPr>
              <w:spacing w:line="328" w:lineRule="auto"/>
              <w:rPr>
                <w:rFonts w:ascii="Arial"/>
                <w:sz w:val="21"/>
              </w:rPr>
            </w:pPr>
          </w:p>
          <w:p w14:paraId="726C50C9">
            <w:pPr>
              <w:spacing w:line="328" w:lineRule="auto"/>
              <w:rPr>
                <w:rFonts w:ascii="Arial"/>
                <w:sz w:val="21"/>
              </w:rPr>
            </w:pPr>
          </w:p>
          <w:p w14:paraId="0CC99061">
            <w:pPr>
              <w:pStyle w:val="6"/>
              <w:spacing w:before="65" w:line="220" w:lineRule="auto"/>
              <w:ind w:left="397"/>
              <w:rPr>
                <w:sz w:val="20"/>
                <w:szCs w:val="20"/>
              </w:rPr>
            </w:pPr>
            <w:r>
              <w:rPr>
                <w:sz w:val="20"/>
                <w:szCs w:val="20"/>
              </w:rPr>
              <w:t>套</w:t>
            </w:r>
          </w:p>
        </w:tc>
        <w:tc>
          <w:tcPr>
            <w:tcW w:w="1163" w:type="dxa"/>
            <w:vAlign w:val="top"/>
          </w:tcPr>
          <w:p w14:paraId="77684F21">
            <w:pPr>
              <w:spacing w:line="338" w:lineRule="auto"/>
              <w:rPr>
                <w:rFonts w:ascii="Arial"/>
                <w:sz w:val="21"/>
              </w:rPr>
            </w:pPr>
          </w:p>
          <w:p w14:paraId="0F013E7B">
            <w:pPr>
              <w:spacing w:line="338" w:lineRule="auto"/>
              <w:rPr>
                <w:rFonts w:ascii="Arial"/>
                <w:sz w:val="21"/>
              </w:rPr>
            </w:pPr>
          </w:p>
          <w:p w14:paraId="3FC5E1B0">
            <w:pPr>
              <w:pStyle w:val="6"/>
              <w:spacing w:before="65" w:line="241" w:lineRule="auto"/>
              <w:ind w:left="529"/>
              <w:rPr>
                <w:sz w:val="20"/>
                <w:szCs w:val="20"/>
              </w:rPr>
            </w:pPr>
            <w:r>
              <w:rPr>
                <w:sz w:val="20"/>
                <w:szCs w:val="20"/>
              </w:rPr>
              <w:t>1</w:t>
            </w:r>
          </w:p>
        </w:tc>
      </w:tr>
      <w:tr w14:paraId="0C71F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53" w:type="dxa"/>
            <w:vAlign w:val="top"/>
          </w:tcPr>
          <w:p w14:paraId="637862ED">
            <w:pPr>
              <w:pStyle w:val="6"/>
              <w:spacing w:before="38" w:line="195" w:lineRule="auto"/>
              <w:ind w:left="364"/>
              <w:rPr>
                <w:sz w:val="20"/>
                <w:szCs w:val="20"/>
              </w:rPr>
            </w:pPr>
            <w:r>
              <w:rPr>
                <w:spacing w:val="14"/>
                <w:sz w:val="20"/>
                <w:szCs w:val="20"/>
              </w:rPr>
              <w:t>(五)</w:t>
            </w:r>
          </w:p>
        </w:tc>
        <w:tc>
          <w:tcPr>
            <w:tcW w:w="1798" w:type="dxa"/>
            <w:vAlign w:val="top"/>
          </w:tcPr>
          <w:p w14:paraId="7237E71D">
            <w:pPr>
              <w:pStyle w:val="6"/>
              <w:spacing w:before="36" w:line="197" w:lineRule="auto"/>
              <w:ind w:left="91"/>
              <w:rPr>
                <w:sz w:val="20"/>
                <w:szCs w:val="20"/>
              </w:rPr>
            </w:pPr>
            <w:r>
              <w:rPr>
                <w:spacing w:val="-1"/>
                <w:sz w:val="20"/>
                <w:szCs w:val="20"/>
              </w:rPr>
              <w:t>动态无功补偿装置</w:t>
            </w:r>
          </w:p>
        </w:tc>
        <w:tc>
          <w:tcPr>
            <w:tcW w:w="3376" w:type="dxa"/>
            <w:vAlign w:val="top"/>
          </w:tcPr>
          <w:p w14:paraId="2CCA7652">
            <w:pPr>
              <w:rPr>
                <w:rFonts w:ascii="Arial"/>
                <w:sz w:val="21"/>
              </w:rPr>
            </w:pPr>
          </w:p>
        </w:tc>
        <w:tc>
          <w:tcPr>
            <w:tcW w:w="999" w:type="dxa"/>
            <w:vAlign w:val="top"/>
          </w:tcPr>
          <w:p w14:paraId="14213D09">
            <w:pPr>
              <w:rPr>
                <w:rFonts w:ascii="Arial"/>
                <w:sz w:val="21"/>
              </w:rPr>
            </w:pPr>
          </w:p>
        </w:tc>
        <w:tc>
          <w:tcPr>
            <w:tcW w:w="1163" w:type="dxa"/>
            <w:vAlign w:val="top"/>
          </w:tcPr>
          <w:p w14:paraId="25F448BD">
            <w:pPr>
              <w:rPr>
                <w:rFonts w:ascii="Arial"/>
                <w:sz w:val="21"/>
              </w:rPr>
            </w:pPr>
          </w:p>
        </w:tc>
      </w:tr>
      <w:tr w14:paraId="5E784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67CFF2F1">
            <w:pPr>
              <w:pStyle w:val="6"/>
              <w:spacing w:before="66" w:line="179" w:lineRule="auto"/>
              <w:ind w:left="514"/>
              <w:rPr>
                <w:sz w:val="20"/>
                <w:szCs w:val="20"/>
              </w:rPr>
            </w:pPr>
            <w:r>
              <w:rPr>
                <w:sz w:val="20"/>
                <w:szCs w:val="20"/>
              </w:rPr>
              <w:t>1</w:t>
            </w:r>
          </w:p>
        </w:tc>
        <w:tc>
          <w:tcPr>
            <w:tcW w:w="1798" w:type="dxa"/>
            <w:vAlign w:val="top"/>
          </w:tcPr>
          <w:p w14:paraId="35558EDA">
            <w:pPr>
              <w:pStyle w:val="6"/>
              <w:spacing w:before="46" w:line="197" w:lineRule="auto"/>
              <w:ind w:left="91"/>
              <w:rPr>
                <w:sz w:val="20"/>
                <w:szCs w:val="20"/>
              </w:rPr>
            </w:pPr>
            <w:r>
              <w:rPr>
                <w:spacing w:val="-1"/>
                <w:sz w:val="20"/>
                <w:szCs w:val="20"/>
              </w:rPr>
              <w:t>动态无功补偿装置</w:t>
            </w:r>
          </w:p>
        </w:tc>
        <w:tc>
          <w:tcPr>
            <w:tcW w:w="3376" w:type="dxa"/>
            <w:vAlign w:val="top"/>
          </w:tcPr>
          <w:p w14:paraId="767671F5">
            <w:pPr>
              <w:pStyle w:val="6"/>
              <w:spacing w:before="62" w:line="182" w:lineRule="auto"/>
              <w:ind w:left="1134"/>
              <w:rPr>
                <w:sz w:val="20"/>
                <w:szCs w:val="20"/>
              </w:rPr>
            </w:pPr>
            <w:r>
              <w:rPr>
                <w:spacing w:val="-4"/>
                <w:sz w:val="20"/>
                <w:szCs w:val="20"/>
              </w:rPr>
              <w:t>±30000kvar</w:t>
            </w:r>
          </w:p>
        </w:tc>
        <w:tc>
          <w:tcPr>
            <w:tcW w:w="999" w:type="dxa"/>
            <w:vAlign w:val="top"/>
          </w:tcPr>
          <w:p w14:paraId="2546C94E">
            <w:pPr>
              <w:pStyle w:val="6"/>
              <w:spacing w:before="46" w:line="197" w:lineRule="auto"/>
              <w:ind w:left="397"/>
              <w:rPr>
                <w:sz w:val="20"/>
                <w:szCs w:val="20"/>
              </w:rPr>
            </w:pPr>
            <w:r>
              <w:rPr>
                <w:sz w:val="20"/>
                <w:szCs w:val="20"/>
              </w:rPr>
              <w:t>套</w:t>
            </w:r>
          </w:p>
        </w:tc>
        <w:tc>
          <w:tcPr>
            <w:tcW w:w="1163" w:type="dxa"/>
            <w:vAlign w:val="top"/>
          </w:tcPr>
          <w:p w14:paraId="09DDBDC9">
            <w:pPr>
              <w:pStyle w:val="6"/>
              <w:spacing w:before="66" w:line="179" w:lineRule="auto"/>
              <w:ind w:left="529"/>
              <w:rPr>
                <w:sz w:val="20"/>
                <w:szCs w:val="20"/>
              </w:rPr>
            </w:pPr>
            <w:r>
              <w:rPr>
                <w:sz w:val="20"/>
                <w:szCs w:val="20"/>
              </w:rPr>
              <w:t>1</w:t>
            </w:r>
          </w:p>
        </w:tc>
      </w:tr>
      <w:tr w14:paraId="4CD5D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05005491">
            <w:pPr>
              <w:pStyle w:val="6"/>
              <w:spacing w:before="66" w:line="179" w:lineRule="auto"/>
              <w:ind w:left="514"/>
              <w:rPr>
                <w:sz w:val="20"/>
                <w:szCs w:val="20"/>
              </w:rPr>
            </w:pPr>
            <w:r>
              <w:rPr>
                <w:sz w:val="20"/>
                <w:szCs w:val="20"/>
              </w:rPr>
              <w:t>2</w:t>
            </w:r>
          </w:p>
        </w:tc>
        <w:tc>
          <w:tcPr>
            <w:tcW w:w="1798" w:type="dxa"/>
            <w:vAlign w:val="top"/>
          </w:tcPr>
          <w:p w14:paraId="3DC48D11">
            <w:pPr>
              <w:pStyle w:val="6"/>
              <w:spacing w:before="46" w:line="197" w:lineRule="auto"/>
              <w:ind w:left="291"/>
              <w:rPr>
                <w:sz w:val="20"/>
                <w:szCs w:val="20"/>
              </w:rPr>
            </w:pPr>
            <w:r>
              <w:rPr>
                <w:spacing w:val="1"/>
                <w:sz w:val="20"/>
                <w:szCs w:val="20"/>
              </w:rPr>
              <w:t>35</w:t>
            </w:r>
            <w:r>
              <w:rPr>
                <w:sz w:val="20"/>
                <w:szCs w:val="20"/>
              </w:rPr>
              <w:t>kV</w:t>
            </w:r>
            <w:r>
              <w:rPr>
                <w:spacing w:val="1"/>
                <w:sz w:val="20"/>
                <w:szCs w:val="20"/>
              </w:rPr>
              <w:t>电力电缆</w:t>
            </w:r>
          </w:p>
        </w:tc>
        <w:tc>
          <w:tcPr>
            <w:tcW w:w="3376" w:type="dxa"/>
            <w:vAlign w:val="top"/>
          </w:tcPr>
          <w:p w14:paraId="530ACE34">
            <w:pPr>
              <w:pStyle w:val="6"/>
              <w:spacing w:before="44" w:line="199" w:lineRule="auto"/>
              <w:ind w:left="633"/>
              <w:rPr>
                <w:sz w:val="20"/>
                <w:szCs w:val="20"/>
              </w:rPr>
            </w:pPr>
            <w:r>
              <w:rPr>
                <w:spacing w:val="-1"/>
                <w:sz w:val="20"/>
                <w:szCs w:val="20"/>
              </w:rPr>
              <w:t>ZR-YJV22-26/35-3×400</w:t>
            </w:r>
          </w:p>
        </w:tc>
        <w:tc>
          <w:tcPr>
            <w:tcW w:w="999" w:type="dxa"/>
            <w:vAlign w:val="top"/>
          </w:tcPr>
          <w:p w14:paraId="592CE6A7">
            <w:pPr>
              <w:pStyle w:val="6"/>
              <w:spacing w:before="80" w:line="207" w:lineRule="auto"/>
              <w:ind w:left="458"/>
              <w:rPr>
                <w:sz w:val="16"/>
                <w:szCs w:val="16"/>
              </w:rPr>
            </w:pPr>
            <w:r>
              <w:rPr>
                <w:sz w:val="16"/>
                <w:szCs w:val="16"/>
              </w:rPr>
              <w:t>m</w:t>
            </w:r>
          </w:p>
        </w:tc>
        <w:tc>
          <w:tcPr>
            <w:tcW w:w="1163" w:type="dxa"/>
            <w:vAlign w:val="top"/>
          </w:tcPr>
          <w:p w14:paraId="5D7C8E61">
            <w:pPr>
              <w:pStyle w:val="6"/>
              <w:spacing w:before="66" w:line="179" w:lineRule="auto"/>
              <w:ind w:left="428"/>
              <w:rPr>
                <w:sz w:val="20"/>
                <w:szCs w:val="20"/>
              </w:rPr>
            </w:pPr>
            <w:r>
              <w:rPr>
                <w:spacing w:val="-3"/>
                <w:sz w:val="20"/>
                <w:szCs w:val="20"/>
              </w:rPr>
              <w:t>200</w:t>
            </w:r>
          </w:p>
        </w:tc>
      </w:tr>
      <w:tr w14:paraId="7F717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53" w:type="dxa"/>
            <w:vAlign w:val="top"/>
          </w:tcPr>
          <w:p w14:paraId="52A7708F">
            <w:pPr>
              <w:pStyle w:val="6"/>
              <w:spacing w:before="195"/>
              <w:ind w:left="514"/>
              <w:rPr>
                <w:sz w:val="20"/>
                <w:szCs w:val="20"/>
              </w:rPr>
            </w:pPr>
            <w:r>
              <w:rPr>
                <w:sz w:val="20"/>
                <w:szCs w:val="20"/>
              </w:rPr>
              <w:t>3</w:t>
            </w:r>
          </w:p>
        </w:tc>
        <w:tc>
          <w:tcPr>
            <w:tcW w:w="1798" w:type="dxa"/>
            <w:vAlign w:val="top"/>
          </w:tcPr>
          <w:p w14:paraId="2ED5EB9F">
            <w:pPr>
              <w:pStyle w:val="6"/>
              <w:spacing w:before="65" w:line="214" w:lineRule="auto"/>
              <w:ind w:left="690" w:right="187" w:hanging="499"/>
              <w:rPr>
                <w:sz w:val="20"/>
                <w:szCs w:val="20"/>
              </w:rPr>
            </w:pPr>
            <w:r>
              <w:rPr>
                <w:spacing w:val="1"/>
                <w:sz w:val="20"/>
                <w:szCs w:val="20"/>
              </w:rPr>
              <w:t>35</w:t>
            </w:r>
            <w:r>
              <w:rPr>
                <w:sz w:val="20"/>
                <w:szCs w:val="20"/>
              </w:rPr>
              <w:t>kV</w:t>
            </w:r>
            <w:r>
              <w:rPr>
                <w:spacing w:val="1"/>
                <w:sz w:val="20"/>
                <w:szCs w:val="20"/>
              </w:rPr>
              <w:t>户内电缆终</w:t>
            </w:r>
            <w:r>
              <w:rPr>
                <w:sz w:val="20"/>
                <w:szCs w:val="20"/>
              </w:rPr>
              <w:t xml:space="preserve"> </w:t>
            </w:r>
            <w:r>
              <w:rPr>
                <w:spacing w:val="5"/>
                <w:sz w:val="20"/>
                <w:szCs w:val="20"/>
              </w:rPr>
              <w:t>端头</w:t>
            </w:r>
          </w:p>
        </w:tc>
        <w:tc>
          <w:tcPr>
            <w:tcW w:w="3376" w:type="dxa"/>
            <w:vAlign w:val="top"/>
          </w:tcPr>
          <w:p w14:paraId="53A520AF">
            <w:pPr>
              <w:pStyle w:val="6"/>
              <w:spacing w:before="173" w:line="216" w:lineRule="auto"/>
              <w:ind w:left="1134"/>
              <w:rPr>
                <w:sz w:val="20"/>
                <w:szCs w:val="20"/>
              </w:rPr>
            </w:pPr>
            <w:r>
              <w:rPr>
                <w:spacing w:val="-2"/>
                <w:sz w:val="20"/>
                <w:szCs w:val="20"/>
              </w:rPr>
              <w:t>3×400,35kV</w:t>
            </w:r>
          </w:p>
        </w:tc>
        <w:tc>
          <w:tcPr>
            <w:tcW w:w="999" w:type="dxa"/>
            <w:vAlign w:val="top"/>
          </w:tcPr>
          <w:p w14:paraId="697A604B">
            <w:pPr>
              <w:pStyle w:val="6"/>
              <w:spacing w:before="176" w:line="220" w:lineRule="auto"/>
              <w:ind w:left="397"/>
              <w:rPr>
                <w:sz w:val="20"/>
                <w:szCs w:val="20"/>
              </w:rPr>
            </w:pPr>
            <w:r>
              <w:rPr>
                <w:sz w:val="20"/>
                <w:szCs w:val="20"/>
              </w:rPr>
              <w:t>套</w:t>
            </w:r>
          </w:p>
        </w:tc>
        <w:tc>
          <w:tcPr>
            <w:tcW w:w="1163" w:type="dxa"/>
            <w:vAlign w:val="top"/>
          </w:tcPr>
          <w:p w14:paraId="5AB726A4">
            <w:pPr>
              <w:pStyle w:val="6"/>
              <w:spacing w:before="196" w:line="241" w:lineRule="auto"/>
              <w:ind w:left="529"/>
              <w:rPr>
                <w:sz w:val="20"/>
                <w:szCs w:val="20"/>
              </w:rPr>
            </w:pPr>
            <w:r>
              <w:rPr>
                <w:sz w:val="20"/>
                <w:szCs w:val="20"/>
              </w:rPr>
              <w:t>2</w:t>
            </w:r>
          </w:p>
        </w:tc>
      </w:tr>
      <w:tr w14:paraId="4F482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153" w:type="dxa"/>
            <w:vAlign w:val="top"/>
          </w:tcPr>
          <w:p w14:paraId="59DDC90D">
            <w:pPr>
              <w:pStyle w:val="6"/>
              <w:spacing w:before="207" w:line="241" w:lineRule="auto"/>
              <w:ind w:left="514"/>
              <w:rPr>
                <w:sz w:val="20"/>
                <w:szCs w:val="20"/>
              </w:rPr>
            </w:pPr>
            <w:r>
              <w:rPr>
                <w:sz w:val="20"/>
                <w:szCs w:val="20"/>
              </w:rPr>
              <w:t>4</w:t>
            </w:r>
          </w:p>
        </w:tc>
        <w:tc>
          <w:tcPr>
            <w:tcW w:w="1798" w:type="dxa"/>
            <w:vAlign w:val="top"/>
          </w:tcPr>
          <w:p w14:paraId="318963FF">
            <w:pPr>
              <w:pStyle w:val="6"/>
              <w:spacing w:before="46" w:line="228" w:lineRule="auto"/>
              <w:ind w:left="690" w:right="187" w:hanging="499"/>
              <w:rPr>
                <w:sz w:val="20"/>
                <w:szCs w:val="20"/>
              </w:rPr>
            </w:pPr>
            <w:r>
              <w:rPr>
                <w:spacing w:val="1"/>
                <w:sz w:val="20"/>
                <w:szCs w:val="20"/>
              </w:rPr>
              <w:t>35</w:t>
            </w:r>
            <w:r>
              <w:rPr>
                <w:sz w:val="20"/>
                <w:szCs w:val="20"/>
              </w:rPr>
              <w:t>kV</w:t>
            </w:r>
            <w:r>
              <w:rPr>
                <w:spacing w:val="1"/>
                <w:sz w:val="20"/>
                <w:szCs w:val="20"/>
              </w:rPr>
              <w:t>户外电缆终</w:t>
            </w:r>
            <w:r>
              <w:rPr>
                <w:sz w:val="20"/>
                <w:szCs w:val="20"/>
              </w:rPr>
              <w:t xml:space="preserve"> </w:t>
            </w:r>
            <w:r>
              <w:rPr>
                <w:spacing w:val="5"/>
                <w:sz w:val="20"/>
                <w:szCs w:val="20"/>
              </w:rPr>
              <w:t>端头</w:t>
            </w:r>
          </w:p>
        </w:tc>
        <w:tc>
          <w:tcPr>
            <w:tcW w:w="3376" w:type="dxa"/>
            <w:vAlign w:val="top"/>
          </w:tcPr>
          <w:p w14:paraId="1E5FA8D5">
            <w:pPr>
              <w:pStyle w:val="6"/>
              <w:spacing w:before="184" w:line="216" w:lineRule="auto"/>
              <w:ind w:left="1134"/>
              <w:rPr>
                <w:sz w:val="20"/>
                <w:szCs w:val="20"/>
              </w:rPr>
            </w:pPr>
            <w:r>
              <w:rPr>
                <w:spacing w:val="-2"/>
                <w:sz w:val="20"/>
                <w:szCs w:val="20"/>
              </w:rPr>
              <w:t>3×400,35kV</w:t>
            </w:r>
          </w:p>
        </w:tc>
        <w:tc>
          <w:tcPr>
            <w:tcW w:w="999" w:type="dxa"/>
            <w:vAlign w:val="top"/>
          </w:tcPr>
          <w:p w14:paraId="76B56122">
            <w:pPr>
              <w:pStyle w:val="6"/>
              <w:spacing w:before="187" w:line="220" w:lineRule="auto"/>
              <w:ind w:left="397"/>
              <w:rPr>
                <w:sz w:val="20"/>
                <w:szCs w:val="20"/>
              </w:rPr>
            </w:pPr>
            <w:r>
              <w:rPr>
                <w:sz w:val="20"/>
                <w:szCs w:val="20"/>
              </w:rPr>
              <w:t>套</w:t>
            </w:r>
          </w:p>
        </w:tc>
        <w:tc>
          <w:tcPr>
            <w:tcW w:w="1163" w:type="dxa"/>
            <w:vAlign w:val="top"/>
          </w:tcPr>
          <w:p w14:paraId="3E1F5B09">
            <w:pPr>
              <w:pStyle w:val="6"/>
              <w:spacing w:before="207" w:line="241" w:lineRule="auto"/>
              <w:ind w:left="529"/>
              <w:rPr>
                <w:sz w:val="20"/>
                <w:szCs w:val="20"/>
              </w:rPr>
            </w:pPr>
            <w:r>
              <w:rPr>
                <w:sz w:val="20"/>
                <w:szCs w:val="20"/>
              </w:rPr>
              <w:t>2</w:t>
            </w:r>
          </w:p>
        </w:tc>
      </w:tr>
      <w:tr w14:paraId="4E9B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53" w:type="dxa"/>
            <w:vAlign w:val="top"/>
          </w:tcPr>
          <w:p w14:paraId="5157B6EA">
            <w:pPr>
              <w:pStyle w:val="6"/>
              <w:spacing w:before="49" w:line="194" w:lineRule="auto"/>
              <w:ind w:left="364"/>
              <w:rPr>
                <w:sz w:val="20"/>
                <w:szCs w:val="20"/>
              </w:rPr>
            </w:pPr>
            <w:r>
              <w:rPr>
                <w:spacing w:val="14"/>
                <w:sz w:val="20"/>
                <w:szCs w:val="20"/>
              </w:rPr>
              <w:t>(六)</w:t>
            </w:r>
          </w:p>
        </w:tc>
        <w:tc>
          <w:tcPr>
            <w:tcW w:w="1798" w:type="dxa"/>
            <w:vAlign w:val="top"/>
          </w:tcPr>
          <w:p w14:paraId="702B0285">
            <w:pPr>
              <w:pStyle w:val="6"/>
              <w:spacing w:before="46" w:line="197" w:lineRule="auto"/>
              <w:ind w:left="391"/>
              <w:rPr>
                <w:sz w:val="20"/>
                <w:szCs w:val="20"/>
              </w:rPr>
            </w:pPr>
            <w:r>
              <w:rPr>
                <w:spacing w:val="-2"/>
                <w:sz w:val="20"/>
                <w:szCs w:val="20"/>
              </w:rPr>
              <w:t>站用变部分</w:t>
            </w:r>
          </w:p>
        </w:tc>
        <w:tc>
          <w:tcPr>
            <w:tcW w:w="3376" w:type="dxa"/>
            <w:vAlign w:val="top"/>
          </w:tcPr>
          <w:p w14:paraId="78B32FB4">
            <w:pPr>
              <w:rPr>
                <w:rFonts w:ascii="Arial"/>
                <w:sz w:val="21"/>
              </w:rPr>
            </w:pPr>
          </w:p>
        </w:tc>
        <w:tc>
          <w:tcPr>
            <w:tcW w:w="999" w:type="dxa"/>
            <w:vAlign w:val="top"/>
          </w:tcPr>
          <w:p w14:paraId="0D15D849">
            <w:pPr>
              <w:rPr>
                <w:rFonts w:ascii="Arial"/>
                <w:sz w:val="21"/>
              </w:rPr>
            </w:pPr>
          </w:p>
        </w:tc>
        <w:tc>
          <w:tcPr>
            <w:tcW w:w="1163" w:type="dxa"/>
            <w:vAlign w:val="top"/>
          </w:tcPr>
          <w:p w14:paraId="019059D4">
            <w:pPr>
              <w:rPr>
                <w:rFonts w:ascii="Arial"/>
                <w:sz w:val="21"/>
              </w:rPr>
            </w:pPr>
          </w:p>
        </w:tc>
      </w:tr>
      <w:tr w14:paraId="07096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153" w:type="dxa"/>
            <w:vAlign w:val="top"/>
          </w:tcPr>
          <w:p w14:paraId="07AE93D0">
            <w:pPr>
              <w:pStyle w:val="6"/>
              <w:spacing w:before="77" w:line="187" w:lineRule="auto"/>
              <w:ind w:left="514"/>
              <w:rPr>
                <w:sz w:val="20"/>
                <w:szCs w:val="20"/>
              </w:rPr>
            </w:pPr>
            <w:r>
              <w:rPr>
                <w:sz w:val="20"/>
                <w:szCs w:val="20"/>
              </w:rPr>
              <w:t>1</w:t>
            </w:r>
          </w:p>
        </w:tc>
        <w:tc>
          <w:tcPr>
            <w:tcW w:w="1798" w:type="dxa"/>
            <w:vAlign w:val="top"/>
          </w:tcPr>
          <w:p w14:paraId="122B4E71">
            <w:pPr>
              <w:pStyle w:val="6"/>
              <w:spacing w:before="58" w:line="204" w:lineRule="auto"/>
              <w:ind w:left="391"/>
              <w:rPr>
                <w:sz w:val="20"/>
                <w:szCs w:val="20"/>
              </w:rPr>
            </w:pPr>
            <w:r>
              <w:rPr>
                <w:spacing w:val="1"/>
                <w:sz w:val="20"/>
                <w:szCs w:val="20"/>
              </w:rPr>
              <w:t>35</w:t>
            </w:r>
            <w:r>
              <w:rPr>
                <w:sz w:val="20"/>
                <w:szCs w:val="20"/>
              </w:rPr>
              <w:t>kV</w:t>
            </w:r>
            <w:r>
              <w:rPr>
                <w:spacing w:val="1"/>
                <w:sz w:val="20"/>
                <w:szCs w:val="20"/>
              </w:rPr>
              <w:t>站用变</w:t>
            </w:r>
          </w:p>
        </w:tc>
        <w:tc>
          <w:tcPr>
            <w:tcW w:w="3376" w:type="dxa"/>
            <w:vAlign w:val="top"/>
          </w:tcPr>
          <w:p w14:paraId="49200381">
            <w:pPr>
              <w:pStyle w:val="6"/>
              <w:spacing w:before="62" w:line="201" w:lineRule="auto"/>
              <w:ind w:left="783"/>
              <w:rPr>
                <w:sz w:val="20"/>
                <w:szCs w:val="20"/>
              </w:rPr>
            </w:pPr>
            <w:r>
              <w:rPr>
                <w:spacing w:val="-1"/>
                <w:sz w:val="20"/>
                <w:szCs w:val="20"/>
              </w:rPr>
              <w:t>SCB11-500kVA/0.4GY</w:t>
            </w:r>
          </w:p>
        </w:tc>
        <w:tc>
          <w:tcPr>
            <w:tcW w:w="999" w:type="dxa"/>
            <w:vAlign w:val="top"/>
          </w:tcPr>
          <w:p w14:paraId="7DF4D183">
            <w:pPr>
              <w:pStyle w:val="6"/>
              <w:spacing w:before="57" w:line="205" w:lineRule="auto"/>
              <w:ind w:left="397"/>
              <w:rPr>
                <w:sz w:val="20"/>
                <w:szCs w:val="20"/>
              </w:rPr>
            </w:pPr>
            <w:r>
              <w:rPr>
                <w:sz w:val="20"/>
                <w:szCs w:val="20"/>
              </w:rPr>
              <w:t>套</w:t>
            </w:r>
          </w:p>
        </w:tc>
        <w:tc>
          <w:tcPr>
            <w:tcW w:w="1163" w:type="dxa"/>
            <w:vAlign w:val="top"/>
          </w:tcPr>
          <w:p w14:paraId="3612E56D">
            <w:pPr>
              <w:pStyle w:val="6"/>
              <w:spacing w:before="77" w:line="187" w:lineRule="auto"/>
              <w:ind w:left="529"/>
              <w:rPr>
                <w:sz w:val="20"/>
                <w:szCs w:val="20"/>
              </w:rPr>
            </w:pPr>
            <w:r>
              <w:rPr>
                <w:sz w:val="20"/>
                <w:szCs w:val="20"/>
              </w:rPr>
              <w:t>1</w:t>
            </w:r>
          </w:p>
        </w:tc>
      </w:tr>
      <w:tr w14:paraId="7F5F4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53" w:type="dxa"/>
            <w:vAlign w:val="top"/>
          </w:tcPr>
          <w:p w14:paraId="77ABA765">
            <w:pPr>
              <w:pStyle w:val="6"/>
              <w:spacing w:before="207" w:line="241" w:lineRule="auto"/>
              <w:ind w:left="514"/>
              <w:rPr>
                <w:sz w:val="20"/>
                <w:szCs w:val="20"/>
              </w:rPr>
            </w:pPr>
            <w:r>
              <w:rPr>
                <w:sz w:val="20"/>
                <w:szCs w:val="20"/>
              </w:rPr>
              <w:t>2</w:t>
            </w:r>
          </w:p>
        </w:tc>
        <w:tc>
          <w:tcPr>
            <w:tcW w:w="1798" w:type="dxa"/>
            <w:vAlign w:val="top"/>
          </w:tcPr>
          <w:p w14:paraId="6CFE664F">
            <w:pPr>
              <w:pStyle w:val="6"/>
              <w:spacing w:before="27" w:line="236" w:lineRule="auto"/>
              <w:ind w:left="290" w:right="179" w:hanging="99"/>
              <w:rPr>
                <w:sz w:val="20"/>
                <w:szCs w:val="20"/>
              </w:rPr>
            </w:pPr>
            <w:r>
              <w:rPr>
                <w:spacing w:val="2"/>
                <w:sz w:val="20"/>
                <w:szCs w:val="20"/>
              </w:rPr>
              <w:t>35</w:t>
            </w:r>
            <w:r>
              <w:rPr>
                <w:sz w:val="20"/>
                <w:szCs w:val="20"/>
              </w:rPr>
              <w:t>kV</w:t>
            </w:r>
            <w:r>
              <w:rPr>
                <w:spacing w:val="2"/>
                <w:sz w:val="20"/>
                <w:szCs w:val="20"/>
              </w:rPr>
              <w:t>接地变及小</w:t>
            </w:r>
            <w:r>
              <w:rPr>
                <w:spacing w:val="1"/>
                <w:sz w:val="20"/>
                <w:szCs w:val="20"/>
              </w:rPr>
              <w:t xml:space="preserve"> 电阻成套装置</w:t>
            </w:r>
          </w:p>
        </w:tc>
        <w:tc>
          <w:tcPr>
            <w:tcW w:w="3376" w:type="dxa"/>
            <w:vAlign w:val="top"/>
          </w:tcPr>
          <w:p w14:paraId="7D357785">
            <w:pPr>
              <w:pStyle w:val="6"/>
              <w:spacing w:before="184" w:line="216" w:lineRule="auto"/>
              <w:ind w:left="433"/>
              <w:rPr>
                <w:sz w:val="20"/>
                <w:szCs w:val="20"/>
              </w:rPr>
            </w:pPr>
            <w:r>
              <w:rPr>
                <w:spacing w:val="-1"/>
                <w:sz w:val="20"/>
                <w:szCs w:val="20"/>
              </w:rPr>
              <w:t>DKSC-600kVA,R=67.4Ω,300A</w:t>
            </w:r>
          </w:p>
        </w:tc>
        <w:tc>
          <w:tcPr>
            <w:tcW w:w="999" w:type="dxa"/>
            <w:vAlign w:val="top"/>
          </w:tcPr>
          <w:p w14:paraId="67B94302">
            <w:pPr>
              <w:pStyle w:val="6"/>
              <w:spacing w:before="189" w:line="221" w:lineRule="auto"/>
              <w:ind w:left="397"/>
              <w:rPr>
                <w:sz w:val="20"/>
                <w:szCs w:val="20"/>
              </w:rPr>
            </w:pPr>
            <w:r>
              <w:rPr>
                <w:sz w:val="20"/>
                <w:szCs w:val="20"/>
              </w:rPr>
              <w:t>台</w:t>
            </w:r>
          </w:p>
        </w:tc>
        <w:tc>
          <w:tcPr>
            <w:tcW w:w="1163" w:type="dxa"/>
            <w:vAlign w:val="top"/>
          </w:tcPr>
          <w:p w14:paraId="188018A0">
            <w:pPr>
              <w:pStyle w:val="6"/>
              <w:spacing w:before="207" w:line="241" w:lineRule="auto"/>
              <w:ind w:left="529"/>
              <w:rPr>
                <w:sz w:val="20"/>
                <w:szCs w:val="20"/>
              </w:rPr>
            </w:pPr>
            <w:r>
              <w:rPr>
                <w:sz w:val="20"/>
                <w:szCs w:val="20"/>
              </w:rPr>
              <w:t>1</w:t>
            </w:r>
          </w:p>
        </w:tc>
      </w:tr>
      <w:tr w14:paraId="16DA3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153" w:type="dxa"/>
            <w:vAlign w:val="top"/>
          </w:tcPr>
          <w:p w14:paraId="299B9548">
            <w:pPr>
              <w:pStyle w:val="6"/>
              <w:spacing w:before="298" w:line="185" w:lineRule="auto"/>
              <w:ind w:left="514"/>
              <w:rPr>
                <w:sz w:val="20"/>
                <w:szCs w:val="20"/>
              </w:rPr>
            </w:pPr>
            <w:r>
              <w:rPr>
                <w:sz w:val="20"/>
                <w:szCs w:val="20"/>
              </w:rPr>
              <w:t>3</w:t>
            </w:r>
          </w:p>
        </w:tc>
        <w:tc>
          <w:tcPr>
            <w:tcW w:w="1798" w:type="dxa"/>
            <w:vAlign w:val="top"/>
          </w:tcPr>
          <w:p w14:paraId="45EDDA94">
            <w:pPr>
              <w:pStyle w:val="6"/>
              <w:spacing w:before="169" w:line="221" w:lineRule="auto"/>
              <w:ind w:left="391"/>
              <w:rPr>
                <w:sz w:val="20"/>
                <w:szCs w:val="20"/>
              </w:rPr>
            </w:pPr>
            <w:r>
              <w:rPr>
                <w:spacing w:val="1"/>
                <w:sz w:val="20"/>
                <w:szCs w:val="20"/>
              </w:rPr>
              <w:t>10</w:t>
            </w:r>
            <w:r>
              <w:rPr>
                <w:sz w:val="20"/>
                <w:szCs w:val="20"/>
              </w:rPr>
              <w:t>kV</w:t>
            </w:r>
            <w:r>
              <w:rPr>
                <w:spacing w:val="1"/>
                <w:sz w:val="20"/>
                <w:szCs w:val="20"/>
              </w:rPr>
              <w:t>站用变</w:t>
            </w:r>
          </w:p>
        </w:tc>
        <w:tc>
          <w:tcPr>
            <w:tcW w:w="3376" w:type="dxa"/>
            <w:vAlign w:val="top"/>
          </w:tcPr>
          <w:p w14:paraId="7C4BDBCE">
            <w:pPr>
              <w:pStyle w:val="6"/>
              <w:spacing w:before="54" w:line="205" w:lineRule="auto"/>
              <w:ind w:left="533" w:right="470"/>
              <w:rPr>
                <w:sz w:val="20"/>
                <w:szCs w:val="20"/>
              </w:rPr>
            </w:pPr>
            <w:r>
              <w:rPr>
                <w:spacing w:val="3"/>
                <w:sz w:val="20"/>
                <w:szCs w:val="20"/>
              </w:rPr>
              <w:t>10</w:t>
            </w:r>
            <w:r>
              <w:rPr>
                <w:sz w:val="20"/>
                <w:szCs w:val="20"/>
              </w:rPr>
              <w:t>kV</w:t>
            </w:r>
            <w:r>
              <w:rPr>
                <w:spacing w:val="3"/>
                <w:sz w:val="20"/>
                <w:szCs w:val="20"/>
              </w:rPr>
              <w:t>站用变S11-500/10</w:t>
            </w:r>
            <w:r>
              <w:rPr>
                <w:sz w:val="20"/>
                <w:szCs w:val="20"/>
              </w:rPr>
              <w:t>GY</w:t>
            </w:r>
            <w:r>
              <w:rPr>
                <w:spacing w:val="3"/>
                <w:sz w:val="20"/>
                <w:szCs w:val="20"/>
              </w:rPr>
              <w:t>,</w:t>
            </w:r>
            <w:r>
              <w:rPr>
                <w:spacing w:val="12"/>
                <w:sz w:val="20"/>
                <w:szCs w:val="20"/>
              </w:rPr>
              <w:t xml:space="preserve"> </w:t>
            </w:r>
            <w:r>
              <w:rPr>
                <w:spacing w:val="-1"/>
                <w:sz w:val="20"/>
                <w:szCs w:val="20"/>
              </w:rPr>
              <w:t>500kVA10±2×2.5%/0.4kV</w:t>
            </w:r>
          </w:p>
        </w:tc>
        <w:tc>
          <w:tcPr>
            <w:tcW w:w="999" w:type="dxa"/>
            <w:vAlign w:val="top"/>
          </w:tcPr>
          <w:p w14:paraId="626C342E">
            <w:pPr>
              <w:pStyle w:val="6"/>
              <w:spacing w:before="170" w:line="221" w:lineRule="auto"/>
              <w:ind w:left="397"/>
              <w:rPr>
                <w:sz w:val="20"/>
                <w:szCs w:val="20"/>
              </w:rPr>
            </w:pPr>
            <w:r>
              <w:rPr>
                <w:sz w:val="20"/>
                <w:szCs w:val="20"/>
              </w:rPr>
              <w:t>台</w:t>
            </w:r>
          </w:p>
        </w:tc>
        <w:tc>
          <w:tcPr>
            <w:tcW w:w="1163" w:type="dxa"/>
            <w:vAlign w:val="top"/>
          </w:tcPr>
          <w:p w14:paraId="66FB8909">
            <w:pPr>
              <w:pStyle w:val="6"/>
              <w:spacing w:before="188" w:line="241" w:lineRule="auto"/>
              <w:ind w:left="529"/>
              <w:rPr>
                <w:sz w:val="20"/>
                <w:szCs w:val="20"/>
              </w:rPr>
            </w:pPr>
            <w:r>
              <w:rPr>
                <w:sz w:val="20"/>
                <w:szCs w:val="20"/>
              </w:rPr>
              <w:t>1</w:t>
            </w:r>
          </w:p>
        </w:tc>
      </w:tr>
      <w:tr w14:paraId="54096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153" w:type="dxa"/>
            <w:vAlign w:val="top"/>
          </w:tcPr>
          <w:p w14:paraId="75D88C8E">
            <w:pPr>
              <w:pStyle w:val="6"/>
              <w:spacing w:before="58" w:line="181" w:lineRule="auto"/>
              <w:ind w:left="514"/>
              <w:rPr>
                <w:sz w:val="20"/>
                <w:szCs w:val="20"/>
              </w:rPr>
            </w:pPr>
            <w:r>
              <w:rPr>
                <w:sz w:val="20"/>
                <w:szCs w:val="20"/>
              </w:rPr>
              <w:t>4</w:t>
            </w:r>
          </w:p>
        </w:tc>
        <w:tc>
          <w:tcPr>
            <w:tcW w:w="1798" w:type="dxa"/>
            <w:vAlign w:val="top"/>
          </w:tcPr>
          <w:p w14:paraId="2644BDF2">
            <w:pPr>
              <w:pStyle w:val="6"/>
              <w:spacing w:before="39" w:line="199" w:lineRule="auto"/>
              <w:ind w:left="492"/>
              <w:rPr>
                <w:sz w:val="20"/>
                <w:szCs w:val="20"/>
              </w:rPr>
            </w:pPr>
            <w:r>
              <w:rPr>
                <w:spacing w:val="2"/>
                <w:sz w:val="20"/>
                <w:szCs w:val="20"/>
              </w:rPr>
              <w:t>35</w:t>
            </w:r>
            <w:r>
              <w:rPr>
                <w:sz w:val="20"/>
                <w:szCs w:val="20"/>
              </w:rPr>
              <w:t>kV</w:t>
            </w:r>
            <w:r>
              <w:rPr>
                <w:spacing w:val="2"/>
                <w:sz w:val="20"/>
                <w:szCs w:val="20"/>
              </w:rPr>
              <w:t>电缆</w:t>
            </w:r>
          </w:p>
        </w:tc>
        <w:tc>
          <w:tcPr>
            <w:tcW w:w="3376" w:type="dxa"/>
            <w:vAlign w:val="top"/>
          </w:tcPr>
          <w:p w14:paraId="77D4B649">
            <w:pPr>
              <w:pStyle w:val="6"/>
              <w:spacing w:before="37" w:line="201" w:lineRule="auto"/>
              <w:ind w:left="683"/>
              <w:rPr>
                <w:sz w:val="20"/>
                <w:szCs w:val="20"/>
              </w:rPr>
            </w:pPr>
            <w:r>
              <w:rPr>
                <w:spacing w:val="-1"/>
                <w:sz w:val="20"/>
                <w:szCs w:val="20"/>
              </w:rPr>
              <w:t>ZR-YJV22-26/35-3×70</w:t>
            </w:r>
          </w:p>
        </w:tc>
        <w:tc>
          <w:tcPr>
            <w:tcW w:w="999" w:type="dxa"/>
            <w:vAlign w:val="top"/>
          </w:tcPr>
          <w:p w14:paraId="3F18753F">
            <w:pPr>
              <w:pStyle w:val="6"/>
              <w:spacing w:before="81" w:line="213" w:lineRule="auto"/>
              <w:ind w:left="458"/>
              <w:rPr>
                <w:sz w:val="15"/>
                <w:szCs w:val="15"/>
              </w:rPr>
            </w:pPr>
            <w:r>
              <w:rPr>
                <w:sz w:val="15"/>
                <w:szCs w:val="15"/>
              </w:rPr>
              <w:t>m</w:t>
            </w:r>
          </w:p>
        </w:tc>
        <w:tc>
          <w:tcPr>
            <w:tcW w:w="1163" w:type="dxa"/>
            <w:vAlign w:val="top"/>
          </w:tcPr>
          <w:p w14:paraId="492D7B5E">
            <w:pPr>
              <w:pStyle w:val="6"/>
              <w:spacing w:before="58" w:line="181" w:lineRule="auto"/>
              <w:ind w:left="428"/>
              <w:rPr>
                <w:sz w:val="20"/>
                <w:szCs w:val="20"/>
              </w:rPr>
            </w:pPr>
            <w:r>
              <w:rPr>
                <w:spacing w:val="-3"/>
                <w:sz w:val="20"/>
                <w:szCs w:val="20"/>
              </w:rPr>
              <w:t>200</w:t>
            </w:r>
          </w:p>
        </w:tc>
      </w:tr>
    </w:tbl>
    <w:p w14:paraId="239C57F4">
      <w:pPr>
        <w:pStyle w:val="2"/>
      </w:pPr>
    </w:p>
    <w:p w14:paraId="611450C0">
      <w:pPr>
        <w:sectPr>
          <w:footerReference r:id="rId143" w:type="default"/>
          <w:pgSz w:w="11910" w:h="16830"/>
          <w:pgMar w:top="1430" w:right="1725" w:bottom="1035" w:left="1685" w:header="0" w:footer="873" w:gutter="0"/>
          <w:cols w:space="720" w:num="1"/>
        </w:sectPr>
      </w:pP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3"/>
        <w:gridCol w:w="1808"/>
        <w:gridCol w:w="3376"/>
        <w:gridCol w:w="989"/>
        <w:gridCol w:w="1183"/>
      </w:tblGrid>
      <w:tr w14:paraId="061BB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63" w:type="dxa"/>
            <w:vAlign w:val="top"/>
          </w:tcPr>
          <w:p w14:paraId="1D871BDB">
            <w:pPr>
              <w:pStyle w:val="6"/>
              <w:spacing w:before="194"/>
              <w:ind w:left="514"/>
              <w:rPr>
                <w:sz w:val="21"/>
                <w:szCs w:val="21"/>
              </w:rPr>
            </w:pPr>
            <w:r>
              <w:rPr>
                <w:sz w:val="21"/>
                <w:szCs w:val="21"/>
              </w:rPr>
              <w:t>5</w:t>
            </w:r>
          </w:p>
        </w:tc>
        <w:tc>
          <w:tcPr>
            <w:tcW w:w="1808" w:type="dxa"/>
            <w:vAlign w:val="top"/>
          </w:tcPr>
          <w:p w14:paraId="60471D26">
            <w:pPr>
              <w:pStyle w:val="6"/>
              <w:spacing w:before="34" w:line="224" w:lineRule="auto"/>
              <w:ind w:left="680" w:right="157" w:hanging="519"/>
              <w:rPr>
                <w:sz w:val="21"/>
                <w:szCs w:val="21"/>
              </w:rPr>
            </w:pPr>
            <w:r>
              <w:rPr>
                <w:spacing w:val="1"/>
                <w:sz w:val="21"/>
                <w:szCs w:val="21"/>
              </w:rPr>
              <w:t>35</w:t>
            </w:r>
            <w:r>
              <w:rPr>
                <w:sz w:val="21"/>
                <w:szCs w:val="21"/>
              </w:rPr>
              <w:t>KV</w:t>
            </w:r>
            <w:r>
              <w:rPr>
                <w:spacing w:val="1"/>
                <w:sz w:val="21"/>
                <w:szCs w:val="21"/>
              </w:rPr>
              <w:t>户内电缆终</w:t>
            </w:r>
            <w:r>
              <w:rPr>
                <w:sz w:val="21"/>
                <w:szCs w:val="21"/>
              </w:rPr>
              <w:t xml:space="preserve"> </w:t>
            </w:r>
            <w:r>
              <w:rPr>
                <w:spacing w:val="6"/>
                <w:sz w:val="21"/>
                <w:szCs w:val="21"/>
              </w:rPr>
              <w:t>端头</w:t>
            </w:r>
          </w:p>
        </w:tc>
        <w:tc>
          <w:tcPr>
            <w:tcW w:w="3376" w:type="dxa"/>
            <w:vAlign w:val="top"/>
          </w:tcPr>
          <w:p w14:paraId="3D0922D1">
            <w:pPr>
              <w:pStyle w:val="6"/>
              <w:spacing w:before="170" w:line="216" w:lineRule="auto"/>
              <w:ind w:left="1154"/>
              <w:rPr>
                <w:sz w:val="21"/>
                <w:szCs w:val="21"/>
              </w:rPr>
            </w:pPr>
            <w:r>
              <w:rPr>
                <w:spacing w:val="-2"/>
                <w:sz w:val="21"/>
                <w:szCs w:val="21"/>
              </w:rPr>
              <w:t>3×70,35kV</w:t>
            </w:r>
          </w:p>
        </w:tc>
        <w:tc>
          <w:tcPr>
            <w:tcW w:w="989" w:type="dxa"/>
            <w:vAlign w:val="top"/>
          </w:tcPr>
          <w:p w14:paraId="386DF640">
            <w:pPr>
              <w:pStyle w:val="6"/>
              <w:spacing w:before="174" w:line="220" w:lineRule="auto"/>
              <w:ind w:left="387"/>
              <w:rPr>
                <w:sz w:val="21"/>
                <w:szCs w:val="21"/>
              </w:rPr>
            </w:pPr>
            <w:r>
              <w:rPr>
                <w:sz w:val="21"/>
                <w:szCs w:val="21"/>
              </w:rPr>
              <w:t>套</w:t>
            </w:r>
          </w:p>
        </w:tc>
        <w:tc>
          <w:tcPr>
            <w:tcW w:w="1183" w:type="dxa"/>
            <w:vAlign w:val="top"/>
          </w:tcPr>
          <w:p w14:paraId="5F428176">
            <w:pPr>
              <w:pStyle w:val="6"/>
              <w:spacing w:before="194" w:line="241" w:lineRule="auto"/>
              <w:ind w:left="529"/>
              <w:rPr>
                <w:sz w:val="21"/>
                <w:szCs w:val="21"/>
              </w:rPr>
            </w:pPr>
            <w:r>
              <w:rPr>
                <w:sz w:val="21"/>
                <w:szCs w:val="21"/>
              </w:rPr>
              <w:t>4</w:t>
            </w:r>
          </w:p>
        </w:tc>
      </w:tr>
      <w:tr w14:paraId="6F20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3" w:type="dxa"/>
            <w:vAlign w:val="top"/>
          </w:tcPr>
          <w:p w14:paraId="2F62DFB9">
            <w:pPr>
              <w:pStyle w:val="6"/>
              <w:spacing w:before="50" w:line="184" w:lineRule="auto"/>
              <w:ind w:left="514"/>
              <w:rPr>
                <w:sz w:val="21"/>
                <w:szCs w:val="21"/>
              </w:rPr>
            </w:pPr>
            <w:r>
              <w:rPr>
                <w:sz w:val="21"/>
                <w:szCs w:val="21"/>
              </w:rPr>
              <w:t>6</w:t>
            </w:r>
          </w:p>
        </w:tc>
        <w:tc>
          <w:tcPr>
            <w:tcW w:w="1808" w:type="dxa"/>
            <w:vAlign w:val="top"/>
          </w:tcPr>
          <w:p w14:paraId="636B948F">
            <w:pPr>
              <w:pStyle w:val="6"/>
              <w:spacing w:before="29" w:line="203" w:lineRule="auto"/>
              <w:ind w:left="472"/>
              <w:rPr>
                <w:sz w:val="21"/>
                <w:szCs w:val="21"/>
              </w:rPr>
            </w:pPr>
            <w:r>
              <w:rPr>
                <w:spacing w:val="2"/>
                <w:sz w:val="21"/>
                <w:szCs w:val="21"/>
              </w:rPr>
              <w:t>10</w:t>
            </w:r>
            <w:r>
              <w:rPr>
                <w:sz w:val="21"/>
                <w:szCs w:val="21"/>
              </w:rPr>
              <w:t>KV</w:t>
            </w:r>
            <w:r>
              <w:rPr>
                <w:spacing w:val="2"/>
                <w:sz w:val="21"/>
                <w:szCs w:val="21"/>
              </w:rPr>
              <w:t>电缆</w:t>
            </w:r>
          </w:p>
        </w:tc>
        <w:tc>
          <w:tcPr>
            <w:tcW w:w="3376" w:type="dxa"/>
            <w:vAlign w:val="top"/>
          </w:tcPr>
          <w:p w14:paraId="2AC24982">
            <w:pPr>
              <w:pStyle w:val="6"/>
              <w:spacing w:before="27" w:line="204" w:lineRule="auto"/>
              <w:ind w:left="574"/>
              <w:rPr>
                <w:sz w:val="21"/>
                <w:szCs w:val="21"/>
              </w:rPr>
            </w:pPr>
            <w:r>
              <w:rPr>
                <w:spacing w:val="-1"/>
                <w:sz w:val="21"/>
                <w:szCs w:val="21"/>
              </w:rPr>
              <w:t>ZR-YJV22-8.7/15-3×70</w:t>
            </w:r>
          </w:p>
        </w:tc>
        <w:tc>
          <w:tcPr>
            <w:tcW w:w="989" w:type="dxa"/>
            <w:vAlign w:val="top"/>
          </w:tcPr>
          <w:p w14:paraId="625F8A40">
            <w:pPr>
              <w:pStyle w:val="6"/>
              <w:spacing w:before="50" w:line="184" w:lineRule="auto"/>
              <w:ind w:left="438"/>
              <w:rPr>
                <w:sz w:val="21"/>
                <w:szCs w:val="21"/>
              </w:rPr>
            </w:pPr>
            <w:r>
              <w:rPr>
                <w:sz w:val="21"/>
                <w:szCs w:val="21"/>
              </w:rPr>
              <w:t>m</w:t>
            </w:r>
          </w:p>
        </w:tc>
        <w:tc>
          <w:tcPr>
            <w:tcW w:w="1183" w:type="dxa"/>
            <w:vAlign w:val="top"/>
          </w:tcPr>
          <w:p w14:paraId="45CF6A56">
            <w:pPr>
              <w:pStyle w:val="6"/>
              <w:spacing w:before="50" w:line="184" w:lineRule="auto"/>
              <w:ind w:left="428"/>
              <w:rPr>
                <w:sz w:val="21"/>
                <w:szCs w:val="21"/>
              </w:rPr>
            </w:pPr>
            <w:r>
              <w:rPr>
                <w:spacing w:val="-6"/>
                <w:sz w:val="21"/>
                <w:szCs w:val="21"/>
              </w:rPr>
              <w:t>100</w:t>
            </w:r>
          </w:p>
        </w:tc>
      </w:tr>
      <w:tr w14:paraId="271C8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63" w:type="dxa"/>
            <w:vAlign w:val="top"/>
          </w:tcPr>
          <w:p w14:paraId="735BE53D">
            <w:pPr>
              <w:pStyle w:val="6"/>
              <w:spacing w:before="190"/>
              <w:ind w:left="514"/>
              <w:rPr>
                <w:sz w:val="21"/>
                <w:szCs w:val="21"/>
              </w:rPr>
            </w:pPr>
            <w:r>
              <w:rPr>
                <w:sz w:val="21"/>
                <w:szCs w:val="21"/>
              </w:rPr>
              <w:t>7</w:t>
            </w:r>
          </w:p>
        </w:tc>
        <w:tc>
          <w:tcPr>
            <w:tcW w:w="1808" w:type="dxa"/>
            <w:vAlign w:val="top"/>
          </w:tcPr>
          <w:p w14:paraId="0AC498A7">
            <w:pPr>
              <w:pStyle w:val="6"/>
              <w:spacing w:before="28" w:line="220" w:lineRule="auto"/>
              <w:ind w:left="680" w:right="157" w:hanging="519"/>
              <w:rPr>
                <w:sz w:val="21"/>
                <w:szCs w:val="21"/>
              </w:rPr>
            </w:pPr>
            <w:r>
              <w:rPr>
                <w:spacing w:val="1"/>
                <w:sz w:val="21"/>
                <w:szCs w:val="21"/>
              </w:rPr>
              <w:t>10</w:t>
            </w:r>
            <w:r>
              <w:rPr>
                <w:sz w:val="21"/>
                <w:szCs w:val="21"/>
              </w:rPr>
              <w:t>kV</w:t>
            </w:r>
            <w:r>
              <w:rPr>
                <w:spacing w:val="1"/>
                <w:sz w:val="21"/>
                <w:szCs w:val="21"/>
              </w:rPr>
              <w:t>户内电缆终</w:t>
            </w:r>
            <w:r>
              <w:rPr>
                <w:sz w:val="21"/>
                <w:szCs w:val="21"/>
              </w:rPr>
              <w:t xml:space="preserve"> </w:t>
            </w:r>
            <w:r>
              <w:rPr>
                <w:spacing w:val="6"/>
                <w:sz w:val="21"/>
                <w:szCs w:val="21"/>
              </w:rPr>
              <w:t>端头</w:t>
            </w:r>
          </w:p>
        </w:tc>
        <w:tc>
          <w:tcPr>
            <w:tcW w:w="3376" w:type="dxa"/>
            <w:vAlign w:val="top"/>
          </w:tcPr>
          <w:p w14:paraId="25BBF2AE">
            <w:pPr>
              <w:pStyle w:val="6"/>
              <w:spacing w:before="166" w:line="216" w:lineRule="auto"/>
              <w:ind w:left="1154"/>
              <w:rPr>
                <w:sz w:val="21"/>
                <w:szCs w:val="21"/>
              </w:rPr>
            </w:pPr>
            <w:r>
              <w:rPr>
                <w:spacing w:val="-2"/>
                <w:sz w:val="21"/>
                <w:szCs w:val="21"/>
              </w:rPr>
              <w:t>3×70,10kV</w:t>
            </w:r>
          </w:p>
        </w:tc>
        <w:tc>
          <w:tcPr>
            <w:tcW w:w="989" w:type="dxa"/>
            <w:vAlign w:val="top"/>
          </w:tcPr>
          <w:p w14:paraId="1FBB4BAB">
            <w:pPr>
              <w:pStyle w:val="6"/>
              <w:spacing w:before="170" w:line="220" w:lineRule="auto"/>
              <w:ind w:left="387"/>
              <w:rPr>
                <w:sz w:val="21"/>
                <w:szCs w:val="21"/>
              </w:rPr>
            </w:pPr>
            <w:r>
              <w:rPr>
                <w:sz w:val="21"/>
                <w:szCs w:val="21"/>
              </w:rPr>
              <w:t>套</w:t>
            </w:r>
          </w:p>
        </w:tc>
        <w:tc>
          <w:tcPr>
            <w:tcW w:w="1183" w:type="dxa"/>
            <w:vAlign w:val="top"/>
          </w:tcPr>
          <w:p w14:paraId="1AB7D1E2">
            <w:pPr>
              <w:pStyle w:val="6"/>
              <w:spacing w:before="190" w:line="241" w:lineRule="auto"/>
              <w:ind w:left="529"/>
              <w:rPr>
                <w:sz w:val="21"/>
                <w:szCs w:val="21"/>
              </w:rPr>
            </w:pPr>
            <w:r>
              <w:rPr>
                <w:sz w:val="21"/>
                <w:szCs w:val="21"/>
              </w:rPr>
              <w:t>1</w:t>
            </w:r>
          </w:p>
        </w:tc>
      </w:tr>
      <w:tr w14:paraId="401CA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3" w:type="dxa"/>
            <w:vAlign w:val="top"/>
          </w:tcPr>
          <w:p w14:paraId="41948A99">
            <w:pPr>
              <w:pStyle w:val="6"/>
              <w:spacing w:before="191"/>
              <w:ind w:left="514"/>
              <w:rPr>
                <w:sz w:val="21"/>
                <w:szCs w:val="21"/>
              </w:rPr>
            </w:pPr>
            <w:r>
              <w:rPr>
                <w:sz w:val="21"/>
                <w:szCs w:val="21"/>
              </w:rPr>
              <w:t>8</w:t>
            </w:r>
          </w:p>
        </w:tc>
        <w:tc>
          <w:tcPr>
            <w:tcW w:w="1808" w:type="dxa"/>
            <w:vAlign w:val="top"/>
          </w:tcPr>
          <w:p w14:paraId="0749C2FE">
            <w:pPr>
              <w:pStyle w:val="6"/>
              <w:spacing w:before="40" w:line="219" w:lineRule="auto"/>
              <w:ind w:left="680" w:right="157" w:hanging="519"/>
              <w:rPr>
                <w:sz w:val="21"/>
                <w:szCs w:val="21"/>
              </w:rPr>
            </w:pPr>
            <w:r>
              <w:rPr>
                <w:spacing w:val="1"/>
                <w:sz w:val="21"/>
                <w:szCs w:val="21"/>
              </w:rPr>
              <w:t>10</w:t>
            </w:r>
            <w:r>
              <w:rPr>
                <w:sz w:val="21"/>
                <w:szCs w:val="21"/>
              </w:rPr>
              <w:t>kV</w:t>
            </w:r>
            <w:r>
              <w:rPr>
                <w:spacing w:val="1"/>
                <w:sz w:val="21"/>
                <w:szCs w:val="21"/>
              </w:rPr>
              <w:t>户外电缆终</w:t>
            </w:r>
            <w:r>
              <w:rPr>
                <w:sz w:val="21"/>
                <w:szCs w:val="21"/>
              </w:rPr>
              <w:t xml:space="preserve"> </w:t>
            </w:r>
            <w:r>
              <w:rPr>
                <w:spacing w:val="6"/>
                <w:sz w:val="21"/>
                <w:szCs w:val="21"/>
              </w:rPr>
              <w:t>端头</w:t>
            </w:r>
          </w:p>
        </w:tc>
        <w:tc>
          <w:tcPr>
            <w:tcW w:w="3376" w:type="dxa"/>
            <w:vAlign w:val="top"/>
          </w:tcPr>
          <w:p w14:paraId="2C8590B0">
            <w:pPr>
              <w:pStyle w:val="6"/>
              <w:spacing w:before="167" w:line="216" w:lineRule="auto"/>
              <w:ind w:left="1154"/>
              <w:rPr>
                <w:sz w:val="21"/>
                <w:szCs w:val="21"/>
              </w:rPr>
            </w:pPr>
            <w:r>
              <w:rPr>
                <w:spacing w:val="-2"/>
                <w:sz w:val="21"/>
                <w:szCs w:val="21"/>
              </w:rPr>
              <w:t>3×70,10kV</w:t>
            </w:r>
          </w:p>
        </w:tc>
        <w:tc>
          <w:tcPr>
            <w:tcW w:w="989" w:type="dxa"/>
            <w:vAlign w:val="top"/>
          </w:tcPr>
          <w:p w14:paraId="22D5E29D">
            <w:pPr>
              <w:pStyle w:val="6"/>
              <w:spacing w:before="171" w:line="220" w:lineRule="auto"/>
              <w:ind w:left="387"/>
              <w:rPr>
                <w:sz w:val="21"/>
                <w:szCs w:val="21"/>
              </w:rPr>
            </w:pPr>
            <w:r>
              <w:rPr>
                <w:sz w:val="21"/>
                <w:szCs w:val="21"/>
              </w:rPr>
              <w:t>套</w:t>
            </w:r>
          </w:p>
        </w:tc>
        <w:tc>
          <w:tcPr>
            <w:tcW w:w="1183" w:type="dxa"/>
            <w:vAlign w:val="top"/>
          </w:tcPr>
          <w:p w14:paraId="59B24BA5">
            <w:pPr>
              <w:pStyle w:val="6"/>
              <w:spacing w:before="191" w:line="241" w:lineRule="auto"/>
              <w:ind w:left="529"/>
              <w:rPr>
                <w:sz w:val="21"/>
                <w:szCs w:val="21"/>
              </w:rPr>
            </w:pPr>
            <w:r>
              <w:rPr>
                <w:sz w:val="21"/>
                <w:szCs w:val="21"/>
              </w:rPr>
              <w:t>1</w:t>
            </w:r>
          </w:p>
        </w:tc>
      </w:tr>
      <w:tr w14:paraId="07654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3" w:type="dxa"/>
            <w:vAlign w:val="top"/>
          </w:tcPr>
          <w:p w14:paraId="6A04D12D">
            <w:pPr>
              <w:pStyle w:val="6"/>
              <w:spacing w:before="52" w:line="182" w:lineRule="auto"/>
              <w:ind w:left="514"/>
              <w:rPr>
                <w:sz w:val="21"/>
                <w:szCs w:val="21"/>
              </w:rPr>
            </w:pPr>
            <w:r>
              <w:rPr>
                <w:sz w:val="21"/>
                <w:szCs w:val="21"/>
              </w:rPr>
              <w:t>9</w:t>
            </w:r>
          </w:p>
        </w:tc>
        <w:tc>
          <w:tcPr>
            <w:tcW w:w="1808" w:type="dxa"/>
            <w:vAlign w:val="top"/>
          </w:tcPr>
          <w:p w14:paraId="23CEFB72">
            <w:pPr>
              <w:pStyle w:val="6"/>
              <w:spacing w:before="31" w:line="201" w:lineRule="auto"/>
              <w:ind w:left="522"/>
              <w:rPr>
                <w:sz w:val="21"/>
                <w:szCs w:val="21"/>
              </w:rPr>
            </w:pPr>
            <w:r>
              <w:rPr>
                <w:spacing w:val="4"/>
                <w:sz w:val="21"/>
                <w:szCs w:val="21"/>
              </w:rPr>
              <w:t>1</w:t>
            </w:r>
            <w:r>
              <w:rPr>
                <w:sz w:val="21"/>
                <w:szCs w:val="21"/>
              </w:rPr>
              <w:t>KV</w:t>
            </w:r>
            <w:r>
              <w:rPr>
                <w:spacing w:val="4"/>
                <w:sz w:val="21"/>
                <w:szCs w:val="21"/>
              </w:rPr>
              <w:t>电缆</w:t>
            </w:r>
          </w:p>
        </w:tc>
        <w:tc>
          <w:tcPr>
            <w:tcW w:w="3376" w:type="dxa"/>
            <w:vAlign w:val="top"/>
          </w:tcPr>
          <w:p w14:paraId="0742D3CD">
            <w:pPr>
              <w:pStyle w:val="6"/>
              <w:spacing w:before="30" w:line="202" w:lineRule="auto"/>
              <w:ind w:left="213"/>
              <w:rPr>
                <w:sz w:val="21"/>
                <w:szCs w:val="21"/>
              </w:rPr>
            </w:pPr>
            <w:r>
              <w:rPr>
                <w:spacing w:val="-1"/>
                <w:sz w:val="21"/>
                <w:szCs w:val="21"/>
              </w:rPr>
              <w:t>ZR-YJV22-0.6/1-3×300+1×150</w:t>
            </w:r>
          </w:p>
        </w:tc>
        <w:tc>
          <w:tcPr>
            <w:tcW w:w="989" w:type="dxa"/>
            <w:vAlign w:val="top"/>
          </w:tcPr>
          <w:p w14:paraId="44273628">
            <w:pPr>
              <w:pStyle w:val="6"/>
              <w:spacing w:before="52" w:line="182" w:lineRule="auto"/>
              <w:ind w:left="438"/>
              <w:rPr>
                <w:sz w:val="21"/>
                <w:szCs w:val="21"/>
              </w:rPr>
            </w:pPr>
            <w:r>
              <w:rPr>
                <w:sz w:val="21"/>
                <w:szCs w:val="21"/>
              </w:rPr>
              <w:t>m</w:t>
            </w:r>
          </w:p>
        </w:tc>
        <w:tc>
          <w:tcPr>
            <w:tcW w:w="1183" w:type="dxa"/>
            <w:vAlign w:val="top"/>
          </w:tcPr>
          <w:p w14:paraId="01B67EB0">
            <w:pPr>
              <w:pStyle w:val="6"/>
              <w:spacing w:before="52" w:line="182" w:lineRule="auto"/>
              <w:ind w:left="428"/>
              <w:rPr>
                <w:sz w:val="21"/>
                <w:szCs w:val="21"/>
              </w:rPr>
            </w:pPr>
            <w:r>
              <w:rPr>
                <w:spacing w:val="-2"/>
                <w:sz w:val="21"/>
                <w:szCs w:val="21"/>
              </w:rPr>
              <w:t>400</w:t>
            </w:r>
          </w:p>
        </w:tc>
      </w:tr>
      <w:tr w14:paraId="0A1CF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163" w:type="dxa"/>
            <w:vAlign w:val="top"/>
          </w:tcPr>
          <w:p w14:paraId="155DED93">
            <w:pPr>
              <w:pStyle w:val="6"/>
              <w:spacing w:before="61" w:line="182" w:lineRule="auto"/>
              <w:ind w:left="464"/>
              <w:rPr>
                <w:sz w:val="21"/>
                <w:szCs w:val="21"/>
              </w:rPr>
            </w:pPr>
            <w:r>
              <w:rPr>
                <w:spacing w:val="-6"/>
                <w:sz w:val="21"/>
                <w:szCs w:val="21"/>
              </w:rPr>
              <w:t>10</w:t>
            </w:r>
          </w:p>
        </w:tc>
        <w:tc>
          <w:tcPr>
            <w:tcW w:w="1808" w:type="dxa"/>
            <w:vAlign w:val="top"/>
          </w:tcPr>
          <w:p w14:paraId="0BBE0EA4">
            <w:pPr>
              <w:pStyle w:val="6"/>
              <w:spacing w:before="41" w:line="200" w:lineRule="auto"/>
              <w:ind w:left="421"/>
              <w:rPr>
                <w:sz w:val="21"/>
                <w:szCs w:val="21"/>
              </w:rPr>
            </w:pPr>
            <w:r>
              <w:rPr>
                <w:spacing w:val="1"/>
                <w:sz w:val="21"/>
                <w:szCs w:val="21"/>
              </w:rPr>
              <w:t>1</w:t>
            </w:r>
            <w:r>
              <w:rPr>
                <w:sz w:val="21"/>
                <w:szCs w:val="21"/>
              </w:rPr>
              <w:t>KV</w:t>
            </w:r>
            <w:r>
              <w:rPr>
                <w:spacing w:val="1"/>
                <w:sz w:val="21"/>
                <w:szCs w:val="21"/>
              </w:rPr>
              <w:t>电缆头</w:t>
            </w:r>
          </w:p>
        </w:tc>
        <w:tc>
          <w:tcPr>
            <w:tcW w:w="3376" w:type="dxa"/>
            <w:vAlign w:val="top"/>
          </w:tcPr>
          <w:p w14:paraId="7D741B2C">
            <w:pPr>
              <w:pStyle w:val="6"/>
              <w:spacing w:before="38" w:line="203" w:lineRule="auto"/>
              <w:ind w:left="783"/>
              <w:rPr>
                <w:sz w:val="21"/>
                <w:szCs w:val="21"/>
              </w:rPr>
            </w:pPr>
            <w:r>
              <w:rPr>
                <w:spacing w:val="-1"/>
                <w:sz w:val="21"/>
                <w:szCs w:val="21"/>
              </w:rPr>
              <w:t>3×300+1×150,1kV</w:t>
            </w:r>
          </w:p>
        </w:tc>
        <w:tc>
          <w:tcPr>
            <w:tcW w:w="989" w:type="dxa"/>
            <w:vAlign w:val="top"/>
          </w:tcPr>
          <w:p w14:paraId="469236D5">
            <w:pPr>
              <w:pStyle w:val="6"/>
              <w:spacing w:before="42" w:line="199" w:lineRule="auto"/>
              <w:ind w:left="387"/>
              <w:rPr>
                <w:sz w:val="21"/>
                <w:szCs w:val="21"/>
              </w:rPr>
            </w:pPr>
            <w:r>
              <w:rPr>
                <w:sz w:val="21"/>
                <w:szCs w:val="21"/>
              </w:rPr>
              <w:t>套</w:t>
            </w:r>
          </w:p>
        </w:tc>
        <w:tc>
          <w:tcPr>
            <w:tcW w:w="1183" w:type="dxa"/>
            <w:vAlign w:val="top"/>
          </w:tcPr>
          <w:p w14:paraId="73BBBA74">
            <w:pPr>
              <w:pStyle w:val="6"/>
              <w:spacing w:before="61" w:line="182" w:lineRule="auto"/>
              <w:ind w:left="529"/>
              <w:rPr>
                <w:sz w:val="21"/>
                <w:szCs w:val="21"/>
              </w:rPr>
            </w:pPr>
            <w:r>
              <w:rPr>
                <w:sz w:val="21"/>
                <w:szCs w:val="21"/>
              </w:rPr>
              <w:t>8</w:t>
            </w:r>
          </w:p>
        </w:tc>
      </w:tr>
      <w:tr w14:paraId="76452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63" w:type="dxa"/>
            <w:vAlign w:val="top"/>
          </w:tcPr>
          <w:p w14:paraId="12BBC123">
            <w:pPr>
              <w:pStyle w:val="6"/>
              <w:spacing w:before="53" w:line="172" w:lineRule="auto"/>
              <w:ind w:left="464"/>
              <w:rPr>
                <w:sz w:val="21"/>
                <w:szCs w:val="21"/>
              </w:rPr>
            </w:pPr>
            <w:r>
              <w:rPr>
                <w:spacing w:val="-6"/>
                <w:sz w:val="21"/>
                <w:szCs w:val="21"/>
              </w:rPr>
              <w:t>11</w:t>
            </w:r>
          </w:p>
        </w:tc>
        <w:tc>
          <w:tcPr>
            <w:tcW w:w="1808" w:type="dxa"/>
            <w:vAlign w:val="top"/>
          </w:tcPr>
          <w:p w14:paraId="04CCC4F3">
            <w:pPr>
              <w:pStyle w:val="6"/>
              <w:spacing w:before="32" w:line="190" w:lineRule="auto"/>
              <w:ind w:left="472"/>
              <w:rPr>
                <w:sz w:val="21"/>
                <w:szCs w:val="21"/>
              </w:rPr>
            </w:pPr>
            <w:r>
              <w:rPr>
                <w:spacing w:val="3"/>
                <w:sz w:val="21"/>
                <w:szCs w:val="21"/>
              </w:rPr>
              <w:t>所用电屏</w:t>
            </w:r>
          </w:p>
        </w:tc>
        <w:tc>
          <w:tcPr>
            <w:tcW w:w="3376" w:type="dxa"/>
            <w:vAlign w:val="top"/>
          </w:tcPr>
          <w:p w14:paraId="08D451D2">
            <w:pPr>
              <w:pStyle w:val="6"/>
              <w:spacing w:before="86" w:line="163" w:lineRule="exact"/>
              <w:ind w:left="1523"/>
              <w:rPr>
                <w:sz w:val="21"/>
                <w:szCs w:val="21"/>
              </w:rPr>
            </w:pPr>
            <w:r>
              <w:rPr>
                <w:spacing w:val="-2"/>
                <w:position w:val="-2"/>
                <w:sz w:val="21"/>
                <w:szCs w:val="21"/>
              </w:rPr>
              <w:t>GCS</w:t>
            </w:r>
          </w:p>
        </w:tc>
        <w:tc>
          <w:tcPr>
            <w:tcW w:w="989" w:type="dxa"/>
            <w:vAlign w:val="top"/>
          </w:tcPr>
          <w:p w14:paraId="1EE0B415">
            <w:pPr>
              <w:pStyle w:val="6"/>
              <w:spacing w:before="34" w:line="189" w:lineRule="auto"/>
              <w:ind w:left="387"/>
              <w:rPr>
                <w:sz w:val="21"/>
                <w:szCs w:val="21"/>
              </w:rPr>
            </w:pPr>
            <w:r>
              <w:rPr>
                <w:sz w:val="21"/>
                <w:szCs w:val="21"/>
              </w:rPr>
              <w:t>面</w:t>
            </w:r>
          </w:p>
        </w:tc>
        <w:tc>
          <w:tcPr>
            <w:tcW w:w="1183" w:type="dxa"/>
            <w:vAlign w:val="top"/>
          </w:tcPr>
          <w:p w14:paraId="1E5ADCC0">
            <w:pPr>
              <w:pStyle w:val="6"/>
              <w:spacing w:before="53" w:line="172" w:lineRule="auto"/>
              <w:ind w:left="529"/>
              <w:rPr>
                <w:sz w:val="21"/>
                <w:szCs w:val="21"/>
              </w:rPr>
            </w:pPr>
            <w:r>
              <w:rPr>
                <w:sz w:val="21"/>
                <w:szCs w:val="21"/>
              </w:rPr>
              <w:t>8</w:t>
            </w:r>
          </w:p>
        </w:tc>
      </w:tr>
      <w:tr w14:paraId="64185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163" w:type="dxa"/>
            <w:vAlign w:val="top"/>
          </w:tcPr>
          <w:p w14:paraId="2939F2E9">
            <w:pPr>
              <w:pStyle w:val="6"/>
              <w:spacing w:before="204" w:line="241" w:lineRule="auto"/>
              <w:ind w:left="464"/>
              <w:rPr>
                <w:sz w:val="21"/>
                <w:szCs w:val="21"/>
              </w:rPr>
            </w:pPr>
            <w:r>
              <w:rPr>
                <w:spacing w:val="-6"/>
                <w:sz w:val="21"/>
                <w:szCs w:val="21"/>
              </w:rPr>
              <w:t>12</w:t>
            </w:r>
          </w:p>
        </w:tc>
        <w:tc>
          <w:tcPr>
            <w:tcW w:w="1808" w:type="dxa"/>
            <w:vAlign w:val="top"/>
          </w:tcPr>
          <w:p w14:paraId="517ED8C1">
            <w:pPr>
              <w:pStyle w:val="6"/>
              <w:spacing w:before="32" w:line="227" w:lineRule="auto"/>
              <w:ind w:left="681" w:right="230" w:hanging="469"/>
              <w:rPr>
                <w:sz w:val="21"/>
                <w:szCs w:val="21"/>
              </w:rPr>
            </w:pPr>
            <w:r>
              <w:rPr>
                <w:spacing w:val="-2"/>
                <w:sz w:val="21"/>
                <w:szCs w:val="21"/>
              </w:rPr>
              <w:t>户外GIS动力配</w:t>
            </w:r>
            <w:r>
              <w:rPr>
                <w:spacing w:val="5"/>
                <w:sz w:val="21"/>
                <w:szCs w:val="21"/>
              </w:rPr>
              <w:t xml:space="preserve"> </w:t>
            </w:r>
            <w:r>
              <w:rPr>
                <w:spacing w:val="6"/>
                <w:sz w:val="21"/>
                <w:szCs w:val="21"/>
              </w:rPr>
              <w:t>电箱</w:t>
            </w:r>
          </w:p>
        </w:tc>
        <w:tc>
          <w:tcPr>
            <w:tcW w:w="3376" w:type="dxa"/>
            <w:vAlign w:val="top"/>
          </w:tcPr>
          <w:p w14:paraId="5B20942D">
            <w:pPr>
              <w:pStyle w:val="6"/>
              <w:spacing w:before="187" w:line="222" w:lineRule="auto"/>
              <w:ind w:left="1104"/>
              <w:rPr>
                <w:sz w:val="21"/>
                <w:szCs w:val="21"/>
              </w:rPr>
            </w:pPr>
            <w:r>
              <w:rPr>
                <w:spacing w:val="-1"/>
                <w:sz w:val="21"/>
                <w:szCs w:val="21"/>
              </w:rPr>
              <w:t>XLW-1-14(G)</w:t>
            </w:r>
          </w:p>
        </w:tc>
        <w:tc>
          <w:tcPr>
            <w:tcW w:w="989" w:type="dxa"/>
            <w:vAlign w:val="top"/>
          </w:tcPr>
          <w:p w14:paraId="1ACA7FF1">
            <w:pPr>
              <w:pStyle w:val="6"/>
              <w:spacing w:before="187" w:line="222" w:lineRule="auto"/>
              <w:ind w:left="387"/>
              <w:rPr>
                <w:sz w:val="21"/>
                <w:szCs w:val="21"/>
              </w:rPr>
            </w:pPr>
            <w:r>
              <w:rPr>
                <w:sz w:val="21"/>
                <w:szCs w:val="21"/>
              </w:rPr>
              <w:t>只</w:t>
            </w:r>
          </w:p>
        </w:tc>
        <w:tc>
          <w:tcPr>
            <w:tcW w:w="1183" w:type="dxa"/>
            <w:vAlign w:val="top"/>
          </w:tcPr>
          <w:p w14:paraId="4A32D11A">
            <w:pPr>
              <w:pStyle w:val="6"/>
              <w:spacing w:before="204" w:line="241" w:lineRule="auto"/>
              <w:ind w:left="529"/>
              <w:rPr>
                <w:sz w:val="21"/>
                <w:szCs w:val="21"/>
              </w:rPr>
            </w:pPr>
            <w:r>
              <w:rPr>
                <w:sz w:val="21"/>
                <w:szCs w:val="21"/>
              </w:rPr>
              <w:t>1</w:t>
            </w:r>
          </w:p>
        </w:tc>
      </w:tr>
      <w:tr w14:paraId="41403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63" w:type="dxa"/>
            <w:vAlign w:val="top"/>
          </w:tcPr>
          <w:p w14:paraId="76D75C26">
            <w:pPr>
              <w:pStyle w:val="6"/>
              <w:spacing w:before="195"/>
              <w:ind w:left="464"/>
              <w:rPr>
                <w:sz w:val="21"/>
                <w:szCs w:val="21"/>
              </w:rPr>
            </w:pPr>
            <w:r>
              <w:rPr>
                <w:spacing w:val="-6"/>
                <w:sz w:val="21"/>
                <w:szCs w:val="21"/>
              </w:rPr>
              <w:t>13</w:t>
            </w:r>
          </w:p>
        </w:tc>
        <w:tc>
          <w:tcPr>
            <w:tcW w:w="1808" w:type="dxa"/>
            <w:vAlign w:val="top"/>
          </w:tcPr>
          <w:p w14:paraId="44DB5EAE">
            <w:pPr>
              <w:pStyle w:val="6"/>
              <w:spacing w:before="35" w:line="217" w:lineRule="auto"/>
              <w:ind w:left="580" w:right="147" w:hanging="419"/>
              <w:rPr>
                <w:sz w:val="21"/>
                <w:szCs w:val="21"/>
              </w:rPr>
            </w:pPr>
            <w:r>
              <w:rPr>
                <w:spacing w:val="2"/>
                <w:sz w:val="21"/>
                <w:szCs w:val="21"/>
              </w:rPr>
              <w:t>35</w:t>
            </w:r>
            <w:r>
              <w:rPr>
                <w:sz w:val="21"/>
                <w:szCs w:val="21"/>
              </w:rPr>
              <w:t>KV</w:t>
            </w:r>
            <w:r>
              <w:rPr>
                <w:spacing w:val="2"/>
                <w:sz w:val="21"/>
                <w:szCs w:val="21"/>
              </w:rPr>
              <w:t>配电室动力</w:t>
            </w:r>
            <w:r>
              <w:rPr>
                <w:spacing w:val="3"/>
                <w:sz w:val="21"/>
                <w:szCs w:val="21"/>
              </w:rPr>
              <w:t xml:space="preserve"> </w:t>
            </w:r>
            <w:r>
              <w:rPr>
                <w:spacing w:val="4"/>
                <w:sz w:val="21"/>
                <w:szCs w:val="21"/>
              </w:rPr>
              <w:t>配电箱</w:t>
            </w:r>
          </w:p>
        </w:tc>
        <w:tc>
          <w:tcPr>
            <w:tcW w:w="3376" w:type="dxa"/>
            <w:vAlign w:val="top"/>
          </w:tcPr>
          <w:p w14:paraId="5F8CFA8E">
            <w:pPr>
              <w:pStyle w:val="6"/>
              <w:spacing w:before="177" w:line="222" w:lineRule="auto"/>
              <w:ind w:left="1154"/>
              <w:rPr>
                <w:sz w:val="21"/>
                <w:szCs w:val="21"/>
              </w:rPr>
            </w:pPr>
            <w:r>
              <w:rPr>
                <w:spacing w:val="-1"/>
                <w:sz w:val="21"/>
                <w:szCs w:val="21"/>
              </w:rPr>
              <w:t>XL-1-14(G)</w:t>
            </w:r>
          </w:p>
        </w:tc>
        <w:tc>
          <w:tcPr>
            <w:tcW w:w="989" w:type="dxa"/>
            <w:vAlign w:val="top"/>
          </w:tcPr>
          <w:p w14:paraId="46D30384">
            <w:pPr>
              <w:pStyle w:val="6"/>
              <w:spacing w:before="177" w:line="222" w:lineRule="auto"/>
              <w:ind w:left="387"/>
              <w:rPr>
                <w:sz w:val="21"/>
                <w:szCs w:val="21"/>
              </w:rPr>
            </w:pPr>
            <w:r>
              <w:rPr>
                <w:sz w:val="21"/>
                <w:szCs w:val="21"/>
              </w:rPr>
              <w:t>只</w:t>
            </w:r>
          </w:p>
        </w:tc>
        <w:tc>
          <w:tcPr>
            <w:tcW w:w="1183" w:type="dxa"/>
            <w:vAlign w:val="top"/>
          </w:tcPr>
          <w:p w14:paraId="325C9FFD">
            <w:pPr>
              <w:pStyle w:val="6"/>
              <w:spacing w:before="195" w:line="241" w:lineRule="auto"/>
              <w:ind w:left="529"/>
              <w:rPr>
                <w:sz w:val="21"/>
                <w:szCs w:val="21"/>
              </w:rPr>
            </w:pPr>
            <w:r>
              <w:rPr>
                <w:sz w:val="21"/>
                <w:szCs w:val="21"/>
              </w:rPr>
              <w:t>1</w:t>
            </w:r>
          </w:p>
        </w:tc>
      </w:tr>
      <w:tr w14:paraId="4B18B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3" w:type="dxa"/>
            <w:vAlign w:val="top"/>
          </w:tcPr>
          <w:p w14:paraId="5BDBCD62">
            <w:pPr>
              <w:pStyle w:val="6"/>
              <w:spacing w:before="56" w:line="179" w:lineRule="auto"/>
              <w:ind w:left="464"/>
              <w:rPr>
                <w:sz w:val="21"/>
                <w:szCs w:val="21"/>
              </w:rPr>
            </w:pPr>
            <w:r>
              <w:rPr>
                <w:spacing w:val="-6"/>
                <w:sz w:val="21"/>
                <w:szCs w:val="21"/>
              </w:rPr>
              <w:t>14</w:t>
            </w:r>
          </w:p>
        </w:tc>
        <w:tc>
          <w:tcPr>
            <w:tcW w:w="1808" w:type="dxa"/>
            <w:vAlign w:val="top"/>
          </w:tcPr>
          <w:p w14:paraId="555CDB1B">
            <w:pPr>
              <w:pStyle w:val="6"/>
              <w:spacing w:before="34" w:line="198" w:lineRule="auto"/>
              <w:ind w:left="51"/>
              <w:rPr>
                <w:sz w:val="21"/>
                <w:szCs w:val="21"/>
              </w:rPr>
            </w:pPr>
            <w:r>
              <w:rPr>
                <w:spacing w:val="-1"/>
                <w:sz w:val="21"/>
                <w:szCs w:val="21"/>
              </w:rPr>
              <w:t>控制室动力配电箱</w:t>
            </w:r>
          </w:p>
        </w:tc>
        <w:tc>
          <w:tcPr>
            <w:tcW w:w="3376" w:type="dxa"/>
            <w:vAlign w:val="top"/>
          </w:tcPr>
          <w:p w14:paraId="0D9D22EC">
            <w:pPr>
              <w:pStyle w:val="6"/>
              <w:spacing w:before="38" w:line="195" w:lineRule="auto"/>
              <w:ind w:left="1154"/>
              <w:rPr>
                <w:sz w:val="21"/>
                <w:szCs w:val="21"/>
              </w:rPr>
            </w:pPr>
            <w:r>
              <w:rPr>
                <w:spacing w:val="-1"/>
                <w:sz w:val="21"/>
                <w:szCs w:val="21"/>
              </w:rPr>
              <w:t>XL-1-14(G)</w:t>
            </w:r>
          </w:p>
        </w:tc>
        <w:tc>
          <w:tcPr>
            <w:tcW w:w="989" w:type="dxa"/>
            <w:vAlign w:val="top"/>
          </w:tcPr>
          <w:p w14:paraId="0D910962">
            <w:pPr>
              <w:pStyle w:val="6"/>
              <w:spacing w:before="38" w:line="195" w:lineRule="auto"/>
              <w:ind w:left="387"/>
              <w:rPr>
                <w:sz w:val="21"/>
                <w:szCs w:val="21"/>
              </w:rPr>
            </w:pPr>
            <w:r>
              <w:rPr>
                <w:sz w:val="21"/>
                <w:szCs w:val="21"/>
              </w:rPr>
              <w:t>只</w:t>
            </w:r>
          </w:p>
        </w:tc>
        <w:tc>
          <w:tcPr>
            <w:tcW w:w="1183" w:type="dxa"/>
            <w:vAlign w:val="top"/>
          </w:tcPr>
          <w:p w14:paraId="4F3DDEB0">
            <w:pPr>
              <w:pStyle w:val="6"/>
              <w:spacing w:before="56" w:line="179" w:lineRule="auto"/>
              <w:ind w:left="529"/>
              <w:rPr>
                <w:sz w:val="21"/>
                <w:szCs w:val="21"/>
              </w:rPr>
            </w:pPr>
            <w:r>
              <w:rPr>
                <w:sz w:val="21"/>
                <w:szCs w:val="21"/>
              </w:rPr>
              <w:t>1</w:t>
            </w:r>
          </w:p>
        </w:tc>
      </w:tr>
      <w:tr w14:paraId="4D4DE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63" w:type="dxa"/>
            <w:vAlign w:val="top"/>
          </w:tcPr>
          <w:p w14:paraId="6BE03940">
            <w:pPr>
              <w:pStyle w:val="6"/>
              <w:spacing w:before="196"/>
              <w:ind w:left="464"/>
              <w:rPr>
                <w:sz w:val="21"/>
                <w:szCs w:val="21"/>
              </w:rPr>
            </w:pPr>
            <w:r>
              <w:rPr>
                <w:spacing w:val="-6"/>
                <w:sz w:val="21"/>
                <w:szCs w:val="21"/>
              </w:rPr>
              <w:t>15</w:t>
            </w:r>
          </w:p>
        </w:tc>
        <w:tc>
          <w:tcPr>
            <w:tcW w:w="1808" w:type="dxa"/>
            <w:vAlign w:val="top"/>
          </w:tcPr>
          <w:p w14:paraId="6A5E37CE">
            <w:pPr>
              <w:pStyle w:val="6"/>
              <w:spacing w:before="45" w:line="217" w:lineRule="auto"/>
              <w:ind w:left="791" w:right="53" w:hanging="740"/>
              <w:rPr>
                <w:sz w:val="21"/>
                <w:szCs w:val="21"/>
              </w:rPr>
            </w:pPr>
            <w:r>
              <w:rPr>
                <w:spacing w:val="1"/>
                <w:sz w:val="21"/>
                <w:szCs w:val="21"/>
              </w:rPr>
              <w:t>保护屏室动力配电</w:t>
            </w:r>
            <w:r>
              <w:rPr>
                <w:spacing w:val="3"/>
                <w:sz w:val="21"/>
                <w:szCs w:val="21"/>
              </w:rPr>
              <w:t xml:space="preserve"> </w:t>
            </w:r>
            <w:r>
              <w:rPr>
                <w:sz w:val="21"/>
                <w:szCs w:val="21"/>
              </w:rPr>
              <w:t>箱</w:t>
            </w:r>
          </w:p>
        </w:tc>
        <w:tc>
          <w:tcPr>
            <w:tcW w:w="3376" w:type="dxa"/>
            <w:vAlign w:val="top"/>
          </w:tcPr>
          <w:p w14:paraId="4CD798AE">
            <w:pPr>
              <w:pStyle w:val="6"/>
              <w:spacing w:before="179" w:line="222" w:lineRule="auto"/>
              <w:ind w:left="1154"/>
              <w:rPr>
                <w:sz w:val="21"/>
                <w:szCs w:val="21"/>
              </w:rPr>
            </w:pPr>
            <w:r>
              <w:rPr>
                <w:spacing w:val="-1"/>
                <w:sz w:val="21"/>
                <w:szCs w:val="21"/>
              </w:rPr>
              <w:t>XL-1-14(G)</w:t>
            </w:r>
          </w:p>
        </w:tc>
        <w:tc>
          <w:tcPr>
            <w:tcW w:w="989" w:type="dxa"/>
            <w:vAlign w:val="top"/>
          </w:tcPr>
          <w:p w14:paraId="6CF38B37">
            <w:pPr>
              <w:pStyle w:val="6"/>
              <w:spacing w:before="179" w:line="222" w:lineRule="auto"/>
              <w:ind w:left="387"/>
              <w:rPr>
                <w:sz w:val="21"/>
                <w:szCs w:val="21"/>
              </w:rPr>
            </w:pPr>
            <w:r>
              <w:rPr>
                <w:sz w:val="21"/>
                <w:szCs w:val="21"/>
              </w:rPr>
              <w:t>只</w:t>
            </w:r>
          </w:p>
        </w:tc>
        <w:tc>
          <w:tcPr>
            <w:tcW w:w="1183" w:type="dxa"/>
            <w:vAlign w:val="top"/>
          </w:tcPr>
          <w:p w14:paraId="3A81619D">
            <w:pPr>
              <w:pStyle w:val="6"/>
              <w:spacing w:before="196" w:line="241" w:lineRule="auto"/>
              <w:ind w:left="529"/>
              <w:rPr>
                <w:sz w:val="21"/>
                <w:szCs w:val="21"/>
              </w:rPr>
            </w:pPr>
            <w:r>
              <w:rPr>
                <w:sz w:val="21"/>
                <w:szCs w:val="21"/>
              </w:rPr>
              <w:t>1</w:t>
            </w:r>
          </w:p>
        </w:tc>
      </w:tr>
      <w:tr w14:paraId="28AE5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63" w:type="dxa"/>
            <w:vAlign w:val="top"/>
          </w:tcPr>
          <w:p w14:paraId="6B83DB34">
            <w:pPr>
              <w:pStyle w:val="6"/>
              <w:spacing w:before="57" w:line="169" w:lineRule="auto"/>
              <w:ind w:left="464"/>
              <w:rPr>
                <w:sz w:val="21"/>
                <w:szCs w:val="21"/>
              </w:rPr>
            </w:pPr>
            <w:r>
              <w:rPr>
                <w:spacing w:val="-6"/>
                <w:sz w:val="21"/>
                <w:szCs w:val="21"/>
              </w:rPr>
              <w:t>16</w:t>
            </w:r>
          </w:p>
        </w:tc>
        <w:tc>
          <w:tcPr>
            <w:tcW w:w="1808" w:type="dxa"/>
            <w:vAlign w:val="top"/>
          </w:tcPr>
          <w:p w14:paraId="0EF64A02">
            <w:pPr>
              <w:pStyle w:val="6"/>
              <w:spacing w:before="36" w:line="188" w:lineRule="auto"/>
              <w:ind w:left="161"/>
              <w:rPr>
                <w:sz w:val="21"/>
                <w:szCs w:val="21"/>
              </w:rPr>
            </w:pPr>
            <w:r>
              <w:rPr>
                <w:spacing w:val="1"/>
                <w:sz w:val="21"/>
                <w:szCs w:val="21"/>
              </w:rPr>
              <w:t>主变检修配电箱</w:t>
            </w:r>
          </w:p>
        </w:tc>
        <w:tc>
          <w:tcPr>
            <w:tcW w:w="3376" w:type="dxa"/>
            <w:vAlign w:val="top"/>
          </w:tcPr>
          <w:p w14:paraId="5E49691B">
            <w:pPr>
              <w:pStyle w:val="6"/>
              <w:spacing w:before="39" w:line="185" w:lineRule="auto"/>
              <w:ind w:left="1104"/>
              <w:rPr>
                <w:sz w:val="21"/>
                <w:szCs w:val="21"/>
              </w:rPr>
            </w:pPr>
            <w:r>
              <w:rPr>
                <w:spacing w:val="-1"/>
                <w:sz w:val="21"/>
                <w:szCs w:val="21"/>
              </w:rPr>
              <w:t>XLW-1-14(G)</w:t>
            </w:r>
          </w:p>
        </w:tc>
        <w:tc>
          <w:tcPr>
            <w:tcW w:w="989" w:type="dxa"/>
            <w:vAlign w:val="top"/>
          </w:tcPr>
          <w:p w14:paraId="1E87C688">
            <w:pPr>
              <w:pStyle w:val="6"/>
              <w:spacing w:before="39" w:line="185" w:lineRule="auto"/>
              <w:ind w:left="387"/>
              <w:rPr>
                <w:sz w:val="21"/>
                <w:szCs w:val="21"/>
              </w:rPr>
            </w:pPr>
            <w:r>
              <w:rPr>
                <w:sz w:val="21"/>
                <w:szCs w:val="21"/>
              </w:rPr>
              <w:t>只</w:t>
            </w:r>
          </w:p>
        </w:tc>
        <w:tc>
          <w:tcPr>
            <w:tcW w:w="1183" w:type="dxa"/>
            <w:vAlign w:val="top"/>
          </w:tcPr>
          <w:p w14:paraId="2383A310">
            <w:pPr>
              <w:pStyle w:val="6"/>
              <w:spacing w:before="57" w:line="169" w:lineRule="auto"/>
              <w:ind w:left="529"/>
              <w:rPr>
                <w:sz w:val="21"/>
                <w:szCs w:val="21"/>
              </w:rPr>
            </w:pPr>
            <w:r>
              <w:rPr>
                <w:sz w:val="21"/>
                <w:szCs w:val="21"/>
              </w:rPr>
              <w:t>1</w:t>
            </w:r>
          </w:p>
        </w:tc>
      </w:tr>
      <w:tr w14:paraId="327E9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63" w:type="dxa"/>
            <w:vAlign w:val="top"/>
          </w:tcPr>
          <w:p w14:paraId="385E651F">
            <w:pPr>
              <w:pStyle w:val="6"/>
              <w:spacing w:before="49" w:line="194" w:lineRule="auto"/>
              <w:ind w:left="364"/>
              <w:rPr>
                <w:sz w:val="21"/>
                <w:szCs w:val="21"/>
              </w:rPr>
            </w:pPr>
            <w:r>
              <w:rPr>
                <w:spacing w:val="15"/>
                <w:sz w:val="21"/>
                <w:szCs w:val="21"/>
              </w:rPr>
              <w:t>(七)</w:t>
            </w:r>
          </w:p>
        </w:tc>
        <w:tc>
          <w:tcPr>
            <w:tcW w:w="1808" w:type="dxa"/>
            <w:vAlign w:val="top"/>
          </w:tcPr>
          <w:p w14:paraId="13C91876">
            <w:pPr>
              <w:pStyle w:val="6"/>
              <w:spacing w:before="47" w:line="196" w:lineRule="auto"/>
              <w:ind w:left="581"/>
              <w:rPr>
                <w:sz w:val="21"/>
                <w:szCs w:val="21"/>
              </w:rPr>
            </w:pPr>
            <w:r>
              <w:rPr>
                <w:spacing w:val="-2"/>
                <w:sz w:val="21"/>
                <w:szCs w:val="21"/>
              </w:rPr>
              <w:t>避雷针</w:t>
            </w:r>
          </w:p>
        </w:tc>
        <w:tc>
          <w:tcPr>
            <w:tcW w:w="3376" w:type="dxa"/>
            <w:vAlign w:val="top"/>
          </w:tcPr>
          <w:p w14:paraId="542258FB">
            <w:pPr>
              <w:rPr>
                <w:rFonts w:ascii="Arial"/>
                <w:sz w:val="21"/>
              </w:rPr>
            </w:pPr>
          </w:p>
        </w:tc>
        <w:tc>
          <w:tcPr>
            <w:tcW w:w="989" w:type="dxa"/>
            <w:vAlign w:val="top"/>
          </w:tcPr>
          <w:p w14:paraId="4FBB2834">
            <w:pPr>
              <w:rPr>
                <w:rFonts w:ascii="Arial"/>
                <w:sz w:val="21"/>
              </w:rPr>
            </w:pPr>
          </w:p>
        </w:tc>
        <w:tc>
          <w:tcPr>
            <w:tcW w:w="1183" w:type="dxa"/>
            <w:vAlign w:val="top"/>
          </w:tcPr>
          <w:p w14:paraId="22A1BE01">
            <w:pPr>
              <w:rPr>
                <w:rFonts w:ascii="Arial"/>
                <w:sz w:val="21"/>
              </w:rPr>
            </w:pPr>
          </w:p>
        </w:tc>
      </w:tr>
      <w:tr w14:paraId="50023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163" w:type="dxa"/>
            <w:vAlign w:val="top"/>
          </w:tcPr>
          <w:p w14:paraId="30AD8EC4">
            <w:pPr>
              <w:pStyle w:val="6"/>
              <w:spacing w:before="57" w:line="177" w:lineRule="auto"/>
              <w:ind w:left="514"/>
              <w:rPr>
                <w:sz w:val="21"/>
                <w:szCs w:val="21"/>
              </w:rPr>
            </w:pPr>
            <w:r>
              <w:rPr>
                <w:sz w:val="21"/>
                <w:szCs w:val="21"/>
              </w:rPr>
              <w:t>1</w:t>
            </w:r>
          </w:p>
        </w:tc>
        <w:tc>
          <w:tcPr>
            <w:tcW w:w="1808" w:type="dxa"/>
            <w:vAlign w:val="top"/>
          </w:tcPr>
          <w:p w14:paraId="48B145BE">
            <w:pPr>
              <w:pStyle w:val="6"/>
              <w:spacing w:before="37" w:line="195" w:lineRule="auto"/>
              <w:ind w:left="371"/>
              <w:rPr>
                <w:sz w:val="21"/>
                <w:szCs w:val="21"/>
              </w:rPr>
            </w:pPr>
            <w:r>
              <w:rPr>
                <w:spacing w:val="-2"/>
                <w:sz w:val="21"/>
                <w:szCs w:val="21"/>
              </w:rPr>
              <w:t>独立避雷针</w:t>
            </w:r>
          </w:p>
        </w:tc>
        <w:tc>
          <w:tcPr>
            <w:tcW w:w="3376" w:type="dxa"/>
            <w:vAlign w:val="top"/>
          </w:tcPr>
          <w:p w14:paraId="1FD2AEF1">
            <w:pPr>
              <w:pStyle w:val="6"/>
              <w:spacing w:before="90" w:line="169" w:lineRule="exact"/>
              <w:ind w:left="1414"/>
              <w:rPr>
                <w:sz w:val="21"/>
                <w:szCs w:val="21"/>
              </w:rPr>
            </w:pPr>
            <w:r>
              <w:rPr>
                <w:spacing w:val="-1"/>
                <w:position w:val="-2"/>
                <w:sz w:val="21"/>
                <w:szCs w:val="21"/>
              </w:rPr>
              <w:t>H=35m</w:t>
            </w:r>
          </w:p>
        </w:tc>
        <w:tc>
          <w:tcPr>
            <w:tcW w:w="989" w:type="dxa"/>
            <w:vAlign w:val="top"/>
          </w:tcPr>
          <w:p w14:paraId="4BF1573D">
            <w:pPr>
              <w:pStyle w:val="6"/>
              <w:spacing w:before="36" w:line="196" w:lineRule="auto"/>
              <w:ind w:left="387"/>
              <w:rPr>
                <w:sz w:val="21"/>
                <w:szCs w:val="21"/>
              </w:rPr>
            </w:pPr>
            <w:r>
              <w:rPr>
                <w:sz w:val="21"/>
                <w:szCs w:val="21"/>
              </w:rPr>
              <w:t>棵</w:t>
            </w:r>
          </w:p>
        </w:tc>
        <w:tc>
          <w:tcPr>
            <w:tcW w:w="1183" w:type="dxa"/>
            <w:vAlign w:val="top"/>
          </w:tcPr>
          <w:p w14:paraId="3069CFD0">
            <w:pPr>
              <w:pStyle w:val="6"/>
              <w:spacing w:before="57" w:line="177" w:lineRule="auto"/>
              <w:ind w:left="529"/>
              <w:rPr>
                <w:sz w:val="21"/>
                <w:szCs w:val="21"/>
              </w:rPr>
            </w:pPr>
            <w:r>
              <w:rPr>
                <w:sz w:val="21"/>
                <w:szCs w:val="21"/>
              </w:rPr>
              <w:t>1</w:t>
            </w:r>
          </w:p>
        </w:tc>
      </w:tr>
      <w:tr w14:paraId="3E386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3" w:type="dxa"/>
            <w:vAlign w:val="top"/>
          </w:tcPr>
          <w:p w14:paraId="426ADA9E">
            <w:pPr>
              <w:pStyle w:val="6"/>
              <w:spacing w:before="58" w:line="177" w:lineRule="auto"/>
              <w:ind w:left="514"/>
              <w:rPr>
                <w:sz w:val="21"/>
                <w:szCs w:val="21"/>
              </w:rPr>
            </w:pPr>
            <w:r>
              <w:rPr>
                <w:sz w:val="21"/>
                <w:szCs w:val="21"/>
              </w:rPr>
              <w:t>2</w:t>
            </w:r>
          </w:p>
        </w:tc>
        <w:tc>
          <w:tcPr>
            <w:tcW w:w="1808" w:type="dxa"/>
            <w:vAlign w:val="top"/>
          </w:tcPr>
          <w:p w14:paraId="1865EF8E">
            <w:pPr>
              <w:pStyle w:val="6"/>
              <w:spacing w:before="38" w:line="195" w:lineRule="auto"/>
              <w:ind w:left="371"/>
              <w:rPr>
                <w:sz w:val="21"/>
                <w:szCs w:val="21"/>
              </w:rPr>
            </w:pPr>
            <w:r>
              <w:rPr>
                <w:spacing w:val="-2"/>
                <w:sz w:val="21"/>
                <w:szCs w:val="21"/>
              </w:rPr>
              <w:t>构架避雷针</w:t>
            </w:r>
          </w:p>
        </w:tc>
        <w:tc>
          <w:tcPr>
            <w:tcW w:w="3376" w:type="dxa"/>
            <w:vAlign w:val="top"/>
          </w:tcPr>
          <w:p w14:paraId="05877ABE">
            <w:pPr>
              <w:pStyle w:val="6"/>
              <w:spacing w:before="91" w:line="168" w:lineRule="exact"/>
              <w:ind w:left="1414"/>
              <w:rPr>
                <w:sz w:val="21"/>
                <w:szCs w:val="21"/>
              </w:rPr>
            </w:pPr>
            <w:r>
              <w:rPr>
                <w:spacing w:val="-1"/>
                <w:position w:val="-2"/>
                <w:sz w:val="21"/>
                <w:szCs w:val="21"/>
              </w:rPr>
              <w:t>H=35m</w:t>
            </w:r>
          </w:p>
        </w:tc>
        <w:tc>
          <w:tcPr>
            <w:tcW w:w="989" w:type="dxa"/>
            <w:vAlign w:val="top"/>
          </w:tcPr>
          <w:p w14:paraId="09AB1B7C">
            <w:pPr>
              <w:pStyle w:val="6"/>
              <w:spacing w:before="37" w:line="196" w:lineRule="auto"/>
              <w:ind w:left="387"/>
              <w:rPr>
                <w:sz w:val="21"/>
                <w:szCs w:val="21"/>
              </w:rPr>
            </w:pPr>
            <w:r>
              <w:rPr>
                <w:sz w:val="21"/>
                <w:szCs w:val="21"/>
              </w:rPr>
              <w:t>棵</w:t>
            </w:r>
          </w:p>
        </w:tc>
        <w:tc>
          <w:tcPr>
            <w:tcW w:w="1183" w:type="dxa"/>
            <w:vAlign w:val="top"/>
          </w:tcPr>
          <w:p w14:paraId="1416D221">
            <w:pPr>
              <w:pStyle w:val="6"/>
              <w:spacing w:before="58" w:line="177" w:lineRule="auto"/>
              <w:ind w:left="529"/>
              <w:rPr>
                <w:sz w:val="21"/>
                <w:szCs w:val="21"/>
              </w:rPr>
            </w:pPr>
            <w:r>
              <w:rPr>
                <w:sz w:val="21"/>
                <w:szCs w:val="21"/>
              </w:rPr>
              <w:t>1</w:t>
            </w:r>
          </w:p>
        </w:tc>
      </w:tr>
      <w:tr w14:paraId="48F0B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63" w:type="dxa"/>
            <w:vAlign w:val="top"/>
          </w:tcPr>
          <w:p w14:paraId="4BAEC86C">
            <w:pPr>
              <w:pStyle w:val="6"/>
              <w:spacing w:before="58" w:line="177" w:lineRule="auto"/>
              <w:ind w:left="514"/>
              <w:rPr>
                <w:sz w:val="21"/>
                <w:szCs w:val="21"/>
              </w:rPr>
            </w:pPr>
            <w:r>
              <w:rPr>
                <w:sz w:val="21"/>
                <w:szCs w:val="21"/>
              </w:rPr>
              <w:t>3</w:t>
            </w:r>
          </w:p>
        </w:tc>
        <w:tc>
          <w:tcPr>
            <w:tcW w:w="1808" w:type="dxa"/>
            <w:vAlign w:val="top"/>
          </w:tcPr>
          <w:p w14:paraId="12BD5629">
            <w:pPr>
              <w:pStyle w:val="6"/>
              <w:spacing w:before="37" w:line="196" w:lineRule="auto"/>
              <w:ind w:left="472"/>
              <w:rPr>
                <w:sz w:val="21"/>
                <w:szCs w:val="21"/>
              </w:rPr>
            </w:pPr>
            <w:r>
              <w:rPr>
                <w:spacing w:val="-2"/>
                <w:sz w:val="21"/>
                <w:szCs w:val="21"/>
              </w:rPr>
              <w:t>镀锌扁铁</w:t>
            </w:r>
          </w:p>
        </w:tc>
        <w:tc>
          <w:tcPr>
            <w:tcW w:w="3376" w:type="dxa"/>
            <w:vAlign w:val="top"/>
          </w:tcPr>
          <w:p w14:paraId="668B6706">
            <w:pPr>
              <w:pStyle w:val="6"/>
              <w:spacing w:before="58" w:line="177" w:lineRule="auto"/>
              <w:ind w:left="1263"/>
              <w:rPr>
                <w:sz w:val="21"/>
                <w:szCs w:val="21"/>
              </w:rPr>
            </w:pPr>
            <w:r>
              <w:rPr>
                <w:spacing w:val="-1"/>
                <w:sz w:val="21"/>
                <w:szCs w:val="21"/>
              </w:rPr>
              <w:t>-60×6mm</w:t>
            </w:r>
          </w:p>
        </w:tc>
        <w:tc>
          <w:tcPr>
            <w:tcW w:w="989" w:type="dxa"/>
            <w:vAlign w:val="top"/>
          </w:tcPr>
          <w:p w14:paraId="08D10911">
            <w:pPr>
              <w:pStyle w:val="6"/>
              <w:spacing w:before="58" w:line="177" w:lineRule="auto"/>
              <w:ind w:left="438"/>
              <w:rPr>
                <w:sz w:val="21"/>
                <w:szCs w:val="21"/>
              </w:rPr>
            </w:pPr>
            <w:r>
              <w:rPr>
                <w:sz w:val="21"/>
                <w:szCs w:val="21"/>
              </w:rPr>
              <w:t>m</w:t>
            </w:r>
          </w:p>
        </w:tc>
        <w:tc>
          <w:tcPr>
            <w:tcW w:w="1183" w:type="dxa"/>
            <w:vAlign w:val="top"/>
          </w:tcPr>
          <w:p w14:paraId="3BC8B36A">
            <w:pPr>
              <w:pStyle w:val="6"/>
              <w:spacing w:before="58" w:line="177" w:lineRule="auto"/>
              <w:ind w:left="378"/>
              <w:rPr>
                <w:sz w:val="21"/>
                <w:szCs w:val="21"/>
              </w:rPr>
            </w:pPr>
            <w:r>
              <w:rPr>
                <w:spacing w:val="-3"/>
                <w:sz w:val="21"/>
                <w:szCs w:val="21"/>
              </w:rPr>
              <w:t>3500</w:t>
            </w:r>
          </w:p>
        </w:tc>
      </w:tr>
      <w:tr w14:paraId="3F81E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163" w:type="dxa"/>
            <w:vAlign w:val="top"/>
          </w:tcPr>
          <w:p w14:paraId="28DEC223">
            <w:pPr>
              <w:pStyle w:val="6"/>
              <w:spacing w:before="58" w:line="176" w:lineRule="auto"/>
              <w:ind w:left="514"/>
              <w:rPr>
                <w:sz w:val="21"/>
                <w:szCs w:val="21"/>
              </w:rPr>
            </w:pPr>
            <w:r>
              <w:rPr>
                <w:sz w:val="21"/>
                <w:szCs w:val="21"/>
              </w:rPr>
              <w:t>4</w:t>
            </w:r>
          </w:p>
        </w:tc>
        <w:tc>
          <w:tcPr>
            <w:tcW w:w="1808" w:type="dxa"/>
            <w:vAlign w:val="top"/>
          </w:tcPr>
          <w:p w14:paraId="34A99228">
            <w:pPr>
              <w:pStyle w:val="6"/>
              <w:spacing w:before="37" w:line="195" w:lineRule="auto"/>
              <w:ind w:left="472"/>
              <w:rPr>
                <w:sz w:val="21"/>
                <w:szCs w:val="21"/>
              </w:rPr>
            </w:pPr>
            <w:r>
              <w:rPr>
                <w:spacing w:val="3"/>
                <w:sz w:val="21"/>
                <w:szCs w:val="21"/>
              </w:rPr>
              <w:t>镀锌角钢</w:t>
            </w:r>
          </w:p>
        </w:tc>
        <w:tc>
          <w:tcPr>
            <w:tcW w:w="3376" w:type="dxa"/>
            <w:vAlign w:val="top"/>
          </w:tcPr>
          <w:p w14:paraId="01FAE7E7">
            <w:pPr>
              <w:pStyle w:val="6"/>
              <w:spacing w:before="67" w:line="168" w:lineRule="auto"/>
              <w:ind w:left="683"/>
              <w:rPr>
                <w:sz w:val="21"/>
                <w:szCs w:val="21"/>
              </w:rPr>
            </w:pPr>
            <w:r>
              <w:rPr>
                <w:spacing w:val="-1"/>
                <w:sz w:val="21"/>
                <w:szCs w:val="21"/>
              </w:rPr>
              <w:t>L50×50×5,L=2500mm</w:t>
            </w:r>
          </w:p>
        </w:tc>
        <w:tc>
          <w:tcPr>
            <w:tcW w:w="989" w:type="dxa"/>
            <w:vAlign w:val="top"/>
          </w:tcPr>
          <w:p w14:paraId="433F46DF">
            <w:pPr>
              <w:pStyle w:val="6"/>
              <w:spacing w:before="38" w:line="194" w:lineRule="auto"/>
              <w:ind w:left="387"/>
              <w:rPr>
                <w:sz w:val="21"/>
                <w:szCs w:val="21"/>
              </w:rPr>
            </w:pPr>
            <w:r>
              <w:rPr>
                <w:sz w:val="21"/>
                <w:szCs w:val="21"/>
              </w:rPr>
              <w:t>根</w:t>
            </w:r>
          </w:p>
        </w:tc>
        <w:tc>
          <w:tcPr>
            <w:tcW w:w="1183" w:type="dxa"/>
            <w:vAlign w:val="top"/>
          </w:tcPr>
          <w:p w14:paraId="7AAA8E72">
            <w:pPr>
              <w:pStyle w:val="6"/>
              <w:spacing w:before="58" w:line="176" w:lineRule="auto"/>
              <w:ind w:left="428"/>
              <w:rPr>
                <w:sz w:val="21"/>
                <w:szCs w:val="21"/>
              </w:rPr>
            </w:pPr>
            <w:r>
              <w:rPr>
                <w:spacing w:val="-3"/>
                <w:sz w:val="21"/>
                <w:szCs w:val="21"/>
              </w:rPr>
              <w:t>250</w:t>
            </w:r>
          </w:p>
        </w:tc>
      </w:tr>
      <w:tr w14:paraId="00FF7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63" w:type="dxa"/>
            <w:vAlign w:val="top"/>
          </w:tcPr>
          <w:p w14:paraId="52CB900A">
            <w:pPr>
              <w:pStyle w:val="6"/>
              <w:spacing w:before="69" w:line="176" w:lineRule="auto"/>
              <w:ind w:left="514"/>
              <w:rPr>
                <w:sz w:val="21"/>
                <w:szCs w:val="21"/>
              </w:rPr>
            </w:pPr>
            <w:r>
              <w:rPr>
                <w:sz w:val="21"/>
                <w:szCs w:val="21"/>
              </w:rPr>
              <w:t>5</w:t>
            </w:r>
          </w:p>
        </w:tc>
        <w:tc>
          <w:tcPr>
            <w:tcW w:w="1808" w:type="dxa"/>
            <w:vAlign w:val="top"/>
          </w:tcPr>
          <w:p w14:paraId="4104C4ED">
            <w:pPr>
              <w:pStyle w:val="6"/>
              <w:spacing w:before="49" w:line="194" w:lineRule="auto"/>
              <w:ind w:left="262"/>
              <w:rPr>
                <w:sz w:val="21"/>
                <w:szCs w:val="21"/>
              </w:rPr>
            </w:pPr>
            <w:r>
              <w:rPr>
                <w:spacing w:val="-2"/>
                <w:sz w:val="21"/>
                <w:szCs w:val="21"/>
              </w:rPr>
              <w:t>铜离子接地极</w:t>
            </w:r>
          </w:p>
        </w:tc>
        <w:tc>
          <w:tcPr>
            <w:tcW w:w="3376" w:type="dxa"/>
            <w:vAlign w:val="top"/>
          </w:tcPr>
          <w:p w14:paraId="1C4064DD">
            <w:pPr>
              <w:rPr>
                <w:rFonts w:ascii="Arial"/>
                <w:sz w:val="21"/>
              </w:rPr>
            </w:pPr>
          </w:p>
        </w:tc>
        <w:tc>
          <w:tcPr>
            <w:tcW w:w="989" w:type="dxa"/>
            <w:vAlign w:val="top"/>
          </w:tcPr>
          <w:p w14:paraId="47378F56">
            <w:pPr>
              <w:pStyle w:val="6"/>
              <w:spacing w:before="49" w:line="194" w:lineRule="auto"/>
              <w:ind w:left="387"/>
              <w:rPr>
                <w:sz w:val="21"/>
                <w:szCs w:val="21"/>
              </w:rPr>
            </w:pPr>
            <w:r>
              <w:rPr>
                <w:sz w:val="21"/>
                <w:szCs w:val="21"/>
              </w:rPr>
              <w:t>套</w:t>
            </w:r>
          </w:p>
        </w:tc>
        <w:tc>
          <w:tcPr>
            <w:tcW w:w="1183" w:type="dxa"/>
            <w:vAlign w:val="top"/>
          </w:tcPr>
          <w:p w14:paraId="71E0E557">
            <w:pPr>
              <w:pStyle w:val="6"/>
              <w:spacing w:before="69" w:line="176" w:lineRule="auto"/>
              <w:ind w:left="478"/>
              <w:rPr>
                <w:sz w:val="21"/>
                <w:szCs w:val="21"/>
              </w:rPr>
            </w:pPr>
            <w:r>
              <w:rPr>
                <w:spacing w:val="-4"/>
                <w:sz w:val="21"/>
                <w:szCs w:val="21"/>
              </w:rPr>
              <w:t>30</w:t>
            </w:r>
          </w:p>
        </w:tc>
      </w:tr>
      <w:tr w14:paraId="7F2C3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163" w:type="dxa"/>
            <w:vAlign w:val="top"/>
          </w:tcPr>
          <w:p w14:paraId="0075DDAA">
            <w:pPr>
              <w:pStyle w:val="6"/>
              <w:spacing w:before="69" w:line="181" w:lineRule="auto"/>
              <w:ind w:left="514"/>
              <w:rPr>
                <w:sz w:val="21"/>
                <w:szCs w:val="21"/>
              </w:rPr>
            </w:pPr>
            <w:r>
              <w:rPr>
                <w:sz w:val="21"/>
                <w:szCs w:val="21"/>
              </w:rPr>
              <w:t>6</w:t>
            </w:r>
          </w:p>
        </w:tc>
        <w:tc>
          <w:tcPr>
            <w:tcW w:w="1808" w:type="dxa"/>
            <w:vAlign w:val="top"/>
          </w:tcPr>
          <w:p w14:paraId="3B8197BA">
            <w:pPr>
              <w:pStyle w:val="6"/>
              <w:spacing w:before="48" w:line="199" w:lineRule="auto"/>
              <w:ind w:left="371"/>
              <w:rPr>
                <w:sz w:val="21"/>
                <w:szCs w:val="21"/>
              </w:rPr>
            </w:pPr>
            <w:r>
              <w:rPr>
                <w:spacing w:val="-2"/>
                <w:sz w:val="21"/>
                <w:szCs w:val="21"/>
              </w:rPr>
              <w:t>接地检测井</w:t>
            </w:r>
          </w:p>
        </w:tc>
        <w:tc>
          <w:tcPr>
            <w:tcW w:w="3376" w:type="dxa"/>
            <w:vAlign w:val="top"/>
          </w:tcPr>
          <w:p w14:paraId="506AD2CC">
            <w:pPr>
              <w:rPr>
                <w:rFonts w:ascii="Arial"/>
                <w:sz w:val="21"/>
              </w:rPr>
            </w:pPr>
          </w:p>
        </w:tc>
        <w:tc>
          <w:tcPr>
            <w:tcW w:w="989" w:type="dxa"/>
            <w:vAlign w:val="top"/>
          </w:tcPr>
          <w:p w14:paraId="552637A7">
            <w:pPr>
              <w:pStyle w:val="6"/>
              <w:spacing w:before="67" w:line="182" w:lineRule="auto"/>
              <w:ind w:left="387"/>
              <w:rPr>
                <w:sz w:val="21"/>
                <w:szCs w:val="21"/>
              </w:rPr>
            </w:pPr>
            <w:r>
              <w:rPr>
                <w:sz w:val="21"/>
                <w:szCs w:val="21"/>
              </w:rPr>
              <w:t>口</w:t>
            </w:r>
          </w:p>
        </w:tc>
        <w:tc>
          <w:tcPr>
            <w:tcW w:w="1183" w:type="dxa"/>
            <w:vAlign w:val="top"/>
          </w:tcPr>
          <w:p w14:paraId="32C74B97">
            <w:pPr>
              <w:pStyle w:val="6"/>
              <w:spacing w:before="69" w:line="181" w:lineRule="auto"/>
              <w:ind w:left="529"/>
              <w:rPr>
                <w:sz w:val="21"/>
                <w:szCs w:val="21"/>
              </w:rPr>
            </w:pPr>
            <w:r>
              <w:rPr>
                <w:sz w:val="21"/>
                <w:szCs w:val="21"/>
              </w:rPr>
              <w:t>2</w:t>
            </w:r>
          </w:p>
        </w:tc>
      </w:tr>
    </w:tbl>
    <w:p w14:paraId="381DBEB7">
      <w:pPr>
        <w:spacing w:before="63" w:line="220" w:lineRule="auto"/>
        <w:ind w:left="118"/>
        <w:rPr>
          <w:rFonts w:ascii="宋体" w:hAnsi="宋体" w:eastAsia="宋体" w:cs="宋体"/>
          <w:sz w:val="28"/>
          <w:szCs w:val="28"/>
        </w:rPr>
      </w:pPr>
      <w:r>
        <w:rPr>
          <w:rFonts w:ascii="宋体" w:hAnsi="宋体" w:eastAsia="宋体" w:cs="宋体"/>
          <w:b/>
          <w:bCs/>
          <w:spacing w:val="-3"/>
          <w:sz w:val="28"/>
          <w:szCs w:val="28"/>
        </w:rPr>
        <w:t>3.3项目主要污染工序</w:t>
      </w:r>
    </w:p>
    <w:p w14:paraId="17F751D1">
      <w:pPr>
        <w:spacing w:before="176" w:line="355" w:lineRule="auto"/>
        <w:ind w:left="104" w:right="130" w:firstLine="470"/>
        <w:jc w:val="both"/>
        <w:rPr>
          <w:rFonts w:ascii="宋体" w:hAnsi="宋体" w:eastAsia="宋体" w:cs="宋体"/>
          <w:sz w:val="24"/>
          <w:szCs w:val="24"/>
        </w:rPr>
      </w:pPr>
      <w:r>
        <w:rPr>
          <w:rFonts w:ascii="宋体" w:hAnsi="宋体" w:eastAsia="宋体" w:cs="宋体"/>
          <w:spacing w:val="-3"/>
          <w:sz w:val="24"/>
          <w:szCs w:val="24"/>
        </w:rPr>
        <w:t>升压站内的工频电场、工频磁感应强度主要产生于配电装置的母线下以及电</w:t>
      </w:r>
      <w:r>
        <w:rPr>
          <w:rFonts w:ascii="宋体" w:hAnsi="宋体" w:eastAsia="宋体" w:cs="宋体"/>
          <w:spacing w:val="2"/>
          <w:sz w:val="24"/>
          <w:szCs w:val="24"/>
        </w:rPr>
        <w:t xml:space="preserve"> </w:t>
      </w:r>
      <w:r>
        <w:rPr>
          <w:rFonts w:ascii="宋体" w:hAnsi="宋体" w:eastAsia="宋体" w:cs="宋体"/>
          <w:spacing w:val="-3"/>
          <w:sz w:val="24"/>
          <w:szCs w:val="24"/>
        </w:rPr>
        <w:t>气设备附近。在交流升压站内各种带电电气设备包括变压器、高</w:t>
      </w:r>
      <w:r>
        <w:rPr>
          <w:rFonts w:ascii="宋体" w:hAnsi="宋体" w:eastAsia="宋体" w:cs="宋体"/>
          <w:spacing w:val="-4"/>
          <w:sz w:val="24"/>
          <w:szCs w:val="24"/>
        </w:rPr>
        <w:t>压电抗器、断路</w:t>
      </w:r>
      <w:r>
        <w:rPr>
          <w:rFonts w:ascii="宋体" w:hAnsi="宋体" w:eastAsia="宋体" w:cs="宋体"/>
          <w:sz w:val="24"/>
          <w:szCs w:val="24"/>
        </w:rPr>
        <w:t xml:space="preserve"> </w:t>
      </w:r>
      <w:r>
        <w:rPr>
          <w:rFonts w:ascii="宋体" w:hAnsi="宋体" w:eastAsia="宋体" w:cs="宋体"/>
          <w:spacing w:val="-3"/>
          <w:sz w:val="24"/>
          <w:szCs w:val="24"/>
        </w:rPr>
        <w:t>器、电流互感器、电压互感器等以及设备连接导线的周围空间形成了</w:t>
      </w:r>
      <w:r>
        <w:rPr>
          <w:rFonts w:ascii="宋体" w:hAnsi="宋体" w:eastAsia="宋体" w:cs="宋体"/>
          <w:spacing w:val="-4"/>
          <w:sz w:val="24"/>
          <w:szCs w:val="24"/>
        </w:rPr>
        <w:t>一个比较复</w:t>
      </w:r>
      <w:r>
        <w:rPr>
          <w:rFonts w:ascii="宋体" w:hAnsi="宋体" w:eastAsia="宋体" w:cs="宋体"/>
          <w:sz w:val="24"/>
          <w:szCs w:val="24"/>
        </w:rPr>
        <w:t xml:space="preserve"> </w:t>
      </w:r>
      <w:r>
        <w:rPr>
          <w:rFonts w:ascii="宋体" w:hAnsi="宋体" w:eastAsia="宋体" w:cs="宋体"/>
          <w:spacing w:val="-5"/>
          <w:sz w:val="24"/>
          <w:szCs w:val="24"/>
        </w:rPr>
        <w:t>杂的高电场，继而产生一定的电磁场，对周围环境产生一定的电磁影响。</w:t>
      </w:r>
    </w:p>
    <w:p w14:paraId="6BEFD03D">
      <w:pPr>
        <w:spacing w:before="140" w:line="218" w:lineRule="auto"/>
        <w:ind w:left="104"/>
        <w:rPr>
          <w:rFonts w:ascii="宋体" w:hAnsi="宋体" w:eastAsia="宋体" w:cs="宋体"/>
          <w:sz w:val="31"/>
          <w:szCs w:val="31"/>
        </w:rPr>
      </w:pPr>
      <w:r>
        <w:rPr>
          <w:rFonts w:ascii="宋体" w:hAnsi="宋体" w:eastAsia="宋体" w:cs="宋体"/>
          <w:spacing w:val="-20"/>
          <w:sz w:val="31"/>
          <w:szCs w:val="31"/>
        </w:rPr>
        <w:t>4.</w:t>
      </w:r>
      <w:r>
        <w:rPr>
          <w:rFonts w:ascii="宋体" w:hAnsi="宋体" w:eastAsia="宋体" w:cs="宋体"/>
          <w:b/>
          <w:bCs/>
          <w:spacing w:val="-20"/>
          <w:sz w:val="31"/>
          <w:szCs w:val="31"/>
        </w:rPr>
        <w:t>电磁环境现状评价</w:t>
      </w:r>
    </w:p>
    <w:p w14:paraId="4F8F8F6A">
      <w:pPr>
        <w:spacing w:before="216" w:line="355" w:lineRule="auto"/>
        <w:ind w:left="104" w:right="131" w:firstLine="470"/>
        <w:jc w:val="both"/>
        <w:rPr>
          <w:rFonts w:ascii="宋体" w:hAnsi="宋体" w:eastAsia="宋体" w:cs="宋体"/>
          <w:sz w:val="24"/>
          <w:szCs w:val="24"/>
        </w:rPr>
      </w:pPr>
      <w:r>
        <w:rPr>
          <w:rFonts w:ascii="宋体" w:hAnsi="宋体" w:eastAsia="宋体" w:cs="宋体"/>
          <w:spacing w:val="-3"/>
          <w:sz w:val="24"/>
          <w:szCs w:val="24"/>
        </w:rPr>
        <w:t>为了解升压站区域电磁环境质量现状，建设单位委托云南升环检测技术有限</w:t>
      </w:r>
      <w:r>
        <w:rPr>
          <w:rFonts w:ascii="宋体" w:hAnsi="宋体" w:eastAsia="宋体" w:cs="宋体"/>
          <w:spacing w:val="1"/>
          <w:sz w:val="24"/>
          <w:szCs w:val="24"/>
        </w:rPr>
        <w:t xml:space="preserve"> </w:t>
      </w:r>
      <w:r>
        <w:rPr>
          <w:rFonts w:ascii="宋体" w:hAnsi="宋体" w:eastAsia="宋体" w:cs="宋体"/>
          <w:spacing w:val="10"/>
          <w:sz w:val="24"/>
          <w:szCs w:val="24"/>
        </w:rPr>
        <w:t>公司于2024年7月16日对项目拟建220</w:t>
      </w:r>
      <w:r>
        <w:rPr>
          <w:rFonts w:ascii="Times New Roman" w:hAnsi="Times New Roman" w:eastAsia="Times New Roman" w:cs="Times New Roman"/>
          <w:sz w:val="24"/>
          <w:szCs w:val="24"/>
        </w:rPr>
        <w:t>kV</w:t>
      </w:r>
      <w:r>
        <w:rPr>
          <w:rFonts w:ascii="Times New Roman" w:hAnsi="Times New Roman" w:eastAsia="Times New Roman" w:cs="Times New Roman"/>
          <w:spacing w:val="6"/>
          <w:sz w:val="24"/>
          <w:szCs w:val="24"/>
        </w:rPr>
        <w:t xml:space="preserve"> </w:t>
      </w:r>
      <w:r>
        <w:rPr>
          <w:rFonts w:ascii="宋体" w:hAnsi="宋体" w:eastAsia="宋体" w:cs="宋体"/>
          <w:spacing w:val="10"/>
          <w:sz w:val="24"/>
          <w:szCs w:val="24"/>
        </w:rPr>
        <w:t>升压站电磁环境现状进行了监测(监</w:t>
      </w:r>
      <w:r>
        <w:rPr>
          <w:rFonts w:ascii="宋体" w:hAnsi="宋体" w:eastAsia="宋体" w:cs="宋体"/>
          <w:sz w:val="24"/>
          <w:szCs w:val="24"/>
        </w:rPr>
        <w:t xml:space="preserve"> </w:t>
      </w:r>
      <w:r>
        <w:rPr>
          <w:rFonts w:ascii="宋体" w:hAnsi="宋体" w:eastAsia="宋体" w:cs="宋体"/>
          <w:spacing w:val="13"/>
          <w:sz w:val="24"/>
          <w:szCs w:val="24"/>
        </w:rPr>
        <w:t>测结果见附件)。</w:t>
      </w:r>
    </w:p>
    <w:p w14:paraId="419C1A25">
      <w:pPr>
        <w:spacing w:before="16" w:line="219" w:lineRule="auto"/>
        <w:ind w:left="825"/>
        <w:rPr>
          <w:rFonts w:ascii="宋体" w:hAnsi="宋体" w:eastAsia="宋体" w:cs="宋体"/>
          <w:sz w:val="24"/>
          <w:szCs w:val="24"/>
        </w:rPr>
      </w:pPr>
      <w:r>
        <w:rPr>
          <w:rFonts w:ascii="宋体" w:hAnsi="宋体" w:eastAsia="宋体" w:cs="宋体"/>
          <w:spacing w:val="-17"/>
          <w:sz w:val="24"/>
          <w:szCs w:val="24"/>
        </w:rPr>
        <w:t>( 1</w:t>
      </w:r>
      <w:r>
        <w:rPr>
          <w:rFonts w:ascii="宋体" w:hAnsi="宋体" w:eastAsia="宋体" w:cs="宋体"/>
          <w:spacing w:val="-26"/>
          <w:sz w:val="24"/>
          <w:szCs w:val="24"/>
        </w:rPr>
        <w:t xml:space="preserve"> </w:t>
      </w:r>
      <w:r>
        <w:rPr>
          <w:rFonts w:ascii="宋体" w:hAnsi="宋体" w:eastAsia="宋体" w:cs="宋体"/>
          <w:spacing w:val="-17"/>
          <w:sz w:val="24"/>
          <w:szCs w:val="24"/>
        </w:rPr>
        <w:t>)</w:t>
      </w:r>
      <w:r>
        <w:rPr>
          <w:rFonts w:ascii="宋体" w:hAnsi="宋体" w:eastAsia="宋体" w:cs="宋体"/>
          <w:spacing w:val="-29"/>
          <w:sz w:val="24"/>
          <w:szCs w:val="24"/>
        </w:rPr>
        <w:t xml:space="preserve"> </w:t>
      </w:r>
      <w:r>
        <w:rPr>
          <w:rFonts w:ascii="宋体" w:hAnsi="宋体" w:eastAsia="宋体" w:cs="宋体"/>
          <w:spacing w:val="-17"/>
          <w:sz w:val="24"/>
          <w:szCs w:val="24"/>
        </w:rPr>
        <w:t>监</w:t>
      </w:r>
      <w:r>
        <w:rPr>
          <w:rFonts w:ascii="宋体" w:hAnsi="宋体" w:eastAsia="宋体" w:cs="宋体"/>
          <w:spacing w:val="-29"/>
          <w:sz w:val="24"/>
          <w:szCs w:val="24"/>
        </w:rPr>
        <w:t xml:space="preserve"> </w:t>
      </w:r>
      <w:r>
        <w:rPr>
          <w:rFonts w:ascii="宋体" w:hAnsi="宋体" w:eastAsia="宋体" w:cs="宋体"/>
          <w:spacing w:val="-17"/>
          <w:sz w:val="24"/>
          <w:szCs w:val="24"/>
        </w:rPr>
        <w:t>测</w:t>
      </w:r>
      <w:r>
        <w:rPr>
          <w:rFonts w:ascii="宋体" w:hAnsi="宋体" w:eastAsia="宋体" w:cs="宋体"/>
          <w:spacing w:val="-31"/>
          <w:sz w:val="24"/>
          <w:szCs w:val="24"/>
        </w:rPr>
        <w:t xml:space="preserve"> </w:t>
      </w:r>
      <w:r>
        <w:rPr>
          <w:rFonts w:ascii="宋体" w:hAnsi="宋体" w:eastAsia="宋体" w:cs="宋体"/>
          <w:spacing w:val="-17"/>
          <w:sz w:val="24"/>
          <w:szCs w:val="24"/>
        </w:rPr>
        <w:t>布 点</w:t>
      </w:r>
    </w:p>
    <w:p w14:paraId="3F40CC03">
      <w:pPr>
        <w:spacing w:before="185" w:line="219" w:lineRule="auto"/>
        <w:ind w:left="524"/>
        <w:rPr>
          <w:rFonts w:ascii="宋体" w:hAnsi="宋体" w:eastAsia="宋体" w:cs="宋体"/>
          <w:sz w:val="24"/>
          <w:szCs w:val="24"/>
        </w:rPr>
      </w:pPr>
      <w:r>
        <w:rPr>
          <w:rFonts w:ascii="宋体" w:hAnsi="宋体" w:eastAsia="宋体" w:cs="宋体"/>
          <w:spacing w:val="-17"/>
          <w:sz w:val="24"/>
          <w:szCs w:val="24"/>
        </w:rPr>
        <w:t>电磁环境监测点位布设1个，位于升压站中心。</w:t>
      </w:r>
    </w:p>
    <w:p w14:paraId="432A652D">
      <w:pPr>
        <w:spacing w:before="167" w:line="220" w:lineRule="auto"/>
        <w:ind w:left="664"/>
        <w:rPr>
          <w:rFonts w:ascii="宋体" w:hAnsi="宋体" w:eastAsia="宋体" w:cs="宋体"/>
          <w:sz w:val="24"/>
          <w:szCs w:val="24"/>
        </w:rPr>
      </w:pPr>
      <w:r>
        <w:rPr>
          <w:rFonts w:ascii="宋体" w:hAnsi="宋体" w:eastAsia="宋体" w:cs="宋体"/>
          <w:sz w:val="24"/>
          <w:szCs w:val="24"/>
        </w:rPr>
        <w:t>(2)监测因子</w:t>
      </w:r>
    </w:p>
    <w:p w14:paraId="77B00ABA">
      <w:pPr>
        <w:spacing w:before="194" w:line="220" w:lineRule="auto"/>
        <w:ind w:left="575"/>
        <w:rPr>
          <w:rFonts w:ascii="宋体" w:hAnsi="宋体" w:eastAsia="宋体" w:cs="宋体"/>
          <w:sz w:val="24"/>
          <w:szCs w:val="24"/>
        </w:rPr>
      </w:pPr>
      <w:r>
        <w:rPr>
          <w:rFonts w:ascii="宋体" w:hAnsi="宋体" w:eastAsia="宋体" w:cs="宋体"/>
          <w:spacing w:val="-1"/>
          <w:sz w:val="24"/>
          <w:szCs w:val="24"/>
        </w:rPr>
        <w:t>工频电场强度、工频磁场强度</w:t>
      </w:r>
    </w:p>
    <w:p w14:paraId="016BE1B6">
      <w:pPr>
        <w:spacing w:before="165" w:line="221" w:lineRule="auto"/>
        <w:ind w:left="825"/>
        <w:rPr>
          <w:rFonts w:ascii="宋体" w:hAnsi="宋体" w:eastAsia="宋体" w:cs="宋体"/>
          <w:sz w:val="24"/>
          <w:szCs w:val="24"/>
        </w:rPr>
      </w:pPr>
      <w:r>
        <w:rPr>
          <w:rFonts w:ascii="宋体" w:hAnsi="宋体" w:eastAsia="宋体" w:cs="宋体"/>
          <w:spacing w:val="-16"/>
          <w:sz w:val="24"/>
          <w:szCs w:val="24"/>
        </w:rPr>
        <w:t>(</w:t>
      </w:r>
      <w:r>
        <w:rPr>
          <w:rFonts w:ascii="宋体" w:hAnsi="宋体" w:eastAsia="宋体" w:cs="宋体"/>
          <w:spacing w:val="-17"/>
          <w:sz w:val="24"/>
          <w:szCs w:val="24"/>
        </w:rPr>
        <w:t xml:space="preserve"> </w:t>
      </w:r>
      <w:r>
        <w:rPr>
          <w:rFonts w:ascii="宋体" w:hAnsi="宋体" w:eastAsia="宋体" w:cs="宋体"/>
          <w:spacing w:val="-16"/>
          <w:sz w:val="24"/>
          <w:szCs w:val="24"/>
        </w:rPr>
        <w:t>3</w:t>
      </w:r>
      <w:r>
        <w:rPr>
          <w:rFonts w:ascii="宋体" w:hAnsi="宋体" w:eastAsia="宋体" w:cs="宋体"/>
          <w:spacing w:val="-25"/>
          <w:sz w:val="24"/>
          <w:szCs w:val="24"/>
        </w:rPr>
        <w:t xml:space="preserve"> </w:t>
      </w:r>
      <w:r>
        <w:rPr>
          <w:rFonts w:ascii="宋体" w:hAnsi="宋体" w:eastAsia="宋体" w:cs="宋体"/>
          <w:spacing w:val="-16"/>
          <w:sz w:val="24"/>
          <w:szCs w:val="24"/>
        </w:rPr>
        <w:t>)</w:t>
      </w:r>
      <w:r>
        <w:rPr>
          <w:rFonts w:ascii="宋体" w:hAnsi="宋体" w:eastAsia="宋体" w:cs="宋体"/>
          <w:spacing w:val="-25"/>
          <w:sz w:val="24"/>
          <w:szCs w:val="24"/>
        </w:rPr>
        <w:t xml:space="preserve"> </w:t>
      </w:r>
      <w:r>
        <w:rPr>
          <w:rFonts w:ascii="宋体" w:hAnsi="宋体" w:eastAsia="宋体" w:cs="宋体"/>
          <w:spacing w:val="-16"/>
          <w:sz w:val="24"/>
          <w:szCs w:val="24"/>
        </w:rPr>
        <w:t>监</w:t>
      </w:r>
      <w:r>
        <w:rPr>
          <w:rFonts w:ascii="宋体" w:hAnsi="宋体" w:eastAsia="宋体" w:cs="宋体"/>
          <w:spacing w:val="-24"/>
          <w:sz w:val="24"/>
          <w:szCs w:val="24"/>
        </w:rPr>
        <w:t xml:space="preserve"> </w:t>
      </w:r>
      <w:r>
        <w:rPr>
          <w:rFonts w:ascii="宋体" w:hAnsi="宋体" w:eastAsia="宋体" w:cs="宋体"/>
          <w:spacing w:val="-16"/>
          <w:sz w:val="24"/>
          <w:szCs w:val="24"/>
        </w:rPr>
        <w:t>测</w:t>
      </w:r>
      <w:r>
        <w:rPr>
          <w:rFonts w:ascii="宋体" w:hAnsi="宋体" w:eastAsia="宋体" w:cs="宋体"/>
          <w:spacing w:val="-25"/>
          <w:sz w:val="24"/>
          <w:szCs w:val="24"/>
        </w:rPr>
        <w:t xml:space="preserve"> </w:t>
      </w:r>
      <w:r>
        <w:rPr>
          <w:rFonts w:ascii="宋体" w:hAnsi="宋体" w:eastAsia="宋体" w:cs="宋体"/>
          <w:spacing w:val="-16"/>
          <w:sz w:val="24"/>
          <w:szCs w:val="24"/>
        </w:rPr>
        <w:t>方</w:t>
      </w:r>
      <w:r>
        <w:rPr>
          <w:rFonts w:ascii="宋体" w:hAnsi="宋体" w:eastAsia="宋体" w:cs="宋体"/>
          <w:spacing w:val="-25"/>
          <w:sz w:val="24"/>
          <w:szCs w:val="24"/>
        </w:rPr>
        <w:t xml:space="preserve"> </w:t>
      </w:r>
      <w:r>
        <w:rPr>
          <w:rFonts w:ascii="宋体" w:hAnsi="宋体" w:eastAsia="宋体" w:cs="宋体"/>
          <w:spacing w:val="-16"/>
          <w:sz w:val="24"/>
          <w:szCs w:val="24"/>
        </w:rPr>
        <w:t>法</w:t>
      </w:r>
    </w:p>
    <w:p w14:paraId="0A769F8E">
      <w:pPr>
        <w:spacing w:line="221" w:lineRule="auto"/>
        <w:rPr>
          <w:rFonts w:ascii="宋体" w:hAnsi="宋体" w:eastAsia="宋体" w:cs="宋体"/>
          <w:sz w:val="24"/>
          <w:szCs w:val="24"/>
        </w:rPr>
        <w:sectPr>
          <w:footerReference r:id="rId144" w:type="default"/>
          <w:pgSz w:w="11910" w:h="16830"/>
          <w:pgMar w:top="1425" w:right="1705" w:bottom="1033" w:left="1675" w:header="0" w:footer="873" w:gutter="0"/>
          <w:cols w:space="720" w:num="1"/>
        </w:sectPr>
      </w:pPr>
    </w:p>
    <w:p w14:paraId="18B129B8">
      <w:pPr>
        <w:spacing w:before="51" w:line="212" w:lineRule="auto"/>
        <w:ind w:left="490"/>
        <w:rPr>
          <w:rFonts w:ascii="宋体" w:hAnsi="宋体" w:eastAsia="宋体" w:cs="宋体"/>
          <w:sz w:val="24"/>
          <w:szCs w:val="24"/>
        </w:rPr>
      </w:pPr>
      <w:r>
        <w:rPr>
          <w:rFonts w:ascii="宋体" w:hAnsi="宋体" w:eastAsia="宋体" w:cs="宋体"/>
          <w:spacing w:val="3"/>
          <w:sz w:val="24"/>
          <w:szCs w:val="24"/>
        </w:rPr>
        <w:t>《交流输变电工程电磁环境监测方法(试行)》</w:t>
      </w:r>
      <w:r>
        <w:rPr>
          <w:rFonts w:ascii="宋体" w:hAnsi="宋体" w:eastAsia="宋体" w:cs="宋体"/>
          <w:spacing w:val="70"/>
          <w:sz w:val="24"/>
          <w:szCs w:val="24"/>
        </w:rPr>
        <w:t xml:space="preserve"> </w:t>
      </w:r>
      <w:r>
        <w:rPr>
          <w:rFonts w:ascii="宋体" w:hAnsi="宋体" w:eastAsia="宋体" w:cs="宋体"/>
          <w:spacing w:val="3"/>
          <w:sz w:val="24"/>
          <w:szCs w:val="24"/>
        </w:rPr>
        <w:t>(</w:t>
      </w:r>
      <w:r>
        <w:rPr>
          <w:rFonts w:ascii="宋体" w:hAnsi="宋体" w:eastAsia="宋体" w:cs="宋体"/>
          <w:spacing w:val="-69"/>
          <w:sz w:val="24"/>
          <w:szCs w:val="24"/>
        </w:rPr>
        <w:t xml:space="preserve"> </w:t>
      </w:r>
      <w:r>
        <w:rPr>
          <w:rFonts w:ascii="Times New Roman" w:hAnsi="Times New Roman" w:eastAsia="Times New Roman" w:cs="Times New Roman"/>
          <w:sz w:val="24"/>
          <w:szCs w:val="24"/>
        </w:rPr>
        <w:t>HJ</w:t>
      </w:r>
      <w:r>
        <w:rPr>
          <w:rFonts w:ascii="Times New Roman" w:hAnsi="Times New Roman" w:eastAsia="Times New Roman" w:cs="Times New Roman"/>
          <w:spacing w:val="3"/>
          <w:sz w:val="24"/>
          <w:szCs w:val="24"/>
        </w:rPr>
        <w:t>681-201</w:t>
      </w:r>
      <w:r>
        <w:rPr>
          <w:rFonts w:ascii="Times New Roman" w:hAnsi="Times New Roman" w:eastAsia="Times New Roman" w:cs="Times New Roman"/>
          <w:spacing w:val="2"/>
          <w:sz w:val="24"/>
          <w:szCs w:val="24"/>
        </w:rPr>
        <w:t>3)</w:t>
      </w:r>
      <w:r>
        <w:rPr>
          <w:rFonts w:ascii="宋体" w:hAnsi="宋体" w:eastAsia="宋体" w:cs="宋体"/>
          <w:spacing w:val="2"/>
          <w:sz w:val="24"/>
          <w:szCs w:val="24"/>
        </w:rPr>
        <w:t>。</w:t>
      </w:r>
    </w:p>
    <w:p w14:paraId="6D5A67E7">
      <w:pPr>
        <w:spacing w:before="231" w:line="219" w:lineRule="auto"/>
        <w:ind w:left="610"/>
        <w:rPr>
          <w:rFonts w:ascii="宋体" w:hAnsi="宋体" w:eastAsia="宋体" w:cs="宋体"/>
          <w:sz w:val="24"/>
          <w:szCs w:val="24"/>
        </w:rPr>
      </w:pPr>
      <w:r>
        <w:rPr>
          <w:rFonts w:ascii="宋体" w:hAnsi="宋体" w:eastAsia="宋体" w:cs="宋体"/>
          <w:spacing w:val="10"/>
          <w:sz w:val="24"/>
          <w:szCs w:val="24"/>
        </w:rPr>
        <w:t>(4)监测时间及频率</w:t>
      </w:r>
    </w:p>
    <w:p w14:paraId="465AB946">
      <w:pPr>
        <w:spacing w:before="175" w:line="219" w:lineRule="auto"/>
        <w:ind w:left="480"/>
        <w:rPr>
          <w:rFonts w:ascii="宋体" w:hAnsi="宋体" w:eastAsia="宋体" w:cs="宋体"/>
          <w:sz w:val="24"/>
          <w:szCs w:val="24"/>
        </w:rPr>
      </w:pPr>
      <w:r>
        <w:rPr>
          <w:rFonts w:ascii="宋体" w:hAnsi="宋体" w:eastAsia="宋体" w:cs="宋体"/>
          <w:spacing w:val="14"/>
          <w:sz w:val="24"/>
          <w:szCs w:val="24"/>
        </w:rPr>
        <w:t>监测频率：监测1天，1天监测1次。</w:t>
      </w:r>
    </w:p>
    <w:p w14:paraId="295604EB">
      <w:pPr>
        <w:spacing w:before="185" w:line="220" w:lineRule="auto"/>
        <w:ind w:left="610"/>
        <w:rPr>
          <w:rFonts w:ascii="宋体" w:hAnsi="宋体" w:eastAsia="宋体" w:cs="宋体"/>
          <w:sz w:val="24"/>
          <w:szCs w:val="24"/>
        </w:rPr>
      </w:pPr>
      <w:r>
        <w:rPr>
          <w:rFonts w:ascii="宋体" w:hAnsi="宋体" w:eastAsia="宋体" w:cs="宋体"/>
          <w:spacing w:val="17"/>
          <w:sz w:val="24"/>
          <w:szCs w:val="24"/>
        </w:rPr>
        <w:t>(5)监测单位</w:t>
      </w:r>
    </w:p>
    <w:p w14:paraId="50F70DF6">
      <w:pPr>
        <w:spacing w:before="169" w:line="363" w:lineRule="auto"/>
        <w:ind w:right="80" w:firstLine="480"/>
        <w:rPr>
          <w:rFonts w:ascii="宋体" w:hAnsi="宋体" w:eastAsia="宋体" w:cs="宋体"/>
          <w:sz w:val="24"/>
          <w:szCs w:val="24"/>
        </w:rPr>
      </w:pPr>
      <w:r>
        <w:rPr>
          <w:rFonts w:ascii="宋体" w:hAnsi="宋体" w:eastAsia="宋体" w:cs="宋体"/>
          <w:spacing w:val="7"/>
          <w:sz w:val="24"/>
          <w:szCs w:val="24"/>
        </w:rPr>
        <w:t>云南升环检测技术有限公司(资质认定证书编号：242</w:t>
      </w:r>
      <w:r>
        <w:rPr>
          <w:rFonts w:ascii="宋体" w:hAnsi="宋体" w:eastAsia="宋体" w:cs="宋体"/>
          <w:spacing w:val="6"/>
          <w:sz w:val="24"/>
          <w:szCs w:val="24"/>
        </w:rPr>
        <w:t>512050011),资质证</w:t>
      </w:r>
      <w:r>
        <w:rPr>
          <w:rFonts w:ascii="宋体" w:hAnsi="宋体" w:eastAsia="宋体" w:cs="宋体"/>
          <w:sz w:val="24"/>
          <w:szCs w:val="24"/>
        </w:rPr>
        <w:t xml:space="preserve"> 书详见附件12。</w:t>
      </w:r>
    </w:p>
    <w:p w14:paraId="186C82AD">
      <w:pPr>
        <w:spacing w:before="1" w:line="219" w:lineRule="auto"/>
        <w:ind w:left="610"/>
        <w:rPr>
          <w:rFonts w:ascii="宋体" w:hAnsi="宋体" w:eastAsia="宋体" w:cs="宋体"/>
          <w:sz w:val="24"/>
          <w:szCs w:val="24"/>
        </w:rPr>
      </w:pPr>
      <w:r>
        <w:rPr>
          <w:rFonts w:ascii="宋体" w:hAnsi="宋体" w:eastAsia="宋体" w:cs="宋体"/>
          <w:spacing w:val="9"/>
          <w:sz w:val="24"/>
          <w:szCs w:val="24"/>
        </w:rPr>
        <w:t>(6)监测仪器及检出限</w:t>
      </w:r>
    </w:p>
    <w:p w14:paraId="07AF9310">
      <w:pPr>
        <w:spacing w:before="215" w:line="219" w:lineRule="auto"/>
        <w:ind w:left="480"/>
        <w:rPr>
          <w:rFonts w:ascii="宋体" w:hAnsi="宋体" w:eastAsia="宋体" w:cs="宋体"/>
          <w:sz w:val="24"/>
          <w:szCs w:val="24"/>
        </w:rPr>
      </w:pPr>
      <w:r>
        <w:rPr>
          <w:rFonts w:ascii="宋体" w:hAnsi="宋体" w:eastAsia="宋体" w:cs="宋体"/>
          <w:spacing w:val="-10"/>
          <w:sz w:val="24"/>
          <w:szCs w:val="24"/>
        </w:rPr>
        <w:t>工频电场强度检出限：1.0</w:t>
      </w:r>
      <w:r>
        <w:rPr>
          <w:rFonts w:ascii="Times New Roman" w:hAnsi="Times New Roman" w:eastAsia="Times New Roman" w:cs="Times New Roman"/>
          <w:spacing w:val="-10"/>
          <w:sz w:val="24"/>
          <w:szCs w:val="24"/>
        </w:rPr>
        <w:t>V/m</w:t>
      </w:r>
      <w:r>
        <w:rPr>
          <w:rFonts w:ascii="宋体" w:hAnsi="宋体" w:eastAsia="宋体" w:cs="宋体"/>
          <w:spacing w:val="-10"/>
          <w:sz w:val="24"/>
          <w:szCs w:val="24"/>
        </w:rPr>
        <w:t>。工频磁感</w:t>
      </w:r>
      <w:r>
        <w:rPr>
          <w:rFonts w:ascii="宋体" w:hAnsi="宋体" w:eastAsia="宋体" w:cs="宋体"/>
          <w:spacing w:val="-11"/>
          <w:sz w:val="24"/>
          <w:szCs w:val="24"/>
        </w:rPr>
        <w:t>应强度：0.01</w:t>
      </w:r>
      <w:r>
        <w:rPr>
          <w:rFonts w:ascii="宋体" w:hAnsi="宋体" w:eastAsia="宋体" w:cs="宋体"/>
          <w:spacing w:val="-55"/>
          <w:sz w:val="24"/>
          <w:szCs w:val="24"/>
        </w:rPr>
        <w:t xml:space="preserve"> </w:t>
      </w:r>
      <w:r>
        <w:rPr>
          <w:rFonts w:ascii="宋体" w:hAnsi="宋体" w:eastAsia="宋体" w:cs="宋体"/>
          <w:spacing w:val="-11"/>
          <w:sz w:val="24"/>
          <w:szCs w:val="24"/>
        </w:rPr>
        <w:t>μ</w:t>
      </w:r>
      <w:r>
        <w:rPr>
          <w:rFonts w:ascii="Times New Roman" w:hAnsi="Times New Roman" w:eastAsia="Times New Roman" w:cs="Times New Roman"/>
          <w:spacing w:val="-11"/>
          <w:sz w:val="24"/>
          <w:szCs w:val="24"/>
        </w:rPr>
        <w:t>T</w:t>
      </w:r>
      <w:r>
        <w:rPr>
          <w:rFonts w:ascii="宋体" w:hAnsi="宋体" w:eastAsia="宋体" w:cs="宋体"/>
          <w:spacing w:val="-11"/>
          <w:sz w:val="24"/>
          <w:szCs w:val="24"/>
        </w:rPr>
        <w:t>。</w:t>
      </w:r>
    </w:p>
    <w:p w14:paraId="7E11AE96">
      <w:pPr>
        <w:spacing w:before="146" w:line="220" w:lineRule="auto"/>
        <w:ind w:left="610"/>
        <w:rPr>
          <w:rFonts w:ascii="宋体" w:hAnsi="宋体" w:eastAsia="宋体" w:cs="宋体"/>
          <w:sz w:val="24"/>
          <w:szCs w:val="24"/>
        </w:rPr>
      </w:pPr>
      <w:r>
        <w:rPr>
          <w:rFonts w:ascii="宋体" w:hAnsi="宋体" w:eastAsia="宋体" w:cs="宋体"/>
          <w:spacing w:val="13"/>
          <w:sz w:val="24"/>
          <w:szCs w:val="24"/>
        </w:rPr>
        <w:t>(7)质量保证措施</w:t>
      </w:r>
    </w:p>
    <w:p w14:paraId="34CA9BD6">
      <w:pPr>
        <w:spacing w:before="193" w:line="309" w:lineRule="auto"/>
        <w:ind w:right="77" w:firstLine="480"/>
        <w:rPr>
          <w:rFonts w:ascii="宋体" w:hAnsi="宋体" w:eastAsia="宋体" w:cs="宋体"/>
          <w:sz w:val="24"/>
          <w:szCs w:val="24"/>
        </w:rPr>
      </w:pPr>
      <w:r>
        <w:rPr>
          <w:rFonts w:ascii="宋体" w:hAnsi="宋体" w:eastAsia="宋体" w:cs="宋体"/>
          <w:spacing w:val="2"/>
          <w:sz w:val="24"/>
          <w:szCs w:val="24"/>
        </w:rPr>
        <w:t>1)根据监测目的和地点，自定监测方案及实施计划，科学规划监测路线，</w:t>
      </w:r>
      <w:r>
        <w:rPr>
          <w:rFonts w:ascii="宋体" w:hAnsi="宋体" w:eastAsia="宋体" w:cs="宋体"/>
          <w:spacing w:val="13"/>
          <w:sz w:val="24"/>
          <w:szCs w:val="24"/>
        </w:rPr>
        <w:t xml:space="preserve"> </w:t>
      </w:r>
      <w:r>
        <w:rPr>
          <w:rFonts w:ascii="宋体" w:hAnsi="宋体" w:eastAsia="宋体" w:cs="宋体"/>
          <w:spacing w:val="-3"/>
          <w:sz w:val="24"/>
          <w:szCs w:val="24"/>
        </w:rPr>
        <w:t>合理安排人员。监测开始前，参与人员需清楚理解监测计划，监测过程中严格按</w:t>
      </w:r>
      <w:r>
        <w:rPr>
          <w:rFonts w:ascii="宋体" w:hAnsi="宋体" w:eastAsia="宋体" w:cs="宋体"/>
          <w:spacing w:val="7"/>
          <w:sz w:val="24"/>
          <w:szCs w:val="24"/>
        </w:rPr>
        <w:t xml:space="preserve"> </w:t>
      </w:r>
      <w:r>
        <w:rPr>
          <w:rFonts w:ascii="宋体" w:hAnsi="宋体" w:eastAsia="宋体" w:cs="宋体"/>
          <w:spacing w:val="-1"/>
          <w:sz w:val="24"/>
          <w:szCs w:val="24"/>
        </w:rPr>
        <w:t>照监测方案进行，如遇突发情况及时反馈处理，不可随意处</w:t>
      </w:r>
      <w:r>
        <w:rPr>
          <w:rFonts w:ascii="宋体" w:hAnsi="宋体" w:eastAsia="宋体" w:cs="宋体"/>
          <w:spacing w:val="-2"/>
          <w:sz w:val="24"/>
          <w:szCs w:val="24"/>
        </w:rPr>
        <w:t>置；</w:t>
      </w:r>
    </w:p>
    <w:p w14:paraId="5E01B336">
      <w:pPr>
        <w:spacing w:before="185" w:line="219" w:lineRule="auto"/>
        <w:ind w:left="480"/>
        <w:rPr>
          <w:rFonts w:ascii="宋体" w:hAnsi="宋体" w:eastAsia="宋体" w:cs="宋体"/>
          <w:sz w:val="24"/>
          <w:szCs w:val="24"/>
        </w:rPr>
      </w:pPr>
      <w:r>
        <w:rPr>
          <w:rFonts w:ascii="宋体" w:hAnsi="宋体" w:eastAsia="宋体" w:cs="宋体"/>
          <w:spacing w:val="7"/>
          <w:sz w:val="24"/>
          <w:szCs w:val="24"/>
        </w:rPr>
        <w:t>2)监测仪器和装置必须进行定期校准</w:t>
      </w:r>
    </w:p>
    <w:p w14:paraId="589C031C">
      <w:pPr>
        <w:spacing w:before="173" w:line="366" w:lineRule="auto"/>
        <w:ind w:right="81" w:firstLine="480"/>
        <w:rPr>
          <w:rFonts w:ascii="宋体" w:hAnsi="宋体" w:eastAsia="宋体" w:cs="宋体"/>
          <w:sz w:val="24"/>
          <w:szCs w:val="24"/>
        </w:rPr>
      </w:pPr>
      <w:r>
        <w:rPr>
          <w:rFonts w:ascii="宋体" w:hAnsi="宋体" w:eastAsia="宋体" w:cs="宋体"/>
          <w:spacing w:val="-3"/>
          <w:sz w:val="24"/>
          <w:szCs w:val="24"/>
        </w:rPr>
        <w:t>监测所使用监测设备必须经过校准或检定，监测时间内均在有效期</w:t>
      </w:r>
      <w:r>
        <w:rPr>
          <w:rFonts w:ascii="宋体" w:hAnsi="宋体" w:eastAsia="宋体" w:cs="宋体"/>
          <w:spacing w:val="-4"/>
          <w:sz w:val="24"/>
          <w:szCs w:val="24"/>
        </w:rPr>
        <w:t>内，提供</w:t>
      </w:r>
      <w:r>
        <w:rPr>
          <w:rFonts w:ascii="宋体" w:hAnsi="宋体" w:eastAsia="宋体" w:cs="宋体"/>
          <w:sz w:val="24"/>
          <w:szCs w:val="24"/>
        </w:rPr>
        <w:t xml:space="preserve"> </w:t>
      </w:r>
      <w:r>
        <w:rPr>
          <w:rFonts w:ascii="宋体" w:hAnsi="宋体" w:eastAsia="宋体" w:cs="宋体"/>
          <w:spacing w:val="-3"/>
          <w:sz w:val="24"/>
          <w:szCs w:val="24"/>
        </w:rPr>
        <w:t>检定或校准证书。</w:t>
      </w:r>
    </w:p>
    <w:p w14:paraId="0D5CD98D">
      <w:pPr>
        <w:spacing w:before="1" w:line="219" w:lineRule="auto"/>
        <w:ind w:left="480"/>
        <w:rPr>
          <w:rFonts w:ascii="宋体" w:hAnsi="宋体" w:eastAsia="宋体" w:cs="宋体"/>
          <w:sz w:val="24"/>
          <w:szCs w:val="24"/>
        </w:rPr>
      </w:pPr>
      <w:r>
        <w:rPr>
          <w:rFonts w:ascii="宋体" w:hAnsi="宋体" w:eastAsia="宋体" w:cs="宋体"/>
          <w:spacing w:val="4"/>
          <w:sz w:val="24"/>
          <w:szCs w:val="24"/>
        </w:rPr>
        <w:t>3)监测中异常数据的取舍以及监测结果的数据</w:t>
      </w:r>
      <w:r>
        <w:rPr>
          <w:rFonts w:ascii="宋体" w:hAnsi="宋体" w:eastAsia="宋体" w:cs="宋体"/>
          <w:spacing w:val="3"/>
          <w:sz w:val="24"/>
          <w:szCs w:val="24"/>
        </w:rPr>
        <w:t>处理应按统计学原则办理</w:t>
      </w:r>
    </w:p>
    <w:p w14:paraId="58517BA0">
      <w:pPr>
        <w:spacing w:before="184" w:line="354" w:lineRule="auto"/>
        <w:ind w:right="79" w:firstLine="480"/>
        <w:rPr>
          <w:rFonts w:ascii="宋体" w:hAnsi="宋体" w:eastAsia="宋体" w:cs="宋体"/>
          <w:sz w:val="24"/>
          <w:szCs w:val="24"/>
        </w:rPr>
      </w:pPr>
      <w:r>
        <w:rPr>
          <w:rFonts w:ascii="宋体" w:hAnsi="宋体" w:eastAsia="宋体" w:cs="宋体"/>
          <w:spacing w:val="-3"/>
          <w:sz w:val="24"/>
          <w:szCs w:val="24"/>
        </w:rPr>
        <w:t>监测人员经过培训，并取得上岗证，对监测数据中异常数据有识别能力</w:t>
      </w:r>
      <w:r>
        <w:rPr>
          <w:rFonts w:ascii="宋体" w:hAnsi="宋体" w:eastAsia="宋体" w:cs="宋体"/>
          <w:spacing w:val="-4"/>
          <w:sz w:val="24"/>
          <w:szCs w:val="24"/>
        </w:rPr>
        <w:t>，并</w:t>
      </w:r>
      <w:r>
        <w:rPr>
          <w:rFonts w:ascii="宋体" w:hAnsi="宋体" w:eastAsia="宋体" w:cs="宋体"/>
          <w:sz w:val="24"/>
          <w:szCs w:val="24"/>
        </w:rPr>
        <w:t xml:space="preserve"> </w:t>
      </w:r>
      <w:r>
        <w:rPr>
          <w:rFonts w:ascii="宋体" w:hAnsi="宋体" w:eastAsia="宋体" w:cs="宋体"/>
          <w:spacing w:val="-1"/>
          <w:sz w:val="24"/>
          <w:szCs w:val="24"/>
        </w:rPr>
        <w:t>按照统计学原则进行处理</w:t>
      </w:r>
    </w:p>
    <w:p w14:paraId="2465E33C">
      <w:pPr>
        <w:spacing w:before="1" w:line="219" w:lineRule="auto"/>
        <w:ind w:left="480"/>
        <w:rPr>
          <w:rFonts w:ascii="宋体" w:hAnsi="宋体" w:eastAsia="宋体" w:cs="宋体"/>
          <w:sz w:val="24"/>
          <w:szCs w:val="24"/>
        </w:rPr>
      </w:pPr>
      <w:r>
        <w:rPr>
          <w:rFonts w:ascii="宋体" w:hAnsi="宋体" w:eastAsia="宋体" w:cs="宋体"/>
          <w:spacing w:val="7"/>
          <w:sz w:val="24"/>
          <w:szCs w:val="24"/>
        </w:rPr>
        <w:t>4)电磁辐射监测应建立完整的文件资料</w:t>
      </w:r>
    </w:p>
    <w:p w14:paraId="73F458EB">
      <w:pPr>
        <w:spacing w:before="193" w:line="219" w:lineRule="auto"/>
        <w:jc w:val="right"/>
        <w:rPr>
          <w:rFonts w:ascii="宋体" w:hAnsi="宋体" w:eastAsia="宋体" w:cs="宋体"/>
          <w:sz w:val="24"/>
          <w:szCs w:val="24"/>
        </w:rPr>
      </w:pPr>
      <w:r>
        <w:rPr>
          <w:rFonts w:ascii="宋体" w:hAnsi="宋体" w:eastAsia="宋体" w:cs="宋体"/>
          <w:spacing w:val="-1"/>
          <w:sz w:val="24"/>
          <w:szCs w:val="24"/>
        </w:rPr>
        <w:t>根据建立的质量管理体系要求，按照规定提供符合要求且完整的存档资料。</w:t>
      </w:r>
    </w:p>
    <w:p w14:paraId="27A98E34">
      <w:pPr>
        <w:spacing w:before="177" w:line="219" w:lineRule="auto"/>
        <w:ind w:left="480"/>
        <w:rPr>
          <w:rFonts w:ascii="宋体" w:hAnsi="宋体" w:eastAsia="宋体" w:cs="宋体"/>
          <w:sz w:val="24"/>
          <w:szCs w:val="24"/>
        </w:rPr>
      </w:pPr>
      <w:r>
        <w:rPr>
          <w:rFonts w:ascii="宋体" w:hAnsi="宋体" w:eastAsia="宋体" w:cs="宋体"/>
          <w:spacing w:val="7"/>
          <w:sz w:val="24"/>
          <w:szCs w:val="24"/>
        </w:rPr>
        <w:t>5)任何存档或上报的监测结果必须经过复审</w:t>
      </w:r>
    </w:p>
    <w:p w14:paraId="400DEA89">
      <w:pPr>
        <w:spacing w:before="174" w:line="358" w:lineRule="auto"/>
        <w:ind w:right="78" w:firstLine="480"/>
        <w:rPr>
          <w:rFonts w:ascii="宋体" w:hAnsi="宋体" w:eastAsia="宋体" w:cs="宋体"/>
          <w:sz w:val="24"/>
          <w:szCs w:val="24"/>
        </w:rPr>
      </w:pPr>
      <w:r>
        <w:rPr>
          <w:rFonts w:ascii="宋体" w:hAnsi="宋体" w:eastAsia="宋体" w:cs="宋体"/>
          <w:spacing w:val="-3"/>
          <w:sz w:val="24"/>
          <w:szCs w:val="24"/>
        </w:rPr>
        <w:t>监测报告经过三级审核后方可签发，对外发放监测结果，确保数据的真实有</w:t>
      </w:r>
      <w:r>
        <w:rPr>
          <w:rFonts w:ascii="宋体" w:hAnsi="宋体" w:eastAsia="宋体" w:cs="宋体"/>
          <w:sz w:val="24"/>
          <w:szCs w:val="24"/>
        </w:rPr>
        <w:t xml:space="preserve"> </w:t>
      </w:r>
      <w:r>
        <w:rPr>
          <w:rFonts w:ascii="宋体" w:hAnsi="宋体" w:eastAsia="宋体" w:cs="宋体"/>
          <w:spacing w:val="-5"/>
          <w:sz w:val="24"/>
          <w:szCs w:val="24"/>
        </w:rPr>
        <w:t>效。</w:t>
      </w:r>
    </w:p>
    <w:p w14:paraId="09252FA7">
      <w:pPr>
        <w:spacing w:before="11" w:line="220" w:lineRule="auto"/>
        <w:ind w:left="610"/>
        <w:rPr>
          <w:rFonts w:ascii="宋体" w:hAnsi="宋体" w:eastAsia="宋体" w:cs="宋体"/>
          <w:sz w:val="24"/>
          <w:szCs w:val="24"/>
        </w:rPr>
      </w:pPr>
      <w:r>
        <w:rPr>
          <w:rFonts w:ascii="宋体" w:hAnsi="宋体" w:eastAsia="宋体" w:cs="宋体"/>
          <w:spacing w:val="14"/>
          <w:sz w:val="24"/>
          <w:szCs w:val="24"/>
        </w:rPr>
        <w:t>(8)监测结果</w:t>
      </w:r>
    </w:p>
    <w:p w14:paraId="51C7C30F">
      <w:pPr>
        <w:spacing w:before="174" w:line="219" w:lineRule="auto"/>
        <w:ind w:left="480"/>
        <w:rPr>
          <w:rFonts w:ascii="宋体" w:hAnsi="宋体" w:eastAsia="宋体" w:cs="宋体"/>
          <w:sz w:val="24"/>
          <w:szCs w:val="24"/>
        </w:rPr>
      </w:pPr>
      <w:r>
        <w:rPr>
          <w:rFonts w:ascii="宋体" w:hAnsi="宋体" w:eastAsia="宋体" w:cs="宋体"/>
          <w:spacing w:val="-3"/>
          <w:sz w:val="24"/>
          <w:szCs w:val="24"/>
        </w:rPr>
        <w:t>电磁环境质量现状监测结果见下表。</w:t>
      </w:r>
    </w:p>
    <w:p w14:paraId="25E0EF8D">
      <w:pPr>
        <w:spacing w:before="201" w:line="207" w:lineRule="auto"/>
        <w:ind w:left="1683"/>
        <w:rPr>
          <w:rFonts w:ascii="宋体" w:hAnsi="宋体" w:eastAsia="宋体" w:cs="宋体"/>
          <w:sz w:val="24"/>
          <w:szCs w:val="24"/>
        </w:rPr>
      </w:pPr>
      <w:r>
        <w:rPr>
          <w:rFonts w:ascii="宋体" w:hAnsi="宋体" w:eastAsia="宋体" w:cs="宋体"/>
          <w:b/>
          <w:bCs/>
          <w:spacing w:val="-3"/>
          <w:sz w:val="24"/>
          <w:szCs w:val="24"/>
        </w:rPr>
        <w:t>表4.1-1</w:t>
      </w:r>
      <w:r>
        <w:rPr>
          <w:rFonts w:ascii="宋体" w:hAnsi="宋体" w:eastAsia="宋体" w:cs="宋体"/>
          <w:spacing w:val="-3"/>
          <w:sz w:val="24"/>
          <w:szCs w:val="24"/>
        </w:rPr>
        <w:t xml:space="preserve">  </w:t>
      </w:r>
      <w:r>
        <w:rPr>
          <w:rFonts w:ascii="宋体" w:hAnsi="宋体" w:eastAsia="宋体" w:cs="宋体"/>
          <w:b/>
          <w:bCs/>
          <w:spacing w:val="-3"/>
          <w:sz w:val="24"/>
          <w:szCs w:val="24"/>
        </w:rPr>
        <w:t>拟建升压站区域电磁环境质量监测值</w:t>
      </w:r>
    </w:p>
    <w:tbl>
      <w:tblPr>
        <w:tblStyle w:val="5"/>
        <w:tblW w:w="832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3"/>
        <w:gridCol w:w="1798"/>
        <w:gridCol w:w="2677"/>
        <w:gridCol w:w="2322"/>
      </w:tblGrid>
      <w:tr w14:paraId="774A1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23" w:type="dxa"/>
            <w:vAlign w:val="top"/>
          </w:tcPr>
          <w:p w14:paraId="6897EE3B">
            <w:pPr>
              <w:pStyle w:val="6"/>
              <w:spacing w:before="114" w:line="221" w:lineRule="auto"/>
              <w:ind w:left="335"/>
              <w:rPr>
                <w:sz w:val="21"/>
                <w:szCs w:val="21"/>
              </w:rPr>
            </w:pPr>
            <w:r>
              <w:rPr>
                <w:spacing w:val="-2"/>
                <w:sz w:val="21"/>
                <w:szCs w:val="21"/>
              </w:rPr>
              <w:t>监测时段</w:t>
            </w:r>
          </w:p>
        </w:tc>
        <w:tc>
          <w:tcPr>
            <w:tcW w:w="1798" w:type="dxa"/>
            <w:vAlign w:val="top"/>
          </w:tcPr>
          <w:p w14:paraId="00E25B3C">
            <w:pPr>
              <w:pStyle w:val="6"/>
              <w:spacing w:before="114" w:line="221" w:lineRule="auto"/>
              <w:ind w:left="472"/>
              <w:rPr>
                <w:sz w:val="21"/>
                <w:szCs w:val="21"/>
              </w:rPr>
            </w:pPr>
            <w:r>
              <w:rPr>
                <w:spacing w:val="-2"/>
                <w:sz w:val="21"/>
                <w:szCs w:val="21"/>
              </w:rPr>
              <w:t>监测点位</w:t>
            </w:r>
          </w:p>
        </w:tc>
        <w:tc>
          <w:tcPr>
            <w:tcW w:w="2677" w:type="dxa"/>
            <w:vAlign w:val="top"/>
          </w:tcPr>
          <w:p w14:paraId="531B24E5">
            <w:pPr>
              <w:pStyle w:val="6"/>
              <w:spacing w:before="114" w:line="220" w:lineRule="auto"/>
              <w:ind w:left="434"/>
              <w:rPr>
                <w:sz w:val="21"/>
                <w:szCs w:val="21"/>
              </w:rPr>
            </w:pPr>
            <w:r>
              <w:rPr>
                <w:spacing w:val="4"/>
                <w:sz w:val="21"/>
                <w:szCs w:val="21"/>
              </w:rPr>
              <w:t>工频电场强度(V/m)</w:t>
            </w:r>
          </w:p>
        </w:tc>
        <w:tc>
          <w:tcPr>
            <w:tcW w:w="2322" w:type="dxa"/>
            <w:vAlign w:val="top"/>
          </w:tcPr>
          <w:p w14:paraId="6C8DE0A1">
            <w:pPr>
              <w:pStyle w:val="6"/>
              <w:spacing w:before="114" w:line="220" w:lineRule="auto"/>
              <w:ind w:left="367"/>
              <w:rPr>
                <w:sz w:val="21"/>
                <w:szCs w:val="21"/>
              </w:rPr>
            </w:pPr>
            <w:r>
              <w:rPr>
                <w:spacing w:val="4"/>
                <w:sz w:val="21"/>
                <w:szCs w:val="21"/>
              </w:rPr>
              <w:t>磁感应强度(μT)</w:t>
            </w:r>
          </w:p>
        </w:tc>
      </w:tr>
      <w:tr w14:paraId="1351E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523" w:type="dxa"/>
            <w:vAlign w:val="top"/>
          </w:tcPr>
          <w:p w14:paraId="208B018A">
            <w:pPr>
              <w:pStyle w:val="6"/>
              <w:spacing w:before="112" w:line="233" w:lineRule="auto"/>
              <w:ind w:left="275"/>
              <w:rPr>
                <w:sz w:val="21"/>
                <w:szCs w:val="21"/>
              </w:rPr>
            </w:pPr>
            <w:r>
              <w:rPr>
                <w:spacing w:val="-2"/>
                <w:sz w:val="21"/>
                <w:szCs w:val="21"/>
              </w:rPr>
              <w:t>2024.2.25</w:t>
            </w:r>
          </w:p>
        </w:tc>
        <w:tc>
          <w:tcPr>
            <w:tcW w:w="1798" w:type="dxa"/>
            <w:vAlign w:val="top"/>
          </w:tcPr>
          <w:p w14:paraId="629C8E5E">
            <w:pPr>
              <w:pStyle w:val="6"/>
              <w:spacing w:before="92" w:line="221" w:lineRule="auto"/>
              <w:ind w:left="572"/>
              <w:rPr>
                <w:sz w:val="21"/>
                <w:szCs w:val="21"/>
              </w:rPr>
            </w:pPr>
            <w:r>
              <w:rPr>
                <w:spacing w:val="3"/>
                <w:sz w:val="21"/>
                <w:szCs w:val="21"/>
              </w:rPr>
              <w:t>升压站</w:t>
            </w:r>
          </w:p>
        </w:tc>
        <w:tc>
          <w:tcPr>
            <w:tcW w:w="2677" w:type="dxa"/>
            <w:vAlign w:val="top"/>
          </w:tcPr>
          <w:p w14:paraId="4B3841B3">
            <w:pPr>
              <w:pStyle w:val="6"/>
              <w:spacing w:before="112" w:line="233" w:lineRule="auto"/>
              <w:ind w:left="1124"/>
              <w:rPr>
                <w:sz w:val="21"/>
                <w:szCs w:val="21"/>
              </w:rPr>
            </w:pPr>
            <w:r>
              <w:rPr>
                <w:spacing w:val="-2"/>
                <w:sz w:val="21"/>
                <w:szCs w:val="21"/>
              </w:rPr>
              <w:t>0.63</w:t>
            </w:r>
          </w:p>
        </w:tc>
        <w:tc>
          <w:tcPr>
            <w:tcW w:w="2322" w:type="dxa"/>
            <w:vAlign w:val="top"/>
          </w:tcPr>
          <w:p w14:paraId="376965A6">
            <w:pPr>
              <w:pStyle w:val="6"/>
              <w:spacing w:before="112" w:line="233" w:lineRule="auto"/>
              <w:ind w:left="947"/>
              <w:rPr>
                <w:sz w:val="21"/>
                <w:szCs w:val="21"/>
              </w:rPr>
            </w:pPr>
            <w:r>
              <w:rPr>
                <w:spacing w:val="-2"/>
                <w:sz w:val="21"/>
                <w:szCs w:val="21"/>
              </w:rPr>
              <w:t>0.06</w:t>
            </w:r>
          </w:p>
        </w:tc>
      </w:tr>
      <w:tr w14:paraId="7B6AA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3321" w:type="dxa"/>
            <w:gridSpan w:val="2"/>
            <w:vAlign w:val="top"/>
          </w:tcPr>
          <w:p w14:paraId="4BE96A4C">
            <w:pPr>
              <w:pStyle w:val="6"/>
              <w:spacing w:before="113" w:line="219" w:lineRule="auto"/>
              <w:ind w:left="285"/>
              <w:rPr>
                <w:sz w:val="21"/>
                <w:szCs w:val="21"/>
              </w:rPr>
            </w:pPr>
            <w:r>
              <w:rPr>
                <w:spacing w:val="-2"/>
                <w:sz w:val="21"/>
                <w:szCs w:val="21"/>
              </w:rPr>
              <w:t>标准限值(电磁环境控制限值》</w:t>
            </w:r>
          </w:p>
          <w:p w14:paraId="5F1B84A2">
            <w:pPr>
              <w:pStyle w:val="6"/>
              <w:spacing w:before="24" w:line="222" w:lineRule="auto"/>
              <w:ind w:left="965"/>
              <w:rPr>
                <w:sz w:val="21"/>
                <w:szCs w:val="21"/>
              </w:rPr>
            </w:pPr>
            <w:r>
              <w:rPr>
                <w:spacing w:val="-4"/>
                <w:sz w:val="21"/>
                <w:szCs w:val="21"/>
              </w:rPr>
              <w:t>(GB8702-2014)</w:t>
            </w:r>
          </w:p>
        </w:tc>
        <w:tc>
          <w:tcPr>
            <w:tcW w:w="2677" w:type="dxa"/>
            <w:vAlign w:val="top"/>
          </w:tcPr>
          <w:p w14:paraId="0E8528C0">
            <w:pPr>
              <w:pStyle w:val="6"/>
              <w:spacing w:before="253"/>
              <w:ind w:left="1124"/>
              <w:rPr>
                <w:sz w:val="21"/>
                <w:szCs w:val="21"/>
              </w:rPr>
            </w:pPr>
            <w:r>
              <w:rPr>
                <w:spacing w:val="-2"/>
                <w:sz w:val="21"/>
                <w:szCs w:val="21"/>
              </w:rPr>
              <w:t>4000</w:t>
            </w:r>
          </w:p>
        </w:tc>
        <w:tc>
          <w:tcPr>
            <w:tcW w:w="2322" w:type="dxa"/>
            <w:vAlign w:val="top"/>
          </w:tcPr>
          <w:p w14:paraId="1214B04C">
            <w:pPr>
              <w:pStyle w:val="6"/>
              <w:spacing w:before="253"/>
              <w:ind w:left="997"/>
              <w:rPr>
                <w:sz w:val="21"/>
                <w:szCs w:val="21"/>
              </w:rPr>
            </w:pPr>
            <w:r>
              <w:rPr>
                <w:spacing w:val="-6"/>
                <w:sz w:val="21"/>
                <w:szCs w:val="21"/>
              </w:rPr>
              <w:t>100</w:t>
            </w:r>
          </w:p>
        </w:tc>
      </w:tr>
      <w:tr w14:paraId="50053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3321" w:type="dxa"/>
            <w:gridSpan w:val="2"/>
            <w:vAlign w:val="top"/>
          </w:tcPr>
          <w:p w14:paraId="7F2353CD">
            <w:pPr>
              <w:pStyle w:val="6"/>
              <w:spacing w:before="118" w:line="220" w:lineRule="auto"/>
              <w:ind w:left="1235"/>
              <w:rPr>
                <w:sz w:val="21"/>
                <w:szCs w:val="21"/>
              </w:rPr>
            </w:pPr>
            <w:r>
              <w:rPr>
                <w:spacing w:val="-2"/>
                <w:sz w:val="21"/>
                <w:szCs w:val="21"/>
              </w:rPr>
              <w:t>达标情况</w:t>
            </w:r>
          </w:p>
        </w:tc>
        <w:tc>
          <w:tcPr>
            <w:tcW w:w="2677" w:type="dxa"/>
            <w:vAlign w:val="top"/>
          </w:tcPr>
          <w:p w14:paraId="372E81D9">
            <w:pPr>
              <w:pStyle w:val="6"/>
              <w:spacing w:before="118" w:line="220" w:lineRule="auto"/>
              <w:ind w:left="1124"/>
              <w:rPr>
                <w:sz w:val="21"/>
                <w:szCs w:val="21"/>
              </w:rPr>
            </w:pPr>
            <w:r>
              <w:rPr>
                <w:spacing w:val="-2"/>
                <w:sz w:val="21"/>
                <w:szCs w:val="21"/>
              </w:rPr>
              <w:t>达标</w:t>
            </w:r>
          </w:p>
        </w:tc>
        <w:tc>
          <w:tcPr>
            <w:tcW w:w="2322" w:type="dxa"/>
            <w:vAlign w:val="top"/>
          </w:tcPr>
          <w:p w14:paraId="141A6EDC">
            <w:pPr>
              <w:pStyle w:val="6"/>
              <w:spacing w:before="118" w:line="220" w:lineRule="auto"/>
              <w:ind w:left="947"/>
              <w:rPr>
                <w:sz w:val="21"/>
                <w:szCs w:val="21"/>
              </w:rPr>
            </w:pPr>
            <w:r>
              <w:rPr>
                <w:spacing w:val="-2"/>
                <w:sz w:val="21"/>
                <w:szCs w:val="21"/>
              </w:rPr>
              <w:t>达标</w:t>
            </w:r>
          </w:p>
        </w:tc>
      </w:tr>
    </w:tbl>
    <w:p w14:paraId="764D1599">
      <w:pPr>
        <w:pStyle w:val="2"/>
      </w:pPr>
    </w:p>
    <w:p w14:paraId="7BCD88CB">
      <w:pPr>
        <w:sectPr>
          <w:footerReference r:id="rId145" w:type="default"/>
          <w:pgSz w:w="11910" w:h="16830"/>
          <w:pgMar w:top="1371" w:right="1759" w:bottom="1014" w:left="1769" w:header="0" w:footer="879" w:gutter="0"/>
          <w:cols w:space="720" w:num="1"/>
        </w:sectPr>
      </w:pPr>
    </w:p>
    <w:p w14:paraId="1E3B3A70">
      <w:pPr>
        <w:spacing w:before="49" w:line="354" w:lineRule="auto"/>
        <w:ind w:left="94" w:right="133" w:firstLine="520"/>
        <w:jc w:val="both"/>
        <w:rPr>
          <w:rFonts w:ascii="宋体" w:hAnsi="宋体" w:eastAsia="宋体" w:cs="宋体"/>
          <w:sz w:val="24"/>
          <w:szCs w:val="24"/>
        </w:rPr>
      </w:pPr>
      <w:r>
        <w:rPr>
          <w:rFonts w:ascii="宋体" w:hAnsi="宋体" w:eastAsia="宋体" w:cs="宋体"/>
          <w:spacing w:val="4"/>
          <w:sz w:val="24"/>
          <w:szCs w:val="24"/>
        </w:rPr>
        <w:t>由上表监测结果表明，项目拟建220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pacing w:val="4"/>
          <w:sz w:val="24"/>
          <w:szCs w:val="24"/>
        </w:rPr>
        <w:t>升压站</w:t>
      </w:r>
      <w:r>
        <w:rPr>
          <w:rFonts w:ascii="宋体" w:hAnsi="宋体" w:eastAsia="宋体" w:cs="宋体"/>
          <w:spacing w:val="3"/>
          <w:sz w:val="24"/>
          <w:szCs w:val="24"/>
        </w:rPr>
        <w:t>区域电磁环境现状监测值符</w:t>
      </w:r>
      <w:r>
        <w:rPr>
          <w:rFonts w:ascii="宋体" w:hAnsi="宋体" w:eastAsia="宋体" w:cs="宋体"/>
          <w:sz w:val="24"/>
          <w:szCs w:val="24"/>
        </w:rPr>
        <w:t xml:space="preserve"> </w:t>
      </w:r>
      <w:r>
        <w:rPr>
          <w:rFonts w:ascii="宋体" w:hAnsi="宋体" w:eastAsia="宋体" w:cs="宋体"/>
          <w:spacing w:val="-2"/>
          <w:sz w:val="24"/>
          <w:szCs w:val="24"/>
        </w:rPr>
        <w:t>合《电磁环境控制限值》(</w:t>
      </w:r>
      <w:r>
        <w:rPr>
          <w:rFonts w:ascii="Times New Roman" w:hAnsi="Times New Roman" w:eastAsia="Times New Roman" w:cs="Times New Roman"/>
          <w:spacing w:val="-2"/>
          <w:sz w:val="24"/>
          <w:szCs w:val="24"/>
        </w:rPr>
        <w:t>GB8702-2014)</w:t>
      </w:r>
      <w:r>
        <w:rPr>
          <w:rFonts w:ascii="Times New Roman" w:hAnsi="Times New Roman" w:eastAsia="Times New Roman" w:cs="Times New Roman"/>
          <w:spacing w:val="35"/>
          <w:w w:val="101"/>
          <w:sz w:val="24"/>
          <w:szCs w:val="24"/>
        </w:rPr>
        <w:t xml:space="preserve"> </w:t>
      </w:r>
      <w:r>
        <w:rPr>
          <w:rFonts w:ascii="宋体" w:hAnsi="宋体" w:eastAsia="宋体" w:cs="宋体"/>
          <w:spacing w:val="-2"/>
          <w:sz w:val="24"/>
          <w:szCs w:val="24"/>
        </w:rPr>
        <w:t>的规定：公众曝露工频</w:t>
      </w:r>
      <w:r>
        <w:rPr>
          <w:rFonts w:ascii="宋体" w:hAnsi="宋体" w:eastAsia="宋体" w:cs="宋体"/>
          <w:spacing w:val="-3"/>
          <w:sz w:val="24"/>
          <w:szCs w:val="24"/>
        </w:rPr>
        <w:t>电场强度限值为</w:t>
      </w:r>
      <w:r>
        <w:rPr>
          <w:rFonts w:ascii="宋体" w:hAnsi="宋体" w:eastAsia="宋体" w:cs="宋体"/>
          <w:sz w:val="24"/>
          <w:szCs w:val="24"/>
        </w:rPr>
        <w:t xml:space="preserve"> </w:t>
      </w:r>
      <w:r>
        <w:rPr>
          <w:rFonts w:ascii="Times New Roman" w:hAnsi="Times New Roman" w:eastAsia="Times New Roman" w:cs="Times New Roman"/>
          <w:spacing w:val="-7"/>
          <w:sz w:val="24"/>
          <w:szCs w:val="24"/>
        </w:rPr>
        <w:t>4kV/m</w:t>
      </w:r>
      <w:r>
        <w:rPr>
          <w:rFonts w:ascii="宋体" w:hAnsi="宋体" w:eastAsia="宋体" w:cs="宋体"/>
          <w:spacing w:val="-7"/>
          <w:sz w:val="24"/>
          <w:szCs w:val="24"/>
        </w:rPr>
        <w:t>, 公众曝露工频磁感应强度限值为0.1</w:t>
      </w:r>
      <w:r>
        <w:rPr>
          <w:rFonts w:ascii="Times New Roman" w:hAnsi="Times New Roman" w:eastAsia="Times New Roman" w:cs="Times New Roman"/>
          <w:spacing w:val="-7"/>
          <w:sz w:val="24"/>
          <w:szCs w:val="24"/>
        </w:rPr>
        <w:t>mT</w:t>
      </w:r>
      <w:r>
        <w:rPr>
          <w:rFonts w:ascii="宋体" w:hAnsi="宋体" w:eastAsia="宋体" w:cs="宋体"/>
          <w:spacing w:val="-7"/>
          <w:sz w:val="24"/>
          <w:szCs w:val="24"/>
        </w:rPr>
        <w:t>。</w:t>
      </w:r>
    </w:p>
    <w:p w14:paraId="698B6805">
      <w:pPr>
        <w:spacing w:before="1" w:line="217" w:lineRule="auto"/>
        <w:ind w:left="94"/>
        <w:rPr>
          <w:rFonts w:ascii="宋体" w:hAnsi="宋体" w:eastAsia="宋体" w:cs="宋体"/>
          <w:sz w:val="33"/>
          <w:szCs w:val="33"/>
        </w:rPr>
      </w:pPr>
      <w:r>
        <w:rPr>
          <w:rFonts w:ascii="Times New Roman" w:hAnsi="Times New Roman" w:eastAsia="Times New Roman" w:cs="Times New Roman"/>
          <w:spacing w:val="-23"/>
          <w:sz w:val="33"/>
          <w:szCs w:val="33"/>
        </w:rPr>
        <w:t>5.</w:t>
      </w:r>
      <w:r>
        <w:rPr>
          <w:rFonts w:ascii="宋体" w:hAnsi="宋体" w:eastAsia="宋体" w:cs="宋体"/>
          <w:spacing w:val="-23"/>
          <w:sz w:val="33"/>
          <w:szCs w:val="33"/>
        </w:rPr>
        <w:t>电磁环境影响评价</w:t>
      </w:r>
    </w:p>
    <w:p w14:paraId="0877AA10">
      <w:pPr>
        <w:spacing w:before="228" w:line="353" w:lineRule="auto"/>
        <w:ind w:left="94" w:right="130" w:firstLine="480"/>
        <w:jc w:val="both"/>
        <w:rPr>
          <w:rFonts w:ascii="宋体" w:hAnsi="宋体" w:eastAsia="宋体" w:cs="宋体"/>
          <w:sz w:val="24"/>
          <w:szCs w:val="24"/>
        </w:rPr>
      </w:pPr>
      <w:r>
        <w:rPr>
          <w:rFonts w:ascii="宋体" w:hAnsi="宋体" w:eastAsia="宋体" w:cs="宋体"/>
          <w:spacing w:val="4"/>
          <w:sz w:val="24"/>
          <w:szCs w:val="24"/>
        </w:rPr>
        <w:t>根据《电磁辐射环境保护管理办法》(原国家环境保护局令第18号)、《电</w:t>
      </w:r>
      <w:r>
        <w:rPr>
          <w:rFonts w:ascii="宋体" w:hAnsi="宋体" w:eastAsia="宋体" w:cs="宋体"/>
          <w:spacing w:val="7"/>
          <w:sz w:val="24"/>
          <w:szCs w:val="24"/>
        </w:rPr>
        <w:t xml:space="preserve"> </w:t>
      </w:r>
      <w:r>
        <w:rPr>
          <w:rFonts w:ascii="宋体" w:hAnsi="宋体" w:eastAsia="宋体" w:cs="宋体"/>
          <w:spacing w:val="4"/>
          <w:sz w:val="24"/>
          <w:szCs w:val="24"/>
        </w:rPr>
        <w:t>磁环境控制限值》</w:t>
      </w:r>
      <w:r>
        <w:rPr>
          <w:rFonts w:ascii="宋体" w:hAnsi="宋体" w:eastAsia="宋体" w:cs="宋体"/>
          <w:spacing w:val="-20"/>
          <w:sz w:val="24"/>
          <w:szCs w:val="24"/>
        </w:rPr>
        <w:t xml:space="preserve"> </w:t>
      </w:r>
      <w:r>
        <w:rPr>
          <w:rFonts w:ascii="宋体" w:hAnsi="宋体" w:eastAsia="宋体" w:cs="宋体"/>
          <w:spacing w:val="4"/>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z w:val="24"/>
          <w:szCs w:val="24"/>
        </w:rPr>
        <w:t>GB</w:t>
      </w:r>
      <w:r>
        <w:rPr>
          <w:rFonts w:ascii="Times New Roman" w:hAnsi="Times New Roman" w:eastAsia="Times New Roman" w:cs="Times New Roman"/>
          <w:spacing w:val="4"/>
          <w:sz w:val="24"/>
          <w:szCs w:val="24"/>
        </w:rPr>
        <w:t xml:space="preserve">8072-2014)   </w:t>
      </w:r>
      <w:r>
        <w:rPr>
          <w:rFonts w:ascii="宋体" w:hAnsi="宋体" w:eastAsia="宋体" w:cs="宋体"/>
          <w:spacing w:val="4"/>
          <w:sz w:val="24"/>
          <w:szCs w:val="24"/>
        </w:rPr>
        <w:t>和</w:t>
      </w:r>
      <w:r>
        <w:rPr>
          <w:rFonts w:ascii="宋体" w:hAnsi="宋体" w:eastAsia="宋体" w:cs="宋体"/>
          <w:spacing w:val="3"/>
          <w:sz w:val="24"/>
          <w:szCs w:val="24"/>
        </w:rPr>
        <w:t>《关于35千伏送、变电系统建设项目环</w:t>
      </w:r>
      <w:r>
        <w:rPr>
          <w:rFonts w:ascii="宋体" w:hAnsi="宋体" w:eastAsia="宋体" w:cs="宋体"/>
          <w:sz w:val="24"/>
          <w:szCs w:val="24"/>
        </w:rPr>
        <w:t xml:space="preserve"> </w:t>
      </w:r>
      <w:r>
        <w:rPr>
          <w:rFonts w:ascii="宋体" w:hAnsi="宋体" w:eastAsia="宋体" w:cs="宋体"/>
          <w:spacing w:val="4"/>
          <w:sz w:val="24"/>
          <w:szCs w:val="24"/>
        </w:rPr>
        <w:t>境管理有关问题的复函》,拟建项目涉及的35</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集电线路属于电磁辐射豁免水</w:t>
      </w:r>
      <w:r>
        <w:rPr>
          <w:rFonts w:ascii="宋体" w:hAnsi="宋体" w:eastAsia="宋体" w:cs="宋体"/>
          <w:spacing w:val="7"/>
          <w:sz w:val="24"/>
          <w:szCs w:val="24"/>
        </w:rPr>
        <w:t xml:space="preserve"> </w:t>
      </w:r>
      <w:r>
        <w:rPr>
          <w:rFonts w:ascii="宋体" w:hAnsi="宋体" w:eastAsia="宋体" w:cs="宋体"/>
          <w:spacing w:val="5"/>
          <w:sz w:val="24"/>
          <w:szCs w:val="24"/>
        </w:rPr>
        <w:t>平，其产生的电磁环境影响较小；因此，本次评价仅对220</w:t>
      </w:r>
      <w:r>
        <w:rPr>
          <w:rFonts w:ascii="Times New Roman" w:hAnsi="Times New Roman" w:eastAsia="Times New Roman" w:cs="Times New Roman"/>
          <w:sz w:val="24"/>
          <w:szCs w:val="24"/>
        </w:rPr>
        <w:t>kV</w:t>
      </w:r>
      <w:r>
        <w:rPr>
          <w:rFonts w:ascii="Times New Roman" w:hAnsi="Times New Roman" w:eastAsia="Times New Roman" w:cs="Times New Roman"/>
          <w:spacing w:val="-22"/>
          <w:sz w:val="24"/>
          <w:szCs w:val="24"/>
        </w:rPr>
        <w:t xml:space="preserve"> </w:t>
      </w:r>
      <w:r>
        <w:rPr>
          <w:rFonts w:ascii="宋体" w:hAnsi="宋体" w:eastAsia="宋体" w:cs="宋体"/>
          <w:spacing w:val="5"/>
          <w:sz w:val="24"/>
          <w:szCs w:val="24"/>
        </w:rPr>
        <w:t>升压站的电磁环</w:t>
      </w:r>
      <w:r>
        <w:rPr>
          <w:rFonts w:ascii="宋体" w:hAnsi="宋体" w:eastAsia="宋体" w:cs="宋体"/>
          <w:sz w:val="24"/>
          <w:szCs w:val="24"/>
        </w:rPr>
        <w:t xml:space="preserve"> </w:t>
      </w:r>
      <w:r>
        <w:rPr>
          <w:rFonts w:ascii="宋体" w:hAnsi="宋体" w:eastAsia="宋体" w:cs="宋体"/>
          <w:spacing w:val="-3"/>
          <w:sz w:val="24"/>
          <w:szCs w:val="24"/>
        </w:rPr>
        <w:t>境影响进行评价。</w:t>
      </w:r>
    </w:p>
    <w:p w14:paraId="6668BA82">
      <w:pPr>
        <w:spacing w:before="35" w:line="220" w:lineRule="auto"/>
        <w:ind w:left="94"/>
        <w:rPr>
          <w:rFonts w:ascii="宋体" w:hAnsi="宋体" w:eastAsia="宋体" w:cs="宋体"/>
          <w:sz w:val="28"/>
          <w:szCs w:val="28"/>
        </w:rPr>
      </w:pPr>
      <w:r>
        <w:rPr>
          <w:rFonts w:ascii="宋体" w:hAnsi="宋体" w:eastAsia="宋体" w:cs="宋体"/>
          <w:spacing w:val="-1"/>
          <w:sz w:val="28"/>
          <w:szCs w:val="28"/>
        </w:rPr>
        <w:t>5.1</w:t>
      </w:r>
      <w:r>
        <w:rPr>
          <w:rFonts w:ascii="宋体" w:hAnsi="宋体" w:eastAsia="宋体" w:cs="宋体"/>
          <w:b/>
          <w:bCs/>
          <w:spacing w:val="-1"/>
          <w:sz w:val="28"/>
          <w:szCs w:val="28"/>
        </w:rPr>
        <w:t>升压站电磁环境影响分析</w:t>
      </w:r>
    </w:p>
    <w:p w14:paraId="6644ACCB">
      <w:pPr>
        <w:spacing w:before="217" w:line="352" w:lineRule="auto"/>
        <w:ind w:left="94" w:right="130" w:firstLine="480"/>
        <w:jc w:val="both"/>
        <w:rPr>
          <w:rFonts w:ascii="宋体" w:hAnsi="宋体" w:eastAsia="宋体" w:cs="宋体"/>
          <w:sz w:val="24"/>
          <w:szCs w:val="24"/>
        </w:rPr>
      </w:pPr>
      <w:r>
        <w:rPr>
          <w:rFonts w:ascii="宋体" w:hAnsi="宋体" w:eastAsia="宋体" w:cs="宋体"/>
          <w:spacing w:val="9"/>
          <w:sz w:val="24"/>
          <w:szCs w:val="24"/>
        </w:rPr>
        <w:t>本项目拟建220</w:t>
      </w:r>
      <w:r>
        <w:rPr>
          <w:rFonts w:ascii="Times New Roman" w:hAnsi="Times New Roman" w:eastAsia="Times New Roman" w:cs="Times New Roman"/>
          <w:sz w:val="24"/>
          <w:szCs w:val="24"/>
        </w:rPr>
        <w:t>kV</w:t>
      </w:r>
      <w:r>
        <w:rPr>
          <w:rFonts w:ascii="Times New Roman" w:hAnsi="Times New Roman" w:eastAsia="Times New Roman" w:cs="Times New Roman"/>
          <w:spacing w:val="-6"/>
          <w:sz w:val="24"/>
          <w:szCs w:val="24"/>
        </w:rPr>
        <w:t xml:space="preserve"> </w:t>
      </w:r>
      <w:r>
        <w:rPr>
          <w:rFonts w:ascii="宋体" w:hAnsi="宋体" w:eastAsia="宋体" w:cs="宋体"/>
          <w:spacing w:val="9"/>
          <w:sz w:val="24"/>
          <w:szCs w:val="24"/>
        </w:rPr>
        <w:t>升压站内设1台150</w:t>
      </w:r>
      <w:r>
        <w:rPr>
          <w:rFonts w:ascii="Times New Roman" w:hAnsi="Times New Roman" w:eastAsia="Times New Roman" w:cs="Times New Roman"/>
          <w:sz w:val="24"/>
          <w:szCs w:val="24"/>
        </w:rPr>
        <w:t>MVA</w:t>
      </w:r>
      <w:r>
        <w:rPr>
          <w:rFonts w:ascii="Times New Roman" w:hAnsi="Times New Roman" w:eastAsia="Times New Roman" w:cs="Times New Roman"/>
          <w:spacing w:val="-23"/>
          <w:sz w:val="24"/>
          <w:szCs w:val="24"/>
        </w:rPr>
        <w:t xml:space="preserve"> </w:t>
      </w:r>
      <w:r>
        <w:rPr>
          <w:rFonts w:ascii="宋体" w:hAnsi="宋体" w:eastAsia="宋体" w:cs="宋体"/>
          <w:spacing w:val="9"/>
          <w:sz w:val="24"/>
          <w:szCs w:val="24"/>
        </w:rPr>
        <w:t>主变，电磁环境影响评价等级</w:t>
      </w:r>
      <w:r>
        <w:rPr>
          <w:rFonts w:ascii="宋体" w:hAnsi="宋体" w:eastAsia="宋体" w:cs="宋体"/>
          <w:sz w:val="24"/>
          <w:szCs w:val="24"/>
        </w:rPr>
        <w:t xml:space="preserve"> </w:t>
      </w:r>
      <w:r>
        <w:rPr>
          <w:rFonts w:ascii="宋体" w:hAnsi="宋体" w:eastAsia="宋体" w:cs="宋体"/>
          <w:spacing w:val="-1"/>
          <w:sz w:val="24"/>
          <w:szCs w:val="24"/>
        </w:rPr>
        <w:t>为二级，根据《环境影响评价技术导则输变电》</w:t>
      </w:r>
      <w:r>
        <w:rPr>
          <w:rFonts w:ascii="宋体" w:hAnsi="宋体" w:eastAsia="宋体" w:cs="宋体"/>
          <w:spacing w:val="30"/>
          <w:sz w:val="24"/>
          <w:szCs w:val="24"/>
        </w:rPr>
        <w:t xml:space="preserve"> </w:t>
      </w:r>
      <w:r>
        <w:rPr>
          <w:rFonts w:ascii="宋体" w:hAnsi="宋体" w:eastAsia="宋体" w:cs="宋体"/>
          <w:spacing w:val="-2"/>
          <w:sz w:val="24"/>
          <w:szCs w:val="24"/>
        </w:rPr>
        <w:t>(</w:t>
      </w:r>
      <w:r>
        <w:rPr>
          <w:rFonts w:ascii="宋体" w:hAnsi="宋体" w:eastAsia="宋体" w:cs="宋体"/>
          <w:spacing w:val="-58"/>
          <w:sz w:val="24"/>
          <w:szCs w:val="24"/>
        </w:rPr>
        <w:t xml:space="preserve"> </w:t>
      </w:r>
      <w:r>
        <w:rPr>
          <w:rFonts w:ascii="Times New Roman" w:hAnsi="Times New Roman" w:eastAsia="Times New Roman" w:cs="Times New Roman"/>
          <w:spacing w:val="-2"/>
          <w:sz w:val="24"/>
          <w:szCs w:val="24"/>
        </w:rPr>
        <w:t>HJ24-2020)</w:t>
      </w:r>
      <w:r>
        <w:rPr>
          <w:rFonts w:ascii="Times New Roman" w:hAnsi="Times New Roman" w:eastAsia="Times New Roman" w:cs="Times New Roman"/>
          <w:spacing w:val="18"/>
          <w:w w:val="101"/>
          <w:sz w:val="24"/>
          <w:szCs w:val="24"/>
        </w:rPr>
        <w:t xml:space="preserve">  </w:t>
      </w:r>
      <w:r>
        <w:rPr>
          <w:rFonts w:ascii="宋体" w:hAnsi="宋体" w:eastAsia="宋体" w:cs="宋体"/>
          <w:spacing w:val="-2"/>
          <w:sz w:val="24"/>
          <w:szCs w:val="24"/>
        </w:rPr>
        <w:t>中二级评价的基</w:t>
      </w:r>
      <w:r>
        <w:rPr>
          <w:rFonts w:ascii="宋体" w:hAnsi="宋体" w:eastAsia="宋体" w:cs="宋体"/>
          <w:sz w:val="24"/>
          <w:szCs w:val="24"/>
        </w:rPr>
        <w:t xml:space="preserve"> </w:t>
      </w:r>
      <w:r>
        <w:rPr>
          <w:rFonts w:ascii="宋体" w:hAnsi="宋体" w:eastAsia="宋体" w:cs="宋体"/>
          <w:spacing w:val="-3"/>
          <w:sz w:val="24"/>
          <w:szCs w:val="24"/>
        </w:rPr>
        <w:t>本要求，电磁环境影响预测应采用类比监测的方式。因此，本项目通过类比同类</w:t>
      </w:r>
      <w:r>
        <w:rPr>
          <w:rFonts w:ascii="宋体" w:hAnsi="宋体" w:eastAsia="宋体" w:cs="宋体"/>
          <w:spacing w:val="4"/>
          <w:sz w:val="24"/>
          <w:szCs w:val="24"/>
        </w:rPr>
        <w:t xml:space="preserve"> </w:t>
      </w:r>
      <w:r>
        <w:rPr>
          <w:rFonts w:ascii="宋体" w:hAnsi="宋体" w:eastAsia="宋体" w:cs="宋体"/>
          <w:spacing w:val="-3"/>
          <w:sz w:val="24"/>
          <w:szCs w:val="24"/>
        </w:rPr>
        <w:t>项目电磁环境监测结果进行评价。</w:t>
      </w:r>
    </w:p>
    <w:p w14:paraId="03FF4F5D">
      <w:pPr>
        <w:spacing w:before="40" w:line="219" w:lineRule="auto"/>
        <w:ind w:left="714"/>
        <w:rPr>
          <w:rFonts w:ascii="宋体" w:hAnsi="宋体" w:eastAsia="宋体" w:cs="宋体"/>
          <w:sz w:val="24"/>
          <w:szCs w:val="24"/>
        </w:rPr>
      </w:pPr>
      <w:r>
        <w:rPr>
          <w:rFonts w:ascii="宋体" w:hAnsi="宋体" w:eastAsia="宋体" w:cs="宋体"/>
          <w:spacing w:val="7"/>
          <w:sz w:val="24"/>
          <w:szCs w:val="24"/>
        </w:rPr>
        <w:t>(1)类比对象的选择及类比的可行性</w:t>
      </w:r>
    </w:p>
    <w:p w14:paraId="4D1CB922">
      <w:pPr>
        <w:spacing w:before="161" w:line="358" w:lineRule="auto"/>
        <w:ind w:left="94" w:right="130" w:firstLine="480"/>
        <w:rPr>
          <w:rFonts w:ascii="宋体" w:hAnsi="宋体" w:eastAsia="宋体" w:cs="宋体"/>
          <w:sz w:val="24"/>
          <w:szCs w:val="24"/>
        </w:rPr>
      </w:pPr>
      <w:r>
        <w:rPr>
          <w:rFonts w:ascii="宋体" w:hAnsi="宋体" w:eastAsia="宋体" w:cs="宋体"/>
          <w:spacing w:val="5"/>
          <w:sz w:val="24"/>
          <w:szCs w:val="24"/>
        </w:rPr>
        <w:t>本项目为220</w:t>
      </w:r>
      <w:r>
        <w:rPr>
          <w:rFonts w:ascii="Times New Roman" w:hAnsi="Times New Roman" w:eastAsia="Times New Roman" w:cs="Times New Roman"/>
          <w:sz w:val="24"/>
          <w:szCs w:val="24"/>
        </w:rPr>
        <w:t>kV</w:t>
      </w:r>
      <w:r>
        <w:rPr>
          <w:rFonts w:ascii="Times New Roman" w:hAnsi="Times New Roman" w:eastAsia="Times New Roman" w:cs="Times New Roman"/>
          <w:spacing w:val="-14"/>
          <w:sz w:val="24"/>
          <w:szCs w:val="24"/>
        </w:rPr>
        <w:t xml:space="preserve"> </w:t>
      </w:r>
      <w:r>
        <w:rPr>
          <w:rFonts w:ascii="宋体" w:hAnsi="宋体" w:eastAsia="宋体" w:cs="宋体"/>
          <w:spacing w:val="5"/>
          <w:sz w:val="24"/>
          <w:szCs w:val="24"/>
        </w:rPr>
        <w:t>升压站，主变容量为1×150</w:t>
      </w:r>
      <w:r>
        <w:rPr>
          <w:rFonts w:ascii="Times New Roman" w:hAnsi="Times New Roman" w:eastAsia="Times New Roman" w:cs="Times New Roman"/>
          <w:sz w:val="24"/>
          <w:szCs w:val="24"/>
        </w:rPr>
        <w:t>MVA</w:t>
      </w:r>
      <w:r>
        <w:rPr>
          <w:rFonts w:ascii="Times New Roman" w:hAnsi="Times New Roman" w:eastAsia="Times New Roman" w:cs="Times New Roman"/>
          <w:spacing w:val="5"/>
          <w:sz w:val="24"/>
          <w:szCs w:val="24"/>
        </w:rPr>
        <w:t>,</w:t>
      </w:r>
      <w:r>
        <w:rPr>
          <w:rFonts w:ascii="Times New Roman" w:hAnsi="Times New Roman" w:eastAsia="Times New Roman" w:cs="Times New Roman"/>
          <w:spacing w:val="44"/>
          <w:sz w:val="24"/>
          <w:szCs w:val="24"/>
        </w:rPr>
        <w:t xml:space="preserve"> </w:t>
      </w:r>
      <w:r>
        <w:rPr>
          <w:rFonts w:ascii="宋体" w:hAnsi="宋体" w:eastAsia="宋体" w:cs="宋体"/>
          <w:spacing w:val="5"/>
          <w:sz w:val="24"/>
          <w:szCs w:val="24"/>
        </w:rPr>
        <w:t>为预测本工程运行后产</w:t>
      </w:r>
      <w:r>
        <w:rPr>
          <w:rFonts w:ascii="宋体" w:hAnsi="宋体" w:eastAsia="宋体" w:cs="宋体"/>
          <w:sz w:val="24"/>
          <w:szCs w:val="24"/>
        </w:rPr>
        <w:t xml:space="preserve"> </w:t>
      </w:r>
      <w:r>
        <w:rPr>
          <w:rFonts w:ascii="宋体" w:hAnsi="宋体" w:eastAsia="宋体" w:cs="宋体"/>
          <w:spacing w:val="-3"/>
          <w:sz w:val="24"/>
          <w:szCs w:val="24"/>
        </w:rPr>
        <w:t>生的工频电场、工频磁场对周围电磁环境的影响。根据项目升压站设计情况，选</w:t>
      </w:r>
      <w:r>
        <w:rPr>
          <w:rFonts w:ascii="宋体" w:hAnsi="宋体" w:eastAsia="宋体" w:cs="宋体"/>
          <w:spacing w:val="3"/>
          <w:sz w:val="24"/>
          <w:szCs w:val="24"/>
        </w:rPr>
        <w:t xml:space="preserve"> </w:t>
      </w:r>
      <w:r>
        <w:rPr>
          <w:rFonts w:ascii="宋体" w:hAnsi="宋体" w:eastAsia="宋体" w:cs="宋体"/>
          <w:spacing w:val="5"/>
          <w:sz w:val="24"/>
          <w:szCs w:val="24"/>
        </w:rPr>
        <w:t>取云南省昆明市富民县百花山风电场220</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5"/>
          <w:sz w:val="24"/>
          <w:szCs w:val="24"/>
        </w:rPr>
        <w:t>升压</w:t>
      </w:r>
      <w:r>
        <w:rPr>
          <w:rFonts w:ascii="宋体" w:hAnsi="宋体" w:eastAsia="宋体" w:cs="宋体"/>
          <w:spacing w:val="4"/>
          <w:sz w:val="24"/>
          <w:szCs w:val="24"/>
        </w:rPr>
        <w:t>站进行类比分析。本项目与类</w:t>
      </w:r>
      <w:r>
        <w:rPr>
          <w:rFonts w:ascii="宋体" w:hAnsi="宋体" w:eastAsia="宋体" w:cs="宋体"/>
          <w:sz w:val="24"/>
          <w:szCs w:val="24"/>
        </w:rPr>
        <w:t xml:space="preserve"> </w:t>
      </w:r>
      <w:r>
        <w:rPr>
          <w:rFonts w:ascii="宋体" w:hAnsi="宋体" w:eastAsia="宋体" w:cs="宋体"/>
          <w:spacing w:val="-4"/>
          <w:sz w:val="24"/>
          <w:szCs w:val="24"/>
        </w:rPr>
        <w:t>比项目可行性分析见下表。</w:t>
      </w:r>
    </w:p>
    <w:p w14:paraId="7B751FF1">
      <w:pPr>
        <w:spacing w:before="18" w:line="206" w:lineRule="auto"/>
        <w:ind w:left="2578"/>
        <w:rPr>
          <w:rFonts w:ascii="宋体" w:hAnsi="宋体" w:eastAsia="宋体" w:cs="宋体"/>
          <w:sz w:val="25"/>
          <w:szCs w:val="25"/>
        </w:rPr>
      </w:pPr>
      <w:r>
        <w:rPr>
          <w:rFonts w:ascii="宋体" w:hAnsi="宋体" w:eastAsia="宋体" w:cs="宋体"/>
          <w:b/>
          <w:bCs/>
          <w:spacing w:val="-4"/>
          <w:sz w:val="25"/>
          <w:szCs w:val="25"/>
        </w:rPr>
        <w:t>表5.1-1类别可行性分析一览表</w:t>
      </w: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3"/>
        <w:gridCol w:w="699"/>
        <w:gridCol w:w="2917"/>
        <w:gridCol w:w="2367"/>
        <w:gridCol w:w="1353"/>
      </w:tblGrid>
      <w:tr w14:paraId="49D8B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882" w:type="dxa"/>
            <w:gridSpan w:val="2"/>
            <w:vAlign w:val="top"/>
          </w:tcPr>
          <w:p w14:paraId="2941FDD3">
            <w:pPr>
              <w:pStyle w:val="6"/>
              <w:spacing w:before="164" w:line="221" w:lineRule="auto"/>
              <w:ind w:left="615"/>
              <w:rPr>
                <w:sz w:val="21"/>
                <w:szCs w:val="21"/>
              </w:rPr>
            </w:pPr>
            <w:r>
              <w:rPr>
                <w:spacing w:val="-2"/>
                <w:sz w:val="21"/>
                <w:szCs w:val="21"/>
              </w:rPr>
              <w:t>变电站</w:t>
            </w:r>
          </w:p>
        </w:tc>
        <w:tc>
          <w:tcPr>
            <w:tcW w:w="2917" w:type="dxa"/>
            <w:vAlign w:val="top"/>
          </w:tcPr>
          <w:p w14:paraId="01728629">
            <w:pPr>
              <w:pStyle w:val="6"/>
              <w:spacing w:before="162" w:line="219" w:lineRule="auto"/>
              <w:ind w:left="553"/>
              <w:rPr>
                <w:sz w:val="21"/>
                <w:szCs w:val="21"/>
              </w:rPr>
            </w:pPr>
            <w:r>
              <w:rPr>
                <w:spacing w:val="1"/>
                <w:sz w:val="21"/>
                <w:szCs w:val="21"/>
              </w:rPr>
              <w:t>本项目220</w:t>
            </w:r>
            <w:r>
              <w:rPr>
                <w:sz w:val="21"/>
                <w:szCs w:val="21"/>
              </w:rPr>
              <w:t>kv</w:t>
            </w:r>
            <w:r>
              <w:rPr>
                <w:spacing w:val="1"/>
                <w:sz w:val="21"/>
                <w:szCs w:val="21"/>
              </w:rPr>
              <w:t>升压站</w:t>
            </w:r>
          </w:p>
        </w:tc>
        <w:tc>
          <w:tcPr>
            <w:tcW w:w="2367" w:type="dxa"/>
            <w:vAlign w:val="top"/>
          </w:tcPr>
          <w:p w14:paraId="75EF0C93">
            <w:pPr>
              <w:pStyle w:val="6"/>
              <w:spacing w:before="43" w:line="207" w:lineRule="auto"/>
              <w:ind w:left="964" w:right="170" w:hanging="789"/>
              <w:rPr>
                <w:sz w:val="21"/>
                <w:szCs w:val="21"/>
              </w:rPr>
            </w:pPr>
            <w:r>
              <w:rPr>
                <w:spacing w:val="1"/>
                <w:sz w:val="21"/>
                <w:szCs w:val="21"/>
              </w:rPr>
              <w:t>百花山风电场220</w:t>
            </w:r>
            <w:r>
              <w:rPr>
                <w:sz w:val="21"/>
                <w:szCs w:val="21"/>
              </w:rPr>
              <w:t>kV</w:t>
            </w:r>
            <w:r>
              <w:rPr>
                <w:spacing w:val="1"/>
                <w:sz w:val="21"/>
                <w:szCs w:val="21"/>
              </w:rPr>
              <w:t>升</w:t>
            </w:r>
            <w:r>
              <w:rPr>
                <w:spacing w:val="4"/>
                <w:sz w:val="21"/>
                <w:szCs w:val="21"/>
              </w:rPr>
              <w:t xml:space="preserve"> </w:t>
            </w:r>
            <w:r>
              <w:rPr>
                <w:spacing w:val="5"/>
                <w:sz w:val="21"/>
                <w:szCs w:val="21"/>
              </w:rPr>
              <w:t>压站</w:t>
            </w:r>
          </w:p>
        </w:tc>
        <w:tc>
          <w:tcPr>
            <w:tcW w:w="1353" w:type="dxa"/>
            <w:vAlign w:val="top"/>
          </w:tcPr>
          <w:p w14:paraId="3F54D88B">
            <w:pPr>
              <w:pStyle w:val="6"/>
              <w:spacing w:before="163" w:line="219" w:lineRule="auto"/>
              <w:ind w:left="248"/>
              <w:rPr>
                <w:sz w:val="21"/>
                <w:szCs w:val="21"/>
              </w:rPr>
            </w:pPr>
            <w:r>
              <w:rPr>
                <w:spacing w:val="-2"/>
                <w:sz w:val="21"/>
                <w:szCs w:val="21"/>
              </w:rPr>
              <w:t>类比分析</w:t>
            </w:r>
          </w:p>
        </w:tc>
      </w:tr>
      <w:tr w14:paraId="6CF99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882" w:type="dxa"/>
            <w:gridSpan w:val="2"/>
            <w:vAlign w:val="top"/>
          </w:tcPr>
          <w:p w14:paraId="5084513F">
            <w:pPr>
              <w:pStyle w:val="6"/>
              <w:spacing w:before="160" w:line="221" w:lineRule="auto"/>
              <w:ind w:left="514"/>
              <w:rPr>
                <w:sz w:val="21"/>
                <w:szCs w:val="21"/>
              </w:rPr>
            </w:pPr>
            <w:r>
              <w:rPr>
                <w:spacing w:val="-2"/>
                <w:sz w:val="21"/>
                <w:szCs w:val="21"/>
              </w:rPr>
              <w:t>地理位置</w:t>
            </w:r>
          </w:p>
        </w:tc>
        <w:tc>
          <w:tcPr>
            <w:tcW w:w="2917" w:type="dxa"/>
            <w:vAlign w:val="top"/>
          </w:tcPr>
          <w:p w14:paraId="67FCF620">
            <w:pPr>
              <w:pStyle w:val="6"/>
              <w:spacing w:before="158" w:line="219" w:lineRule="auto"/>
              <w:ind w:left="192"/>
              <w:rPr>
                <w:sz w:val="21"/>
                <w:szCs w:val="21"/>
              </w:rPr>
            </w:pPr>
            <w:r>
              <w:rPr>
                <w:spacing w:val="2"/>
                <w:sz w:val="21"/>
                <w:szCs w:val="21"/>
              </w:rPr>
              <w:t>云南省曲靖市马龙区马鸣乡</w:t>
            </w:r>
          </w:p>
        </w:tc>
        <w:tc>
          <w:tcPr>
            <w:tcW w:w="2367" w:type="dxa"/>
            <w:vAlign w:val="top"/>
          </w:tcPr>
          <w:p w14:paraId="1FB4E9C4">
            <w:pPr>
              <w:pStyle w:val="6"/>
              <w:spacing w:before="49" w:line="202" w:lineRule="auto"/>
              <w:ind w:left="545" w:right="108" w:hanging="419"/>
              <w:rPr>
                <w:sz w:val="21"/>
                <w:szCs w:val="21"/>
              </w:rPr>
            </w:pPr>
            <w:r>
              <w:rPr>
                <w:spacing w:val="2"/>
                <w:sz w:val="21"/>
                <w:szCs w:val="21"/>
              </w:rPr>
              <w:t>云南省昆明市富民县罗</w:t>
            </w:r>
            <w:r>
              <w:rPr>
                <w:spacing w:val="1"/>
                <w:sz w:val="21"/>
                <w:szCs w:val="21"/>
              </w:rPr>
              <w:t xml:space="preserve"> </w:t>
            </w:r>
            <w:r>
              <w:rPr>
                <w:spacing w:val="4"/>
                <w:sz w:val="21"/>
                <w:szCs w:val="21"/>
              </w:rPr>
              <w:t>免彝族苗族乡</w:t>
            </w:r>
          </w:p>
        </w:tc>
        <w:tc>
          <w:tcPr>
            <w:tcW w:w="1353" w:type="dxa"/>
            <w:vAlign w:val="top"/>
          </w:tcPr>
          <w:p w14:paraId="41DDCF76">
            <w:pPr>
              <w:pStyle w:val="6"/>
              <w:spacing w:before="165" w:line="224" w:lineRule="auto"/>
              <w:ind w:left="618"/>
              <w:rPr>
                <w:sz w:val="21"/>
                <w:szCs w:val="21"/>
              </w:rPr>
            </w:pPr>
            <w:r>
              <w:rPr>
                <w:sz w:val="21"/>
                <w:szCs w:val="21"/>
              </w:rPr>
              <w:t>/</w:t>
            </w:r>
          </w:p>
        </w:tc>
      </w:tr>
      <w:tr w14:paraId="003FE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882" w:type="dxa"/>
            <w:gridSpan w:val="2"/>
            <w:vAlign w:val="top"/>
          </w:tcPr>
          <w:p w14:paraId="3FDFEDCB">
            <w:pPr>
              <w:pStyle w:val="6"/>
              <w:spacing w:before="30" w:line="201" w:lineRule="auto"/>
              <w:ind w:left="514"/>
              <w:rPr>
                <w:sz w:val="21"/>
                <w:szCs w:val="21"/>
              </w:rPr>
            </w:pPr>
            <w:r>
              <w:rPr>
                <w:spacing w:val="3"/>
                <w:sz w:val="21"/>
                <w:szCs w:val="21"/>
              </w:rPr>
              <w:t>电压等级</w:t>
            </w:r>
          </w:p>
        </w:tc>
        <w:tc>
          <w:tcPr>
            <w:tcW w:w="2917" w:type="dxa"/>
            <w:vAlign w:val="top"/>
          </w:tcPr>
          <w:p w14:paraId="7F4F3004">
            <w:pPr>
              <w:pStyle w:val="6"/>
              <w:spacing w:before="51" w:line="182" w:lineRule="auto"/>
              <w:ind w:left="1182"/>
              <w:rPr>
                <w:sz w:val="21"/>
                <w:szCs w:val="21"/>
              </w:rPr>
            </w:pPr>
            <w:r>
              <w:rPr>
                <w:spacing w:val="-2"/>
                <w:sz w:val="21"/>
                <w:szCs w:val="21"/>
              </w:rPr>
              <w:t>220kv</w:t>
            </w:r>
          </w:p>
        </w:tc>
        <w:tc>
          <w:tcPr>
            <w:tcW w:w="2367" w:type="dxa"/>
            <w:vAlign w:val="top"/>
          </w:tcPr>
          <w:p w14:paraId="34122B3F">
            <w:pPr>
              <w:pStyle w:val="6"/>
              <w:spacing w:before="51" w:line="182" w:lineRule="auto"/>
              <w:ind w:left="916"/>
              <w:rPr>
                <w:sz w:val="21"/>
                <w:szCs w:val="21"/>
              </w:rPr>
            </w:pPr>
            <w:r>
              <w:rPr>
                <w:spacing w:val="-2"/>
                <w:sz w:val="21"/>
                <w:szCs w:val="21"/>
              </w:rPr>
              <w:t>220kv</w:t>
            </w:r>
          </w:p>
        </w:tc>
        <w:tc>
          <w:tcPr>
            <w:tcW w:w="1353" w:type="dxa"/>
            <w:vAlign w:val="top"/>
          </w:tcPr>
          <w:p w14:paraId="20D3BCF9">
            <w:pPr>
              <w:pStyle w:val="6"/>
              <w:spacing w:before="32" w:line="199" w:lineRule="auto"/>
              <w:ind w:left="459"/>
              <w:rPr>
                <w:sz w:val="21"/>
                <w:szCs w:val="21"/>
              </w:rPr>
            </w:pPr>
            <w:r>
              <w:rPr>
                <w:spacing w:val="9"/>
                <w:sz w:val="21"/>
                <w:szCs w:val="21"/>
              </w:rPr>
              <w:t>相同</w:t>
            </w:r>
          </w:p>
        </w:tc>
      </w:tr>
      <w:tr w14:paraId="386B5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882" w:type="dxa"/>
            <w:gridSpan w:val="2"/>
            <w:vAlign w:val="top"/>
          </w:tcPr>
          <w:p w14:paraId="796022FC">
            <w:pPr>
              <w:pStyle w:val="6"/>
              <w:spacing w:before="40" w:line="201" w:lineRule="auto"/>
              <w:ind w:left="194"/>
              <w:rPr>
                <w:sz w:val="21"/>
                <w:szCs w:val="21"/>
              </w:rPr>
            </w:pPr>
            <w:r>
              <w:rPr>
                <w:spacing w:val="-2"/>
                <w:sz w:val="21"/>
                <w:szCs w:val="21"/>
              </w:rPr>
              <w:t>变电站布置形式</w:t>
            </w:r>
          </w:p>
        </w:tc>
        <w:tc>
          <w:tcPr>
            <w:tcW w:w="2917" w:type="dxa"/>
            <w:vAlign w:val="top"/>
          </w:tcPr>
          <w:p w14:paraId="7C5A8670">
            <w:pPr>
              <w:pStyle w:val="6"/>
              <w:spacing w:before="42" w:line="199" w:lineRule="auto"/>
              <w:ind w:left="1133"/>
              <w:rPr>
                <w:sz w:val="21"/>
                <w:szCs w:val="21"/>
              </w:rPr>
            </w:pPr>
            <w:r>
              <w:rPr>
                <w:spacing w:val="4"/>
                <w:sz w:val="21"/>
                <w:szCs w:val="21"/>
              </w:rPr>
              <w:t>户外型</w:t>
            </w:r>
          </w:p>
        </w:tc>
        <w:tc>
          <w:tcPr>
            <w:tcW w:w="2367" w:type="dxa"/>
            <w:vAlign w:val="top"/>
          </w:tcPr>
          <w:p w14:paraId="7BF5DEAA">
            <w:pPr>
              <w:pStyle w:val="6"/>
              <w:spacing w:before="42" w:line="199" w:lineRule="auto"/>
              <w:ind w:left="865"/>
              <w:rPr>
                <w:sz w:val="21"/>
                <w:szCs w:val="21"/>
              </w:rPr>
            </w:pPr>
            <w:r>
              <w:rPr>
                <w:spacing w:val="4"/>
                <w:sz w:val="21"/>
                <w:szCs w:val="21"/>
              </w:rPr>
              <w:t>户外型</w:t>
            </w:r>
          </w:p>
        </w:tc>
        <w:tc>
          <w:tcPr>
            <w:tcW w:w="1353" w:type="dxa"/>
            <w:vAlign w:val="top"/>
          </w:tcPr>
          <w:p w14:paraId="7C61538E">
            <w:pPr>
              <w:pStyle w:val="6"/>
              <w:spacing w:before="43" w:line="198" w:lineRule="auto"/>
              <w:ind w:left="459"/>
              <w:rPr>
                <w:sz w:val="21"/>
                <w:szCs w:val="21"/>
              </w:rPr>
            </w:pPr>
            <w:r>
              <w:rPr>
                <w:spacing w:val="9"/>
                <w:sz w:val="21"/>
                <w:szCs w:val="21"/>
              </w:rPr>
              <w:t>相同</w:t>
            </w:r>
          </w:p>
        </w:tc>
      </w:tr>
      <w:tr w14:paraId="7ABB1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83" w:type="dxa"/>
            <w:vMerge w:val="restart"/>
            <w:tcBorders>
              <w:bottom w:val="nil"/>
            </w:tcBorders>
            <w:vAlign w:val="top"/>
          </w:tcPr>
          <w:p w14:paraId="5C283FF7">
            <w:pPr>
              <w:pStyle w:val="6"/>
              <w:spacing w:before="173" w:line="221" w:lineRule="auto"/>
              <w:ind w:left="164"/>
              <w:rPr>
                <w:sz w:val="21"/>
                <w:szCs w:val="21"/>
              </w:rPr>
            </w:pPr>
            <w:r>
              <w:rPr>
                <w:spacing w:val="-2"/>
                <w:sz w:val="21"/>
                <w:szCs w:val="21"/>
              </w:rPr>
              <w:t>主变压器</w:t>
            </w:r>
          </w:p>
        </w:tc>
        <w:tc>
          <w:tcPr>
            <w:tcW w:w="699" w:type="dxa"/>
            <w:vAlign w:val="top"/>
          </w:tcPr>
          <w:p w14:paraId="444A8970">
            <w:pPr>
              <w:pStyle w:val="6"/>
              <w:spacing w:before="32" w:line="190" w:lineRule="auto"/>
              <w:ind w:left="131"/>
              <w:rPr>
                <w:sz w:val="21"/>
                <w:szCs w:val="21"/>
              </w:rPr>
            </w:pPr>
            <w:r>
              <w:rPr>
                <w:spacing w:val="-3"/>
                <w:sz w:val="21"/>
                <w:szCs w:val="21"/>
              </w:rPr>
              <w:t>容量</w:t>
            </w:r>
          </w:p>
        </w:tc>
        <w:tc>
          <w:tcPr>
            <w:tcW w:w="2917" w:type="dxa"/>
            <w:vAlign w:val="top"/>
          </w:tcPr>
          <w:p w14:paraId="04A73834">
            <w:pPr>
              <w:pStyle w:val="6"/>
              <w:spacing w:before="85" w:line="163" w:lineRule="exact"/>
              <w:ind w:left="972"/>
              <w:rPr>
                <w:sz w:val="21"/>
                <w:szCs w:val="21"/>
              </w:rPr>
            </w:pPr>
            <w:r>
              <w:rPr>
                <w:spacing w:val="-3"/>
                <w:position w:val="-3"/>
                <w:sz w:val="21"/>
                <w:szCs w:val="21"/>
              </w:rPr>
              <w:t>1×150MVA</w:t>
            </w:r>
          </w:p>
        </w:tc>
        <w:tc>
          <w:tcPr>
            <w:tcW w:w="2367" w:type="dxa"/>
            <w:vAlign w:val="top"/>
          </w:tcPr>
          <w:p w14:paraId="2B89D96C">
            <w:pPr>
              <w:pStyle w:val="6"/>
              <w:spacing w:before="85" w:line="163" w:lineRule="exact"/>
              <w:ind w:left="705"/>
              <w:rPr>
                <w:sz w:val="21"/>
                <w:szCs w:val="21"/>
              </w:rPr>
            </w:pPr>
            <w:r>
              <w:rPr>
                <w:spacing w:val="-3"/>
                <w:position w:val="-3"/>
                <w:sz w:val="21"/>
                <w:szCs w:val="21"/>
              </w:rPr>
              <w:t>1×180MVA</w:t>
            </w:r>
          </w:p>
        </w:tc>
        <w:tc>
          <w:tcPr>
            <w:tcW w:w="1353" w:type="dxa"/>
            <w:vAlign w:val="top"/>
          </w:tcPr>
          <w:p w14:paraId="6DBA1AF6">
            <w:pPr>
              <w:pStyle w:val="6"/>
              <w:spacing w:before="31" w:line="191" w:lineRule="auto"/>
              <w:ind w:left="149"/>
              <w:rPr>
                <w:sz w:val="21"/>
                <w:szCs w:val="21"/>
              </w:rPr>
            </w:pPr>
            <w:r>
              <w:rPr>
                <w:spacing w:val="8"/>
                <w:sz w:val="21"/>
                <w:szCs w:val="21"/>
              </w:rPr>
              <w:t>大于本项目</w:t>
            </w:r>
          </w:p>
        </w:tc>
      </w:tr>
      <w:tr w14:paraId="1E94D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183" w:type="dxa"/>
            <w:vMerge w:val="continue"/>
            <w:tcBorders>
              <w:top w:val="nil"/>
            </w:tcBorders>
            <w:vAlign w:val="top"/>
          </w:tcPr>
          <w:p w14:paraId="4D0EF0B1">
            <w:pPr>
              <w:rPr>
                <w:rFonts w:ascii="Arial"/>
                <w:sz w:val="21"/>
              </w:rPr>
            </w:pPr>
          </w:p>
        </w:tc>
        <w:tc>
          <w:tcPr>
            <w:tcW w:w="699" w:type="dxa"/>
            <w:vAlign w:val="top"/>
          </w:tcPr>
          <w:p w14:paraId="2A34E00C">
            <w:pPr>
              <w:pStyle w:val="6"/>
              <w:spacing w:before="32" w:line="199" w:lineRule="auto"/>
              <w:ind w:left="131"/>
              <w:rPr>
                <w:sz w:val="21"/>
                <w:szCs w:val="21"/>
              </w:rPr>
            </w:pPr>
            <w:r>
              <w:rPr>
                <w:spacing w:val="-3"/>
                <w:sz w:val="21"/>
                <w:szCs w:val="21"/>
              </w:rPr>
              <w:t>布置</w:t>
            </w:r>
          </w:p>
        </w:tc>
        <w:tc>
          <w:tcPr>
            <w:tcW w:w="2917" w:type="dxa"/>
            <w:vAlign w:val="top"/>
          </w:tcPr>
          <w:p w14:paraId="273561A3">
            <w:pPr>
              <w:pStyle w:val="6"/>
              <w:spacing w:before="32" w:line="199" w:lineRule="auto"/>
              <w:ind w:left="1032"/>
              <w:rPr>
                <w:sz w:val="21"/>
                <w:szCs w:val="21"/>
              </w:rPr>
            </w:pPr>
            <w:r>
              <w:rPr>
                <w:spacing w:val="-2"/>
                <w:sz w:val="21"/>
                <w:szCs w:val="21"/>
              </w:rPr>
              <w:t>户外布置</w:t>
            </w:r>
          </w:p>
        </w:tc>
        <w:tc>
          <w:tcPr>
            <w:tcW w:w="2367" w:type="dxa"/>
            <w:vAlign w:val="top"/>
          </w:tcPr>
          <w:p w14:paraId="2F456E63">
            <w:pPr>
              <w:pStyle w:val="6"/>
              <w:spacing w:before="32" w:line="199" w:lineRule="auto"/>
              <w:ind w:left="755"/>
              <w:rPr>
                <w:sz w:val="21"/>
                <w:szCs w:val="21"/>
              </w:rPr>
            </w:pPr>
            <w:r>
              <w:rPr>
                <w:spacing w:val="-2"/>
                <w:sz w:val="21"/>
                <w:szCs w:val="21"/>
              </w:rPr>
              <w:t>户外布置</w:t>
            </w:r>
          </w:p>
        </w:tc>
        <w:tc>
          <w:tcPr>
            <w:tcW w:w="1353" w:type="dxa"/>
            <w:vAlign w:val="top"/>
          </w:tcPr>
          <w:p w14:paraId="27B1B8AE">
            <w:pPr>
              <w:pStyle w:val="6"/>
              <w:spacing w:before="36" w:line="196" w:lineRule="auto"/>
              <w:ind w:left="459"/>
              <w:rPr>
                <w:sz w:val="21"/>
                <w:szCs w:val="21"/>
              </w:rPr>
            </w:pPr>
            <w:r>
              <w:rPr>
                <w:spacing w:val="9"/>
                <w:sz w:val="21"/>
                <w:szCs w:val="21"/>
              </w:rPr>
              <w:t>相同</w:t>
            </w:r>
          </w:p>
        </w:tc>
      </w:tr>
      <w:tr w14:paraId="21394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882" w:type="dxa"/>
            <w:gridSpan w:val="2"/>
            <w:vAlign w:val="top"/>
          </w:tcPr>
          <w:p w14:paraId="7561E768">
            <w:pPr>
              <w:pStyle w:val="6"/>
              <w:spacing w:before="44" w:line="197" w:lineRule="auto"/>
              <w:ind w:left="454"/>
              <w:rPr>
                <w:sz w:val="21"/>
                <w:szCs w:val="21"/>
              </w:rPr>
            </w:pPr>
            <w:r>
              <w:rPr>
                <w:spacing w:val="3"/>
                <w:sz w:val="21"/>
                <w:szCs w:val="21"/>
              </w:rPr>
              <w:t>220</w:t>
            </w:r>
            <w:r>
              <w:rPr>
                <w:sz w:val="21"/>
                <w:szCs w:val="21"/>
              </w:rPr>
              <w:t>kv</w:t>
            </w:r>
            <w:r>
              <w:rPr>
                <w:spacing w:val="3"/>
                <w:sz w:val="21"/>
                <w:szCs w:val="21"/>
              </w:rPr>
              <w:t>出线</w:t>
            </w:r>
          </w:p>
        </w:tc>
        <w:tc>
          <w:tcPr>
            <w:tcW w:w="2917" w:type="dxa"/>
            <w:vAlign w:val="top"/>
          </w:tcPr>
          <w:p w14:paraId="4EA9641A">
            <w:pPr>
              <w:pStyle w:val="6"/>
              <w:spacing w:before="48" w:line="194" w:lineRule="auto"/>
              <w:ind w:left="1292"/>
              <w:rPr>
                <w:sz w:val="21"/>
                <w:szCs w:val="21"/>
              </w:rPr>
            </w:pPr>
            <w:r>
              <w:rPr>
                <w:spacing w:val="8"/>
                <w:sz w:val="21"/>
                <w:szCs w:val="21"/>
              </w:rPr>
              <w:t>1回</w:t>
            </w:r>
          </w:p>
        </w:tc>
        <w:tc>
          <w:tcPr>
            <w:tcW w:w="2367" w:type="dxa"/>
            <w:vAlign w:val="top"/>
          </w:tcPr>
          <w:p w14:paraId="77909D26">
            <w:pPr>
              <w:pStyle w:val="6"/>
              <w:spacing w:before="48" w:line="194" w:lineRule="auto"/>
              <w:ind w:left="1015"/>
              <w:rPr>
                <w:sz w:val="21"/>
                <w:szCs w:val="21"/>
              </w:rPr>
            </w:pPr>
            <w:r>
              <w:rPr>
                <w:spacing w:val="-12"/>
                <w:sz w:val="21"/>
                <w:szCs w:val="21"/>
              </w:rPr>
              <w:t>1</w:t>
            </w:r>
            <w:r>
              <w:rPr>
                <w:spacing w:val="-25"/>
                <w:sz w:val="21"/>
                <w:szCs w:val="21"/>
              </w:rPr>
              <w:t xml:space="preserve"> </w:t>
            </w:r>
            <w:r>
              <w:rPr>
                <w:spacing w:val="-12"/>
                <w:sz w:val="21"/>
                <w:szCs w:val="21"/>
              </w:rPr>
              <w:t>回</w:t>
            </w:r>
          </w:p>
        </w:tc>
        <w:tc>
          <w:tcPr>
            <w:tcW w:w="1353" w:type="dxa"/>
            <w:vAlign w:val="top"/>
          </w:tcPr>
          <w:p w14:paraId="7CD1E10D">
            <w:pPr>
              <w:pStyle w:val="6"/>
              <w:spacing w:before="47" w:line="195" w:lineRule="auto"/>
              <w:ind w:left="459"/>
              <w:rPr>
                <w:sz w:val="21"/>
                <w:szCs w:val="21"/>
              </w:rPr>
            </w:pPr>
            <w:r>
              <w:rPr>
                <w:spacing w:val="9"/>
                <w:sz w:val="21"/>
                <w:szCs w:val="21"/>
              </w:rPr>
              <w:t>相同</w:t>
            </w:r>
          </w:p>
        </w:tc>
      </w:tr>
      <w:tr w14:paraId="73940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882" w:type="dxa"/>
            <w:gridSpan w:val="2"/>
            <w:vAlign w:val="top"/>
          </w:tcPr>
          <w:p w14:paraId="418A0317">
            <w:pPr>
              <w:pStyle w:val="6"/>
              <w:spacing w:before="36" w:line="196" w:lineRule="auto"/>
              <w:ind w:left="514"/>
              <w:rPr>
                <w:sz w:val="21"/>
                <w:szCs w:val="21"/>
              </w:rPr>
            </w:pPr>
            <w:r>
              <w:rPr>
                <w:spacing w:val="-2"/>
                <w:sz w:val="21"/>
                <w:szCs w:val="21"/>
              </w:rPr>
              <w:t>架线方式</w:t>
            </w:r>
          </w:p>
        </w:tc>
        <w:tc>
          <w:tcPr>
            <w:tcW w:w="2917" w:type="dxa"/>
            <w:vAlign w:val="top"/>
          </w:tcPr>
          <w:p w14:paraId="22899F91">
            <w:pPr>
              <w:pStyle w:val="6"/>
              <w:spacing w:before="36" w:line="196" w:lineRule="auto"/>
              <w:ind w:left="1032"/>
              <w:rPr>
                <w:sz w:val="21"/>
                <w:szCs w:val="21"/>
              </w:rPr>
            </w:pPr>
            <w:r>
              <w:rPr>
                <w:spacing w:val="3"/>
                <w:sz w:val="21"/>
                <w:szCs w:val="21"/>
              </w:rPr>
              <w:t>架空出线</w:t>
            </w:r>
          </w:p>
        </w:tc>
        <w:tc>
          <w:tcPr>
            <w:tcW w:w="2367" w:type="dxa"/>
            <w:vAlign w:val="top"/>
          </w:tcPr>
          <w:p w14:paraId="798A77DF">
            <w:pPr>
              <w:pStyle w:val="6"/>
              <w:spacing w:before="36" w:line="196" w:lineRule="auto"/>
              <w:ind w:left="755"/>
              <w:rPr>
                <w:sz w:val="21"/>
                <w:szCs w:val="21"/>
              </w:rPr>
            </w:pPr>
            <w:r>
              <w:rPr>
                <w:spacing w:val="3"/>
                <w:sz w:val="21"/>
                <w:szCs w:val="21"/>
              </w:rPr>
              <w:t>架空出线</w:t>
            </w:r>
          </w:p>
        </w:tc>
        <w:tc>
          <w:tcPr>
            <w:tcW w:w="1353" w:type="dxa"/>
            <w:vAlign w:val="top"/>
          </w:tcPr>
          <w:p w14:paraId="3837DF95">
            <w:pPr>
              <w:pStyle w:val="6"/>
              <w:spacing w:before="38" w:line="194" w:lineRule="auto"/>
              <w:ind w:left="459"/>
              <w:rPr>
                <w:sz w:val="21"/>
                <w:szCs w:val="21"/>
              </w:rPr>
            </w:pPr>
            <w:r>
              <w:rPr>
                <w:spacing w:val="9"/>
                <w:sz w:val="21"/>
                <w:szCs w:val="21"/>
              </w:rPr>
              <w:t>相同</w:t>
            </w:r>
          </w:p>
        </w:tc>
      </w:tr>
      <w:tr w14:paraId="52AB7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882" w:type="dxa"/>
            <w:gridSpan w:val="2"/>
            <w:vAlign w:val="top"/>
          </w:tcPr>
          <w:p w14:paraId="425E6317">
            <w:pPr>
              <w:pStyle w:val="6"/>
              <w:spacing w:before="47" w:line="196" w:lineRule="auto"/>
              <w:ind w:left="194"/>
              <w:rPr>
                <w:sz w:val="21"/>
                <w:szCs w:val="21"/>
              </w:rPr>
            </w:pPr>
            <w:r>
              <w:rPr>
                <w:spacing w:val="1"/>
                <w:sz w:val="21"/>
                <w:szCs w:val="21"/>
              </w:rPr>
              <w:t>变电站占地面积</w:t>
            </w:r>
          </w:p>
        </w:tc>
        <w:tc>
          <w:tcPr>
            <w:tcW w:w="2917" w:type="dxa"/>
            <w:vAlign w:val="top"/>
          </w:tcPr>
          <w:p w14:paraId="5F6FE9A7">
            <w:pPr>
              <w:pStyle w:val="6"/>
              <w:spacing w:before="67" w:line="178" w:lineRule="auto"/>
              <w:ind w:left="1032"/>
              <w:rPr>
                <w:sz w:val="21"/>
                <w:szCs w:val="21"/>
              </w:rPr>
            </w:pPr>
            <w:r>
              <w:rPr>
                <w:spacing w:val="-3"/>
                <w:sz w:val="21"/>
                <w:szCs w:val="21"/>
              </w:rPr>
              <w:t>11014m²</w:t>
            </w:r>
          </w:p>
        </w:tc>
        <w:tc>
          <w:tcPr>
            <w:tcW w:w="2367" w:type="dxa"/>
            <w:vAlign w:val="top"/>
          </w:tcPr>
          <w:p w14:paraId="66BB7428">
            <w:pPr>
              <w:pStyle w:val="6"/>
              <w:spacing w:before="67" w:line="178" w:lineRule="auto"/>
              <w:ind w:left="805"/>
              <w:rPr>
                <w:sz w:val="21"/>
                <w:szCs w:val="21"/>
              </w:rPr>
            </w:pPr>
            <w:r>
              <w:rPr>
                <w:spacing w:val="-2"/>
                <w:sz w:val="21"/>
                <w:szCs w:val="21"/>
              </w:rPr>
              <w:t>7000m²</w:t>
            </w:r>
          </w:p>
        </w:tc>
        <w:tc>
          <w:tcPr>
            <w:tcW w:w="1353" w:type="dxa"/>
            <w:vAlign w:val="top"/>
          </w:tcPr>
          <w:p w14:paraId="7A31609A">
            <w:pPr>
              <w:pStyle w:val="6"/>
              <w:spacing w:before="47" w:line="196" w:lineRule="auto"/>
              <w:ind w:left="248"/>
              <w:rPr>
                <w:sz w:val="21"/>
                <w:szCs w:val="21"/>
              </w:rPr>
            </w:pPr>
            <w:r>
              <w:rPr>
                <w:spacing w:val="-2"/>
                <w:sz w:val="21"/>
                <w:szCs w:val="21"/>
              </w:rPr>
              <w:t>相差不大</w:t>
            </w:r>
          </w:p>
        </w:tc>
      </w:tr>
      <w:tr w14:paraId="37093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82" w:type="dxa"/>
            <w:gridSpan w:val="2"/>
            <w:vAlign w:val="top"/>
          </w:tcPr>
          <w:p w14:paraId="435B51EB">
            <w:pPr>
              <w:pStyle w:val="6"/>
              <w:spacing w:before="157" w:line="220" w:lineRule="auto"/>
              <w:ind w:left="194"/>
              <w:rPr>
                <w:sz w:val="21"/>
                <w:szCs w:val="21"/>
              </w:rPr>
            </w:pPr>
            <w:r>
              <w:rPr>
                <w:spacing w:val="1"/>
                <w:sz w:val="21"/>
                <w:szCs w:val="21"/>
              </w:rPr>
              <w:t>主变与围墙距离</w:t>
            </w:r>
          </w:p>
        </w:tc>
        <w:tc>
          <w:tcPr>
            <w:tcW w:w="2917" w:type="dxa"/>
            <w:vAlign w:val="top"/>
          </w:tcPr>
          <w:p w14:paraId="196960E6">
            <w:pPr>
              <w:pStyle w:val="6"/>
              <w:spacing w:before="28" w:line="207" w:lineRule="auto"/>
              <w:ind w:left="921" w:right="501" w:hanging="419"/>
              <w:rPr>
                <w:sz w:val="21"/>
                <w:szCs w:val="21"/>
              </w:rPr>
            </w:pPr>
            <w:r>
              <w:rPr>
                <w:spacing w:val="1"/>
                <w:sz w:val="21"/>
                <w:szCs w:val="21"/>
              </w:rPr>
              <w:t>主变与四周围墙距离</w:t>
            </w:r>
            <w:r>
              <w:rPr>
                <w:spacing w:val="2"/>
                <w:sz w:val="21"/>
                <w:szCs w:val="21"/>
              </w:rPr>
              <w:t xml:space="preserve"> </w:t>
            </w:r>
            <w:r>
              <w:rPr>
                <w:spacing w:val="-1"/>
                <w:sz w:val="21"/>
                <w:szCs w:val="21"/>
              </w:rPr>
              <w:t>约21~44.5m</w:t>
            </w:r>
          </w:p>
        </w:tc>
        <w:tc>
          <w:tcPr>
            <w:tcW w:w="2367" w:type="dxa"/>
            <w:vAlign w:val="top"/>
          </w:tcPr>
          <w:p w14:paraId="7B40A449">
            <w:pPr>
              <w:pStyle w:val="6"/>
              <w:spacing w:before="57" w:line="194" w:lineRule="auto"/>
              <w:ind w:left="865" w:right="112" w:hanging="739"/>
              <w:rPr>
                <w:sz w:val="21"/>
                <w:szCs w:val="21"/>
              </w:rPr>
            </w:pPr>
            <w:r>
              <w:rPr>
                <w:spacing w:val="1"/>
                <w:sz w:val="21"/>
                <w:szCs w:val="21"/>
              </w:rPr>
              <w:t>主变与四周围墙距离约</w:t>
            </w:r>
            <w:r>
              <w:rPr>
                <w:spacing w:val="7"/>
                <w:sz w:val="21"/>
                <w:szCs w:val="21"/>
              </w:rPr>
              <w:t xml:space="preserve"> </w:t>
            </w:r>
            <w:r>
              <w:rPr>
                <w:spacing w:val="-2"/>
                <w:sz w:val="21"/>
                <w:szCs w:val="21"/>
              </w:rPr>
              <w:t>25~40m</w:t>
            </w:r>
          </w:p>
        </w:tc>
        <w:tc>
          <w:tcPr>
            <w:tcW w:w="1353" w:type="dxa"/>
            <w:vAlign w:val="top"/>
          </w:tcPr>
          <w:p w14:paraId="227FD8D9">
            <w:pPr>
              <w:pStyle w:val="6"/>
              <w:spacing w:before="157" w:line="220" w:lineRule="auto"/>
              <w:ind w:left="248"/>
              <w:rPr>
                <w:sz w:val="21"/>
                <w:szCs w:val="21"/>
              </w:rPr>
            </w:pPr>
            <w:r>
              <w:rPr>
                <w:spacing w:val="-2"/>
                <w:sz w:val="21"/>
                <w:szCs w:val="21"/>
              </w:rPr>
              <w:t>相差不大</w:t>
            </w:r>
          </w:p>
        </w:tc>
      </w:tr>
      <w:tr w14:paraId="7BFE2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1882" w:type="dxa"/>
            <w:gridSpan w:val="2"/>
            <w:vAlign w:val="top"/>
          </w:tcPr>
          <w:p w14:paraId="3B2499BF">
            <w:pPr>
              <w:spacing w:line="246" w:lineRule="auto"/>
              <w:rPr>
                <w:rFonts w:ascii="Arial"/>
                <w:sz w:val="21"/>
              </w:rPr>
            </w:pPr>
          </w:p>
          <w:p w14:paraId="709546B6">
            <w:pPr>
              <w:pStyle w:val="6"/>
              <w:spacing w:before="68" w:line="219" w:lineRule="auto"/>
              <w:ind w:left="404"/>
              <w:rPr>
                <w:sz w:val="21"/>
                <w:szCs w:val="21"/>
              </w:rPr>
            </w:pPr>
            <w:r>
              <w:rPr>
                <w:spacing w:val="1"/>
                <w:sz w:val="21"/>
                <w:szCs w:val="21"/>
              </w:rPr>
              <w:t>总平面布置</w:t>
            </w:r>
          </w:p>
        </w:tc>
        <w:tc>
          <w:tcPr>
            <w:tcW w:w="2917" w:type="dxa"/>
            <w:vAlign w:val="top"/>
          </w:tcPr>
          <w:p w14:paraId="4411C6CB">
            <w:pPr>
              <w:pStyle w:val="6"/>
              <w:spacing w:before="28" w:line="221" w:lineRule="auto"/>
              <w:ind w:left="83"/>
              <w:rPr>
                <w:sz w:val="21"/>
                <w:szCs w:val="21"/>
              </w:rPr>
            </w:pPr>
            <w:r>
              <w:rPr>
                <w:spacing w:val="-1"/>
                <w:sz w:val="21"/>
                <w:szCs w:val="21"/>
              </w:rPr>
              <w:t>变电站整体平面呈矩形，占地</w:t>
            </w:r>
          </w:p>
          <w:p w14:paraId="74CB2749">
            <w:pPr>
              <w:pStyle w:val="6"/>
              <w:spacing w:before="36" w:line="219" w:lineRule="auto"/>
              <w:ind w:left="83"/>
              <w:rPr>
                <w:sz w:val="21"/>
                <w:szCs w:val="21"/>
              </w:rPr>
            </w:pPr>
            <w:r>
              <w:rPr>
                <w:spacing w:val="8"/>
                <w:sz w:val="21"/>
                <w:szCs w:val="21"/>
              </w:rPr>
              <w:t>约1.1014</w:t>
            </w:r>
            <w:r>
              <w:rPr>
                <w:sz w:val="21"/>
                <w:szCs w:val="21"/>
              </w:rPr>
              <w:t>hm</w:t>
            </w:r>
            <w:r>
              <w:rPr>
                <w:spacing w:val="8"/>
                <w:sz w:val="21"/>
                <w:szCs w:val="21"/>
              </w:rPr>
              <w:t>²。配电装置采用</w:t>
            </w:r>
          </w:p>
          <w:p w14:paraId="36B2398B">
            <w:pPr>
              <w:pStyle w:val="6"/>
              <w:spacing w:before="31" w:line="190" w:lineRule="auto"/>
              <w:ind w:left="293"/>
              <w:rPr>
                <w:sz w:val="21"/>
                <w:szCs w:val="21"/>
              </w:rPr>
            </w:pPr>
            <w:r>
              <w:rPr>
                <w:spacing w:val="-1"/>
                <w:sz w:val="21"/>
                <w:szCs w:val="21"/>
              </w:rPr>
              <w:t>户外GIS和SVG成套装置布</w:t>
            </w:r>
          </w:p>
        </w:tc>
        <w:tc>
          <w:tcPr>
            <w:tcW w:w="2367" w:type="dxa"/>
            <w:vAlign w:val="top"/>
          </w:tcPr>
          <w:p w14:paraId="4A814752">
            <w:pPr>
              <w:pStyle w:val="6"/>
              <w:spacing w:before="17" w:line="255" w:lineRule="auto"/>
              <w:ind w:left="126" w:right="138"/>
              <w:rPr>
                <w:sz w:val="21"/>
                <w:szCs w:val="21"/>
              </w:rPr>
            </w:pPr>
            <w:r>
              <w:rPr>
                <w:spacing w:val="-1"/>
                <w:sz w:val="21"/>
                <w:szCs w:val="21"/>
              </w:rPr>
              <w:t>升压站西南侧布置综合</w:t>
            </w:r>
            <w:r>
              <w:rPr>
                <w:sz w:val="21"/>
                <w:szCs w:val="21"/>
              </w:rPr>
              <w:t xml:space="preserve"> </w:t>
            </w:r>
            <w:r>
              <w:rPr>
                <w:spacing w:val="-1"/>
                <w:sz w:val="21"/>
                <w:szCs w:val="21"/>
              </w:rPr>
              <w:t>楼及辅助用房，东侧布</w:t>
            </w:r>
          </w:p>
          <w:p w14:paraId="7360CAD4">
            <w:pPr>
              <w:pStyle w:val="6"/>
              <w:spacing w:line="189" w:lineRule="auto"/>
              <w:ind w:left="126"/>
              <w:rPr>
                <w:sz w:val="21"/>
                <w:szCs w:val="21"/>
              </w:rPr>
            </w:pPr>
            <w:r>
              <w:rPr>
                <w:spacing w:val="10"/>
                <w:sz w:val="21"/>
                <w:szCs w:val="21"/>
              </w:rPr>
              <w:t>置生产预制舱、主变、</w:t>
            </w:r>
          </w:p>
        </w:tc>
        <w:tc>
          <w:tcPr>
            <w:tcW w:w="1353" w:type="dxa"/>
            <w:vAlign w:val="top"/>
          </w:tcPr>
          <w:p w14:paraId="1FFBA393">
            <w:pPr>
              <w:spacing w:line="248" w:lineRule="auto"/>
              <w:rPr>
                <w:rFonts w:ascii="Arial"/>
                <w:sz w:val="21"/>
              </w:rPr>
            </w:pPr>
          </w:p>
          <w:p w14:paraId="20A5D6B8">
            <w:pPr>
              <w:pStyle w:val="6"/>
              <w:spacing w:before="68" w:line="220" w:lineRule="auto"/>
              <w:ind w:left="459"/>
              <w:rPr>
                <w:sz w:val="21"/>
                <w:szCs w:val="21"/>
              </w:rPr>
            </w:pPr>
            <w:r>
              <w:rPr>
                <w:spacing w:val="-3"/>
                <w:sz w:val="21"/>
                <w:szCs w:val="21"/>
              </w:rPr>
              <w:t>相似</w:t>
            </w:r>
          </w:p>
        </w:tc>
      </w:tr>
    </w:tbl>
    <w:p w14:paraId="31055741">
      <w:pPr>
        <w:pStyle w:val="2"/>
      </w:pPr>
    </w:p>
    <w:p w14:paraId="7C80F8D2">
      <w:pPr>
        <w:sectPr>
          <w:footerReference r:id="rId146" w:type="default"/>
          <w:pgSz w:w="11910" w:h="16830"/>
          <w:pgMar w:top="1400" w:right="1705" w:bottom="1035" w:left="1675" w:header="0" w:footer="873" w:gutter="0"/>
          <w:cols w:space="720" w:num="1"/>
        </w:sectPr>
      </w:pPr>
    </w:p>
    <w:tbl>
      <w:tblPr>
        <w:tblStyle w:val="5"/>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93"/>
        <w:gridCol w:w="2906"/>
        <w:gridCol w:w="2367"/>
        <w:gridCol w:w="1363"/>
      </w:tblGrid>
      <w:tr w14:paraId="40B45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1893" w:type="dxa"/>
            <w:vAlign w:val="top"/>
          </w:tcPr>
          <w:p w14:paraId="2DE614E8">
            <w:pPr>
              <w:rPr>
                <w:rFonts w:ascii="Arial"/>
                <w:sz w:val="21"/>
              </w:rPr>
            </w:pPr>
          </w:p>
        </w:tc>
        <w:tc>
          <w:tcPr>
            <w:tcW w:w="2906" w:type="dxa"/>
            <w:vAlign w:val="top"/>
          </w:tcPr>
          <w:p w14:paraId="39436635">
            <w:pPr>
              <w:pStyle w:val="6"/>
              <w:spacing w:before="32" w:line="219" w:lineRule="auto"/>
              <w:ind w:left="81"/>
              <w:rPr>
                <w:sz w:val="21"/>
                <w:szCs w:val="21"/>
              </w:rPr>
            </w:pPr>
            <w:r>
              <w:rPr>
                <w:spacing w:val="-1"/>
                <w:sz w:val="21"/>
                <w:szCs w:val="21"/>
              </w:rPr>
              <w:t>置在站区的两侧；配电室布置</w:t>
            </w:r>
          </w:p>
          <w:p w14:paraId="5241A2C9">
            <w:pPr>
              <w:pStyle w:val="6"/>
              <w:spacing w:before="20" w:line="219" w:lineRule="auto"/>
              <w:ind w:left="81"/>
              <w:rPr>
                <w:sz w:val="21"/>
                <w:szCs w:val="21"/>
              </w:rPr>
            </w:pPr>
            <w:r>
              <w:rPr>
                <w:spacing w:val="-1"/>
                <w:sz w:val="21"/>
                <w:szCs w:val="21"/>
              </w:rPr>
              <w:t>在中部；主变压器布置在配电</w:t>
            </w:r>
          </w:p>
          <w:p w14:paraId="1340A083">
            <w:pPr>
              <w:pStyle w:val="6"/>
              <w:spacing w:before="40" w:line="219" w:lineRule="auto"/>
              <w:ind w:left="81"/>
              <w:rPr>
                <w:sz w:val="21"/>
                <w:szCs w:val="21"/>
              </w:rPr>
            </w:pPr>
            <w:r>
              <w:rPr>
                <w:sz w:val="21"/>
                <w:szCs w:val="21"/>
              </w:rPr>
              <w:t>室南侧；生活楼及附属用房布</w:t>
            </w:r>
          </w:p>
          <w:p w14:paraId="570BD73B">
            <w:pPr>
              <w:pStyle w:val="6"/>
              <w:spacing w:before="10" w:line="219" w:lineRule="auto"/>
              <w:ind w:left="81"/>
              <w:rPr>
                <w:sz w:val="21"/>
                <w:szCs w:val="21"/>
              </w:rPr>
            </w:pPr>
            <w:r>
              <w:rPr>
                <w:spacing w:val="-1"/>
                <w:sz w:val="21"/>
                <w:szCs w:val="21"/>
              </w:rPr>
              <w:t>置在变压器东侧。站内道路采</w:t>
            </w:r>
          </w:p>
          <w:p w14:paraId="39564AA0">
            <w:pPr>
              <w:pStyle w:val="6"/>
              <w:spacing w:before="33" w:line="219" w:lineRule="auto"/>
              <w:ind w:left="81"/>
              <w:rPr>
                <w:sz w:val="21"/>
                <w:szCs w:val="21"/>
              </w:rPr>
            </w:pPr>
            <w:r>
              <w:rPr>
                <w:sz w:val="21"/>
                <w:szCs w:val="21"/>
              </w:rPr>
              <w:t>用公路型混凝土路面。站内电</w:t>
            </w:r>
          </w:p>
          <w:p w14:paraId="1620BC65">
            <w:pPr>
              <w:pStyle w:val="6"/>
              <w:spacing w:before="19" w:line="219" w:lineRule="auto"/>
              <w:ind w:left="181"/>
              <w:rPr>
                <w:sz w:val="21"/>
                <w:szCs w:val="21"/>
              </w:rPr>
            </w:pPr>
            <w:r>
              <w:rPr>
                <w:spacing w:val="-1"/>
                <w:sz w:val="21"/>
                <w:szCs w:val="21"/>
              </w:rPr>
              <w:t>缆沟采用嵌入式镀锌角钢包</w:t>
            </w:r>
          </w:p>
          <w:p w14:paraId="774A043A">
            <w:pPr>
              <w:pStyle w:val="6"/>
              <w:spacing w:before="42" w:line="189" w:lineRule="auto"/>
              <w:ind w:left="342"/>
              <w:rPr>
                <w:sz w:val="21"/>
                <w:szCs w:val="21"/>
              </w:rPr>
            </w:pPr>
            <w:r>
              <w:rPr>
                <w:spacing w:val="-1"/>
                <w:sz w:val="21"/>
                <w:szCs w:val="21"/>
              </w:rPr>
              <w:t>边预制钢筋混凝土盖板。</w:t>
            </w:r>
          </w:p>
        </w:tc>
        <w:tc>
          <w:tcPr>
            <w:tcW w:w="2367" w:type="dxa"/>
            <w:vAlign w:val="top"/>
          </w:tcPr>
          <w:p w14:paraId="6046A7AC">
            <w:pPr>
              <w:pStyle w:val="6"/>
              <w:spacing w:before="34" w:line="220" w:lineRule="auto"/>
              <w:ind w:left="126"/>
              <w:rPr>
                <w:sz w:val="21"/>
                <w:szCs w:val="21"/>
              </w:rPr>
            </w:pPr>
            <w:r>
              <w:rPr>
                <w:spacing w:val="-1"/>
                <w:sz w:val="21"/>
                <w:szCs w:val="21"/>
              </w:rPr>
              <w:t>事故油池、无功装置及</w:t>
            </w:r>
          </w:p>
          <w:p w14:paraId="27544291">
            <w:pPr>
              <w:pStyle w:val="6"/>
              <w:spacing w:before="29" w:line="220" w:lineRule="auto"/>
              <w:ind w:left="175"/>
              <w:rPr>
                <w:sz w:val="21"/>
                <w:szCs w:val="21"/>
              </w:rPr>
            </w:pPr>
            <w:r>
              <w:rPr>
                <w:spacing w:val="1"/>
                <w:sz w:val="21"/>
                <w:szCs w:val="21"/>
              </w:rPr>
              <w:t>室外</w:t>
            </w:r>
            <w:r>
              <w:rPr>
                <w:sz w:val="21"/>
                <w:szCs w:val="21"/>
              </w:rPr>
              <w:t>GIS</w:t>
            </w:r>
            <w:r>
              <w:rPr>
                <w:spacing w:val="1"/>
                <w:sz w:val="21"/>
                <w:szCs w:val="21"/>
              </w:rPr>
              <w:t>。各电气设备</w:t>
            </w:r>
          </w:p>
          <w:p w14:paraId="00F5F05F">
            <w:pPr>
              <w:pStyle w:val="6"/>
              <w:spacing w:before="9" w:line="219" w:lineRule="auto"/>
              <w:ind w:left="175"/>
              <w:rPr>
                <w:sz w:val="21"/>
                <w:szCs w:val="21"/>
              </w:rPr>
            </w:pPr>
            <w:r>
              <w:rPr>
                <w:sz w:val="21"/>
                <w:szCs w:val="21"/>
              </w:rPr>
              <w:t>之间通过电缆沟连接。</w:t>
            </w:r>
          </w:p>
          <w:p w14:paraId="461761CA">
            <w:pPr>
              <w:pStyle w:val="6"/>
              <w:spacing w:before="31" w:line="220" w:lineRule="auto"/>
              <w:ind w:left="175"/>
              <w:rPr>
                <w:sz w:val="21"/>
                <w:szCs w:val="21"/>
              </w:rPr>
            </w:pPr>
            <w:r>
              <w:rPr>
                <w:sz w:val="21"/>
                <w:szCs w:val="21"/>
              </w:rPr>
              <w:t>生活区四周适当绿化，</w:t>
            </w:r>
          </w:p>
          <w:p w14:paraId="120A0673">
            <w:pPr>
              <w:pStyle w:val="6"/>
              <w:spacing w:before="29" w:line="219" w:lineRule="auto"/>
              <w:ind w:left="235"/>
              <w:rPr>
                <w:sz w:val="21"/>
                <w:szCs w:val="21"/>
              </w:rPr>
            </w:pPr>
            <w:r>
              <w:rPr>
                <w:spacing w:val="-1"/>
                <w:sz w:val="21"/>
                <w:szCs w:val="21"/>
              </w:rPr>
              <w:t>升压站四周设2.3m高</w:t>
            </w:r>
          </w:p>
          <w:p w14:paraId="1B8C92B7">
            <w:pPr>
              <w:pStyle w:val="6"/>
              <w:spacing w:before="31" w:line="220" w:lineRule="auto"/>
              <w:ind w:left="705"/>
              <w:rPr>
                <w:sz w:val="21"/>
                <w:szCs w:val="21"/>
              </w:rPr>
            </w:pPr>
            <w:r>
              <w:rPr>
                <w:spacing w:val="-1"/>
                <w:sz w:val="21"/>
                <w:szCs w:val="21"/>
              </w:rPr>
              <w:t>砖砌围墙。</w:t>
            </w:r>
          </w:p>
        </w:tc>
        <w:tc>
          <w:tcPr>
            <w:tcW w:w="1363" w:type="dxa"/>
            <w:vAlign w:val="top"/>
          </w:tcPr>
          <w:p w14:paraId="389E8F2D">
            <w:pPr>
              <w:rPr>
                <w:rFonts w:ascii="Arial"/>
                <w:sz w:val="21"/>
              </w:rPr>
            </w:pPr>
          </w:p>
        </w:tc>
      </w:tr>
      <w:tr w14:paraId="29555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1893" w:type="dxa"/>
            <w:vAlign w:val="top"/>
          </w:tcPr>
          <w:p w14:paraId="60511218">
            <w:pPr>
              <w:pStyle w:val="6"/>
              <w:spacing w:before="306" w:line="220" w:lineRule="auto"/>
              <w:ind w:left="504"/>
              <w:rPr>
                <w:sz w:val="21"/>
                <w:szCs w:val="21"/>
              </w:rPr>
            </w:pPr>
            <w:r>
              <w:rPr>
                <w:spacing w:val="-2"/>
                <w:sz w:val="21"/>
                <w:szCs w:val="21"/>
              </w:rPr>
              <w:t>周边环境</w:t>
            </w:r>
          </w:p>
        </w:tc>
        <w:tc>
          <w:tcPr>
            <w:tcW w:w="2906" w:type="dxa"/>
            <w:vAlign w:val="top"/>
          </w:tcPr>
          <w:p w14:paraId="3C3B2145">
            <w:pPr>
              <w:pStyle w:val="6"/>
              <w:spacing w:before="164" w:line="247" w:lineRule="auto"/>
              <w:ind w:left="501" w:right="92" w:hanging="420"/>
              <w:rPr>
                <w:sz w:val="21"/>
                <w:szCs w:val="21"/>
              </w:rPr>
            </w:pPr>
            <w:r>
              <w:rPr>
                <w:spacing w:val="-1"/>
                <w:sz w:val="21"/>
                <w:szCs w:val="21"/>
              </w:rPr>
              <w:t>农村地区，升压站外电磁环境</w:t>
            </w:r>
            <w:r>
              <w:rPr>
                <w:spacing w:val="3"/>
                <w:sz w:val="21"/>
                <w:szCs w:val="21"/>
              </w:rPr>
              <w:t xml:space="preserve"> </w:t>
            </w:r>
            <w:r>
              <w:rPr>
                <w:spacing w:val="2"/>
                <w:sz w:val="21"/>
                <w:szCs w:val="21"/>
              </w:rPr>
              <w:t>评价范围内无敏感点</w:t>
            </w:r>
          </w:p>
        </w:tc>
        <w:tc>
          <w:tcPr>
            <w:tcW w:w="2367" w:type="dxa"/>
            <w:vAlign w:val="top"/>
          </w:tcPr>
          <w:p w14:paraId="40CAB21B">
            <w:pPr>
              <w:pStyle w:val="6"/>
              <w:spacing w:before="24" w:line="219" w:lineRule="auto"/>
              <w:ind w:left="126"/>
              <w:rPr>
                <w:sz w:val="21"/>
                <w:szCs w:val="21"/>
              </w:rPr>
            </w:pPr>
            <w:r>
              <w:rPr>
                <w:spacing w:val="1"/>
                <w:sz w:val="21"/>
                <w:szCs w:val="21"/>
              </w:rPr>
              <w:t>农村地区，升压站外电</w:t>
            </w:r>
          </w:p>
          <w:p w14:paraId="5E83FB54">
            <w:pPr>
              <w:pStyle w:val="6"/>
              <w:spacing w:before="30" w:line="218" w:lineRule="auto"/>
              <w:ind w:left="126"/>
              <w:rPr>
                <w:sz w:val="21"/>
                <w:szCs w:val="21"/>
              </w:rPr>
            </w:pPr>
            <w:r>
              <w:rPr>
                <w:spacing w:val="-1"/>
                <w:sz w:val="21"/>
                <w:szCs w:val="21"/>
              </w:rPr>
              <w:t>磁环境评价范围内无敏</w:t>
            </w:r>
          </w:p>
          <w:p w14:paraId="0D2379AD">
            <w:pPr>
              <w:pStyle w:val="6"/>
              <w:spacing w:before="28" w:line="195" w:lineRule="auto"/>
              <w:ind w:left="965"/>
              <w:rPr>
                <w:sz w:val="21"/>
                <w:szCs w:val="21"/>
              </w:rPr>
            </w:pPr>
            <w:r>
              <w:rPr>
                <w:spacing w:val="9"/>
                <w:sz w:val="21"/>
                <w:szCs w:val="21"/>
              </w:rPr>
              <w:t>感点</w:t>
            </w:r>
          </w:p>
        </w:tc>
        <w:tc>
          <w:tcPr>
            <w:tcW w:w="1363" w:type="dxa"/>
            <w:vAlign w:val="top"/>
          </w:tcPr>
          <w:p w14:paraId="7665BDE2">
            <w:pPr>
              <w:pStyle w:val="6"/>
              <w:spacing w:before="306" w:line="220" w:lineRule="auto"/>
              <w:ind w:left="459"/>
              <w:rPr>
                <w:sz w:val="21"/>
                <w:szCs w:val="21"/>
              </w:rPr>
            </w:pPr>
            <w:r>
              <w:rPr>
                <w:spacing w:val="-3"/>
                <w:sz w:val="21"/>
                <w:szCs w:val="21"/>
              </w:rPr>
              <w:t>相似</w:t>
            </w:r>
          </w:p>
        </w:tc>
      </w:tr>
    </w:tbl>
    <w:p w14:paraId="65F57FB6">
      <w:pPr>
        <w:spacing w:before="43" w:line="219" w:lineRule="auto"/>
        <w:ind w:left="605"/>
        <w:rPr>
          <w:rFonts w:ascii="宋体" w:hAnsi="宋体" w:eastAsia="宋体" w:cs="宋体"/>
          <w:sz w:val="24"/>
          <w:szCs w:val="24"/>
        </w:rPr>
      </w:pPr>
      <w:r>
        <w:rPr>
          <w:rFonts w:ascii="宋体" w:hAnsi="宋体" w:eastAsia="宋体" w:cs="宋体"/>
          <w:sz w:val="24"/>
          <w:szCs w:val="24"/>
        </w:rPr>
        <w:t>根据上表分析，本项目与类比工程中百花山风电场220kV升压站同属户外</w:t>
      </w:r>
    </w:p>
    <w:p w14:paraId="14151934">
      <w:pPr>
        <w:spacing w:before="175" w:line="356" w:lineRule="auto"/>
        <w:ind w:left="94" w:right="125"/>
        <w:rPr>
          <w:rFonts w:ascii="宋体" w:hAnsi="宋体" w:eastAsia="宋体" w:cs="宋体"/>
          <w:sz w:val="24"/>
          <w:szCs w:val="24"/>
        </w:rPr>
      </w:pPr>
      <w:r>
        <w:rPr>
          <w:rFonts w:ascii="宋体" w:hAnsi="宋体" w:eastAsia="宋体" w:cs="宋体"/>
          <w:spacing w:val="1"/>
          <w:sz w:val="24"/>
          <w:szCs w:val="24"/>
        </w:rPr>
        <w:t>变电设施，升压站的电压等级相同，出线方</w:t>
      </w:r>
      <w:r>
        <w:rPr>
          <w:rFonts w:ascii="宋体" w:hAnsi="宋体" w:eastAsia="宋体" w:cs="宋体"/>
          <w:sz w:val="24"/>
          <w:szCs w:val="24"/>
        </w:rPr>
        <w:t xml:space="preserve">式均为架空出线，出线均为1回，总 </w:t>
      </w:r>
      <w:r>
        <w:rPr>
          <w:rFonts w:ascii="宋体" w:hAnsi="宋体" w:eastAsia="宋体" w:cs="宋体"/>
          <w:spacing w:val="-2"/>
          <w:sz w:val="24"/>
          <w:szCs w:val="24"/>
        </w:rPr>
        <w:t>体平面布局相似，类比项目占地面积大于本项目，类</w:t>
      </w:r>
      <w:r>
        <w:rPr>
          <w:rFonts w:ascii="宋体" w:hAnsi="宋体" w:eastAsia="宋体" w:cs="宋体"/>
          <w:spacing w:val="-3"/>
          <w:sz w:val="24"/>
          <w:szCs w:val="24"/>
        </w:rPr>
        <w:t>比项目主变距离围墙距离相</w:t>
      </w:r>
      <w:r>
        <w:rPr>
          <w:rFonts w:ascii="宋体" w:hAnsi="宋体" w:eastAsia="宋体" w:cs="宋体"/>
          <w:sz w:val="24"/>
          <w:szCs w:val="24"/>
        </w:rPr>
        <w:t xml:space="preserve"> </w:t>
      </w:r>
      <w:r>
        <w:rPr>
          <w:rFonts w:ascii="宋体" w:hAnsi="宋体" w:eastAsia="宋体" w:cs="宋体"/>
          <w:spacing w:val="4"/>
          <w:sz w:val="24"/>
          <w:szCs w:val="24"/>
        </w:rPr>
        <w:t>差不大；百花山风电场220</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升压站主变容量大于本项目，主变容量越大，电</w:t>
      </w:r>
      <w:r>
        <w:rPr>
          <w:rFonts w:ascii="宋体" w:hAnsi="宋体" w:eastAsia="宋体" w:cs="宋体"/>
          <w:sz w:val="24"/>
          <w:szCs w:val="24"/>
        </w:rPr>
        <w:t xml:space="preserve"> </w:t>
      </w:r>
      <w:r>
        <w:rPr>
          <w:rFonts w:ascii="宋体" w:hAnsi="宋体" w:eastAsia="宋体" w:cs="宋体"/>
          <w:spacing w:val="5"/>
          <w:sz w:val="24"/>
          <w:szCs w:val="24"/>
        </w:rPr>
        <w:t>磁环境影响越大。因此，本项目采用百花山风电</w:t>
      </w:r>
      <w:r>
        <w:rPr>
          <w:rFonts w:ascii="宋体" w:hAnsi="宋体" w:eastAsia="宋体" w:cs="宋体"/>
          <w:spacing w:val="4"/>
          <w:sz w:val="24"/>
          <w:szCs w:val="24"/>
        </w:rPr>
        <w:t>场220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rFonts w:ascii="宋体" w:hAnsi="宋体" w:eastAsia="宋体" w:cs="宋体"/>
          <w:spacing w:val="4"/>
          <w:sz w:val="24"/>
          <w:szCs w:val="24"/>
        </w:rPr>
        <w:t>升压站监测值作为类</w:t>
      </w:r>
      <w:r>
        <w:rPr>
          <w:rFonts w:ascii="宋体" w:hAnsi="宋体" w:eastAsia="宋体" w:cs="宋体"/>
          <w:sz w:val="24"/>
          <w:szCs w:val="24"/>
        </w:rPr>
        <w:t xml:space="preserve"> </w:t>
      </w:r>
      <w:r>
        <w:rPr>
          <w:rFonts w:ascii="宋体" w:hAnsi="宋体" w:eastAsia="宋体" w:cs="宋体"/>
          <w:spacing w:val="4"/>
          <w:sz w:val="24"/>
          <w:szCs w:val="24"/>
        </w:rPr>
        <w:t>比对象是合理可行的。百花山风电场220</w:t>
      </w:r>
      <w:r>
        <w:rPr>
          <w:rFonts w:ascii="Times New Roman" w:hAnsi="Times New Roman" w:eastAsia="Times New Roman" w:cs="Times New Roman"/>
          <w:sz w:val="24"/>
          <w:szCs w:val="24"/>
        </w:rPr>
        <w:t xml:space="preserve">kV </w:t>
      </w:r>
      <w:r>
        <w:rPr>
          <w:rFonts w:ascii="宋体" w:hAnsi="宋体" w:eastAsia="宋体" w:cs="宋体"/>
          <w:spacing w:val="4"/>
          <w:sz w:val="24"/>
          <w:szCs w:val="24"/>
        </w:rPr>
        <w:t>升压站竣工环保验收的电磁辐射监</w:t>
      </w:r>
      <w:r>
        <w:rPr>
          <w:rFonts w:ascii="宋体" w:hAnsi="宋体" w:eastAsia="宋体" w:cs="宋体"/>
          <w:sz w:val="24"/>
          <w:szCs w:val="24"/>
        </w:rPr>
        <w:t xml:space="preserve"> </w:t>
      </w:r>
      <w:r>
        <w:rPr>
          <w:rFonts w:ascii="宋体" w:hAnsi="宋体" w:eastAsia="宋体" w:cs="宋体"/>
          <w:spacing w:val="-1"/>
          <w:sz w:val="24"/>
          <w:szCs w:val="24"/>
        </w:rPr>
        <w:t>测结果能够代表本项目升压站运营后的电磁环境影响。</w:t>
      </w:r>
    </w:p>
    <w:p w14:paraId="481DDCD7">
      <w:pPr>
        <w:spacing w:before="14" w:line="219" w:lineRule="auto"/>
        <w:ind w:left="714"/>
        <w:rPr>
          <w:rFonts w:ascii="宋体" w:hAnsi="宋体" w:eastAsia="宋体" w:cs="宋体"/>
          <w:sz w:val="24"/>
          <w:szCs w:val="24"/>
        </w:rPr>
      </w:pPr>
      <w:r>
        <w:rPr>
          <w:rFonts w:ascii="宋体" w:hAnsi="宋体" w:eastAsia="宋体" w:cs="宋体"/>
          <w:spacing w:val="17"/>
          <w:sz w:val="24"/>
          <w:szCs w:val="24"/>
        </w:rPr>
        <w:t>(2)类比监测</w:t>
      </w:r>
    </w:p>
    <w:p w14:paraId="790D587B">
      <w:pPr>
        <w:spacing w:before="182" w:line="217" w:lineRule="auto"/>
        <w:ind w:left="565"/>
        <w:rPr>
          <w:rFonts w:ascii="宋体" w:hAnsi="宋体" w:eastAsia="宋体" w:cs="宋体"/>
          <w:sz w:val="24"/>
          <w:szCs w:val="24"/>
        </w:rPr>
      </w:pPr>
      <w:r>
        <w:rPr>
          <w:rFonts w:ascii="宋体" w:hAnsi="宋体" w:eastAsia="宋体" w:cs="宋体"/>
          <w:spacing w:val="-2"/>
          <w:sz w:val="24"/>
          <w:szCs w:val="24"/>
        </w:rPr>
        <w:t>①类比项目来源</w:t>
      </w:r>
    </w:p>
    <w:p w14:paraId="1DA1CEB6">
      <w:pPr>
        <w:spacing w:before="190" w:line="219" w:lineRule="auto"/>
        <w:ind w:left="565"/>
        <w:rPr>
          <w:rFonts w:ascii="宋体" w:hAnsi="宋体" w:eastAsia="宋体" w:cs="宋体"/>
          <w:sz w:val="24"/>
          <w:szCs w:val="24"/>
        </w:rPr>
      </w:pPr>
      <w:r>
        <w:rPr>
          <w:rFonts w:ascii="宋体" w:hAnsi="宋体" w:eastAsia="宋体" w:cs="宋体"/>
          <w:spacing w:val="1"/>
          <w:sz w:val="24"/>
          <w:szCs w:val="24"/>
        </w:rPr>
        <w:t>百花山风电场220</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 xml:space="preserve"> </w:t>
      </w:r>
      <w:r>
        <w:rPr>
          <w:rFonts w:ascii="宋体" w:hAnsi="宋体" w:eastAsia="宋体" w:cs="宋体"/>
          <w:spacing w:val="1"/>
          <w:sz w:val="24"/>
          <w:szCs w:val="24"/>
        </w:rPr>
        <w:t>升压站竣工环保验收监测。</w:t>
      </w:r>
    </w:p>
    <w:p w14:paraId="212AAA25">
      <w:pPr>
        <w:spacing w:before="183" w:line="217" w:lineRule="auto"/>
        <w:ind w:left="565"/>
        <w:rPr>
          <w:rFonts w:ascii="宋体" w:hAnsi="宋体" w:eastAsia="宋体" w:cs="宋体"/>
          <w:sz w:val="24"/>
          <w:szCs w:val="24"/>
        </w:rPr>
      </w:pPr>
      <w:r>
        <w:rPr>
          <w:rFonts w:ascii="宋体" w:hAnsi="宋体" w:eastAsia="宋体" w:cs="宋体"/>
          <w:spacing w:val="-1"/>
          <w:sz w:val="24"/>
          <w:szCs w:val="24"/>
        </w:rPr>
        <w:t>②监测因子及监测频次</w:t>
      </w:r>
    </w:p>
    <w:p w14:paraId="67523A11">
      <w:pPr>
        <w:spacing w:before="181" w:line="220" w:lineRule="auto"/>
        <w:ind w:left="565"/>
        <w:rPr>
          <w:rFonts w:ascii="宋体" w:hAnsi="宋体" w:eastAsia="宋体" w:cs="宋体"/>
          <w:sz w:val="24"/>
          <w:szCs w:val="24"/>
        </w:rPr>
      </w:pPr>
      <w:r>
        <w:rPr>
          <w:rFonts w:ascii="宋体" w:hAnsi="宋体" w:eastAsia="宋体" w:cs="宋体"/>
          <w:spacing w:val="-4"/>
          <w:sz w:val="24"/>
          <w:szCs w:val="24"/>
        </w:rPr>
        <w:t>监测因子：工频电场强度、工频磁场强度；</w:t>
      </w:r>
    </w:p>
    <w:p w14:paraId="1ABBA0E5">
      <w:pPr>
        <w:spacing w:before="183" w:line="219" w:lineRule="auto"/>
        <w:ind w:left="565"/>
        <w:rPr>
          <w:rFonts w:ascii="宋体" w:hAnsi="宋体" w:eastAsia="宋体" w:cs="宋体"/>
          <w:sz w:val="24"/>
          <w:szCs w:val="24"/>
        </w:rPr>
      </w:pPr>
      <w:r>
        <w:rPr>
          <w:rFonts w:ascii="宋体" w:hAnsi="宋体" w:eastAsia="宋体" w:cs="宋体"/>
          <w:spacing w:val="5"/>
          <w:sz w:val="24"/>
          <w:szCs w:val="24"/>
        </w:rPr>
        <w:t>监测频次：1次/天，共1天。</w:t>
      </w:r>
    </w:p>
    <w:p w14:paraId="7888CEE3">
      <w:pPr>
        <w:spacing w:before="173" w:line="217" w:lineRule="auto"/>
        <w:ind w:left="565"/>
        <w:rPr>
          <w:rFonts w:ascii="宋体" w:hAnsi="宋体" w:eastAsia="宋体" w:cs="宋体"/>
          <w:sz w:val="24"/>
          <w:szCs w:val="24"/>
        </w:rPr>
      </w:pPr>
      <w:r>
        <w:rPr>
          <w:rFonts w:ascii="宋体" w:hAnsi="宋体" w:eastAsia="宋体" w:cs="宋体"/>
          <w:spacing w:val="-2"/>
          <w:sz w:val="24"/>
          <w:szCs w:val="24"/>
        </w:rPr>
        <w:t>③监测方法</w:t>
      </w:r>
    </w:p>
    <w:p w14:paraId="125BC405">
      <w:pPr>
        <w:spacing w:before="179" w:line="361" w:lineRule="auto"/>
        <w:ind w:left="565" w:right="432"/>
        <w:rPr>
          <w:rFonts w:ascii="宋体" w:hAnsi="宋体" w:eastAsia="宋体" w:cs="宋体"/>
          <w:sz w:val="24"/>
          <w:szCs w:val="24"/>
        </w:rPr>
      </w:pPr>
      <w:r>
        <w:rPr>
          <w:rFonts w:ascii="宋体" w:hAnsi="宋体" w:eastAsia="宋体" w:cs="宋体"/>
          <w:spacing w:val="-1"/>
          <w:sz w:val="24"/>
          <w:szCs w:val="24"/>
        </w:rPr>
        <w:t>监测方法： 《交流输变电工程电磁环境监测方法》(试行)</w:t>
      </w:r>
      <w:r>
        <w:rPr>
          <w:rFonts w:ascii="宋体" w:hAnsi="宋体" w:eastAsia="宋体" w:cs="宋体"/>
          <w:spacing w:val="90"/>
          <w:sz w:val="24"/>
          <w:szCs w:val="24"/>
        </w:rPr>
        <w:t xml:space="preserve"> </w:t>
      </w:r>
      <w:r>
        <w:rPr>
          <w:rFonts w:ascii="宋体" w:hAnsi="宋体" w:eastAsia="宋体" w:cs="宋体"/>
          <w:spacing w:val="-1"/>
          <w:sz w:val="24"/>
          <w:szCs w:val="24"/>
        </w:rPr>
        <w:t>(</w:t>
      </w:r>
      <w:r>
        <w:rPr>
          <w:rFonts w:ascii="宋体" w:hAnsi="宋体" w:eastAsia="宋体" w:cs="宋体"/>
          <w:spacing w:val="-59"/>
          <w:sz w:val="24"/>
          <w:szCs w:val="24"/>
        </w:rPr>
        <w:t xml:space="preserve"> </w:t>
      </w:r>
      <w:r>
        <w:rPr>
          <w:rFonts w:ascii="Times New Roman" w:hAnsi="Times New Roman" w:eastAsia="Times New Roman" w:cs="Times New Roman"/>
          <w:spacing w:val="-1"/>
          <w:sz w:val="24"/>
          <w:szCs w:val="24"/>
        </w:rPr>
        <w:t>HJ681-201</w:t>
      </w:r>
      <w:r>
        <w:rPr>
          <w:rFonts w:ascii="Times New Roman" w:hAnsi="Times New Roman" w:eastAsia="Times New Roman" w:cs="Times New Roman"/>
          <w:sz w:val="24"/>
          <w:szCs w:val="24"/>
        </w:rPr>
        <w:t xml:space="preserve"> </w:t>
      </w:r>
      <w:r>
        <w:rPr>
          <w:rFonts w:ascii="宋体" w:hAnsi="宋体" w:eastAsia="宋体" w:cs="宋体"/>
          <w:spacing w:val="3"/>
          <w:sz w:val="24"/>
          <w:szCs w:val="24"/>
        </w:rPr>
        <w:t>④监测点位布设</w:t>
      </w:r>
    </w:p>
    <w:p w14:paraId="43A09201">
      <w:pPr>
        <w:spacing w:before="10" w:line="354" w:lineRule="auto"/>
        <w:ind w:left="94" w:right="104" w:firstLine="470"/>
        <w:rPr>
          <w:rFonts w:ascii="宋体" w:hAnsi="宋体" w:eastAsia="宋体" w:cs="宋体"/>
          <w:sz w:val="24"/>
          <w:szCs w:val="24"/>
        </w:rPr>
      </w:pPr>
      <w:r>
        <w:rPr>
          <w:rFonts w:ascii="宋体" w:hAnsi="宋体" w:eastAsia="宋体" w:cs="宋体"/>
          <w:spacing w:val="1"/>
          <w:sz w:val="24"/>
          <w:szCs w:val="24"/>
        </w:rPr>
        <w:t>监测布点原则：监测点应选择无进出线或远</w:t>
      </w:r>
      <w:r>
        <w:rPr>
          <w:rFonts w:ascii="宋体" w:hAnsi="宋体" w:eastAsia="宋体" w:cs="宋体"/>
          <w:sz w:val="24"/>
          <w:szCs w:val="24"/>
        </w:rPr>
        <w:t xml:space="preserve">离进出线(距离边导线地面投影 </w:t>
      </w:r>
      <w:r>
        <w:rPr>
          <w:rFonts w:ascii="宋体" w:hAnsi="宋体" w:eastAsia="宋体" w:cs="宋体"/>
          <w:spacing w:val="3"/>
          <w:sz w:val="24"/>
          <w:szCs w:val="24"/>
        </w:rPr>
        <w:t>不小于20</w:t>
      </w:r>
      <w:r>
        <w:rPr>
          <w:rFonts w:ascii="Times New Roman" w:hAnsi="Times New Roman" w:eastAsia="Times New Roman" w:cs="Times New Roman"/>
          <w:spacing w:val="3"/>
          <w:sz w:val="24"/>
          <w:szCs w:val="24"/>
        </w:rPr>
        <w:t xml:space="preserve">m)  </w:t>
      </w:r>
      <w:r>
        <w:rPr>
          <w:rFonts w:ascii="宋体" w:hAnsi="宋体" w:eastAsia="宋体" w:cs="宋体"/>
          <w:spacing w:val="3"/>
          <w:sz w:val="24"/>
          <w:szCs w:val="24"/>
        </w:rPr>
        <w:t>的围墙外且距离围墙5</w:t>
      </w:r>
      <w:r>
        <w:rPr>
          <w:rFonts w:ascii="Times New Roman" w:hAnsi="Times New Roman" w:eastAsia="Times New Roman" w:cs="Times New Roman"/>
          <w:spacing w:val="3"/>
          <w:sz w:val="24"/>
          <w:szCs w:val="24"/>
        </w:rPr>
        <w:t xml:space="preserve">m </w:t>
      </w:r>
      <w:r>
        <w:rPr>
          <w:rFonts w:ascii="宋体" w:hAnsi="宋体" w:eastAsia="宋体" w:cs="宋体"/>
          <w:spacing w:val="3"/>
          <w:sz w:val="24"/>
          <w:szCs w:val="24"/>
        </w:rPr>
        <w:t>处布置。如在</w:t>
      </w:r>
      <w:r>
        <w:rPr>
          <w:rFonts w:ascii="宋体" w:hAnsi="宋体" w:eastAsia="宋体" w:cs="宋体"/>
          <w:spacing w:val="2"/>
          <w:sz w:val="24"/>
          <w:szCs w:val="24"/>
        </w:rPr>
        <w:t>其他位置监测，应记录监测</w:t>
      </w:r>
      <w:r>
        <w:rPr>
          <w:rFonts w:ascii="宋体" w:hAnsi="宋体" w:eastAsia="宋体" w:cs="宋体"/>
          <w:sz w:val="24"/>
          <w:szCs w:val="24"/>
        </w:rPr>
        <w:t xml:space="preserve"> </w:t>
      </w:r>
      <w:r>
        <w:rPr>
          <w:rFonts w:ascii="宋体" w:hAnsi="宋体" w:eastAsia="宋体" w:cs="宋体"/>
          <w:spacing w:val="3"/>
          <w:sz w:val="24"/>
          <w:szCs w:val="24"/>
        </w:rPr>
        <w:t>点与围墙的相关位置关系以及周围的环境情况。百花山风电场22</w:t>
      </w:r>
      <w:r>
        <w:rPr>
          <w:rFonts w:ascii="宋体" w:hAnsi="宋体" w:eastAsia="宋体" w:cs="宋体"/>
          <w:spacing w:val="2"/>
          <w:sz w:val="24"/>
          <w:szCs w:val="24"/>
        </w:rPr>
        <w:t>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pacing w:val="2"/>
          <w:sz w:val="24"/>
          <w:szCs w:val="24"/>
        </w:rPr>
        <w:t>升压站：</w:t>
      </w:r>
      <w:r>
        <w:rPr>
          <w:rFonts w:ascii="宋体" w:hAnsi="宋体" w:eastAsia="宋体" w:cs="宋体"/>
          <w:sz w:val="24"/>
          <w:szCs w:val="24"/>
        </w:rPr>
        <w:t xml:space="preserve">  </w:t>
      </w:r>
      <w:r>
        <w:rPr>
          <w:rFonts w:ascii="宋体" w:hAnsi="宋体" w:eastAsia="宋体" w:cs="宋体"/>
          <w:spacing w:val="5"/>
          <w:sz w:val="24"/>
          <w:szCs w:val="24"/>
        </w:rPr>
        <w:t>在升压站厂界四周各设1个工频电场、工频磁场现状监测点，共计4个监测点，</w:t>
      </w:r>
      <w:r>
        <w:rPr>
          <w:rFonts w:ascii="宋体" w:hAnsi="宋体" w:eastAsia="宋体" w:cs="宋体"/>
          <w:spacing w:val="4"/>
          <w:sz w:val="24"/>
          <w:szCs w:val="24"/>
        </w:rPr>
        <w:t xml:space="preserve"> </w:t>
      </w:r>
      <w:r>
        <w:rPr>
          <w:rFonts w:ascii="宋体" w:hAnsi="宋体" w:eastAsia="宋体" w:cs="宋体"/>
          <w:spacing w:val="1"/>
          <w:sz w:val="24"/>
          <w:szCs w:val="24"/>
        </w:rPr>
        <w:t>均位于围墙外5</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6"/>
          <w:sz w:val="24"/>
          <w:szCs w:val="24"/>
        </w:rPr>
        <w:t xml:space="preserve"> </w:t>
      </w:r>
      <w:r>
        <w:rPr>
          <w:rFonts w:ascii="宋体" w:hAnsi="宋体" w:eastAsia="宋体" w:cs="宋体"/>
          <w:spacing w:val="1"/>
          <w:sz w:val="24"/>
          <w:szCs w:val="24"/>
        </w:rPr>
        <w:t>处。监测期间百花山风电场220</w:t>
      </w:r>
      <w:r>
        <w:rPr>
          <w:rFonts w:ascii="Times New Roman" w:hAnsi="Times New Roman" w:eastAsia="Times New Roman" w:cs="Times New Roman"/>
          <w:sz w:val="24"/>
          <w:szCs w:val="24"/>
        </w:rPr>
        <w:t>kV</w:t>
      </w:r>
      <w:r>
        <w:rPr>
          <w:rFonts w:ascii="Times New Roman" w:hAnsi="Times New Roman" w:eastAsia="Times New Roman" w:cs="Times New Roman"/>
          <w:spacing w:val="-11"/>
          <w:sz w:val="24"/>
          <w:szCs w:val="24"/>
        </w:rPr>
        <w:t xml:space="preserve"> </w:t>
      </w:r>
      <w:r>
        <w:rPr>
          <w:rFonts w:ascii="宋体" w:hAnsi="宋体" w:eastAsia="宋体" w:cs="宋体"/>
          <w:spacing w:val="1"/>
          <w:sz w:val="24"/>
          <w:szCs w:val="24"/>
        </w:rPr>
        <w:t>升压站正常运行。具体监测</w:t>
      </w:r>
      <w:r>
        <w:rPr>
          <w:rFonts w:ascii="宋体" w:hAnsi="宋体" w:eastAsia="宋体" w:cs="宋体"/>
          <w:sz w:val="24"/>
          <w:szCs w:val="24"/>
        </w:rPr>
        <w:t xml:space="preserve"> </w:t>
      </w:r>
      <w:r>
        <w:rPr>
          <w:rFonts w:ascii="宋体" w:hAnsi="宋体" w:eastAsia="宋体" w:cs="宋体"/>
          <w:spacing w:val="-5"/>
          <w:sz w:val="24"/>
          <w:szCs w:val="24"/>
        </w:rPr>
        <w:t>点位示意图见图5.1-1。</w:t>
      </w:r>
    </w:p>
    <w:p w14:paraId="07AB1D48">
      <w:pPr>
        <w:spacing w:before="39" w:line="217" w:lineRule="auto"/>
        <w:ind w:left="565"/>
        <w:rPr>
          <w:rFonts w:ascii="宋体" w:hAnsi="宋体" w:eastAsia="宋体" w:cs="宋体"/>
          <w:sz w:val="24"/>
          <w:szCs w:val="24"/>
        </w:rPr>
      </w:pPr>
      <w:r>
        <w:rPr>
          <w:rFonts w:ascii="宋体" w:hAnsi="宋体" w:eastAsia="宋体" w:cs="宋体"/>
          <w:spacing w:val="-1"/>
          <w:sz w:val="24"/>
          <w:szCs w:val="24"/>
        </w:rPr>
        <w:t>⑤检测分析方法及仪器</w:t>
      </w:r>
    </w:p>
    <w:p w14:paraId="54B61F0D">
      <w:pPr>
        <w:spacing w:line="217" w:lineRule="auto"/>
        <w:rPr>
          <w:rFonts w:ascii="宋体" w:hAnsi="宋体" w:eastAsia="宋体" w:cs="宋体"/>
          <w:sz w:val="24"/>
          <w:szCs w:val="24"/>
        </w:rPr>
        <w:sectPr>
          <w:footerReference r:id="rId147" w:type="default"/>
          <w:pgSz w:w="11910" w:h="16830"/>
          <w:pgMar w:top="1425" w:right="1695" w:bottom="1035" w:left="1675" w:header="0" w:footer="873" w:gutter="0"/>
          <w:cols w:space="720" w:num="1"/>
        </w:sectPr>
      </w:pPr>
    </w:p>
    <w:p w14:paraId="4B4F123D">
      <w:pPr>
        <w:spacing w:before="49" w:line="191" w:lineRule="auto"/>
        <w:ind w:left="2668"/>
        <w:rPr>
          <w:rFonts w:ascii="宋体" w:hAnsi="宋体" w:eastAsia="宋体" w:cs="宋体"/>
          <w:sz w:val="25"/>
          <w:szCs w:val="25"/>
        </w:rPr>
      </w:pPr>
      <w:r>
        <w:rPr>
          <w:rFonts w:ascii="宋体" w:hAnsi="宋体" w:eastAsia="宋体" w:cs="宋体"/>
          <w:b/>
          <w:bCs/>
          <w:spacing w:val="-4"/>
          <w:sz w:val="25"/>
          <w:szCs w:val="25"/>
        </w:rPr>
        <w:t>表5.1-2检测分析方法及仪器</w:t>
      </w: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3"/>
        <w:gridCol w:w="3046"/>
        <w:gridCol w:w="3860"/>
      </w:tblGrid>
      <w:tr w14:paraId="51EF0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1613" w:type="dxa"/>
            <w:vAlign w:val="top"/>
          </w:tcPr>
          <w:p w14:paraId="2983CA72">
            <w:pPr>
              <w:pStyle w:val="6"/>
              <w:spacing w:before="73" w:line="219" w:lineRule="auto"/>
              <w:ind w:left="374"/>
              <w:rPr>
                <w:sz w:val="21"/>
                <w:szCs w:val="21"/>
              </w:rPr>
            </w:pPr>
            <w:r>
              <w:rPr>
                <w:spacing w:val="10"/>
                <w:sz w:val="21"/>
                <w:szCs w:val="21"/>
              </w:rPr>
              <w:t>检测项目</w:t>
            </w:r>
          </w:p>
        </w:tc>
        <w:tc>
          <w:tcPr>
            <w:tcW w:w="3046" w:type="dxa"/>
            <w:vAlign w:val="top"/>
          </w:tcPr>
          <w:p w14:paraId="73824474">
            <w:pPr>
              <w:pStyle w:val="6"/>
              <w:spacing w:before="72" w:line="219" w:lineRule="auto"/>
              <w:ind w:left="151"/>
              <w:rPr>
                <w:sz w:val="21"/>
                <w:szCs w:val="21"/>
              </w:rPr>
            </w:pPr>
            <w:r>
              <w:rPr>
                <w:spacing w:val="-1"/>
                <w:sz w:val="21"/>
                <w:szCs w:val="21"/>
              </w:rPr>
              <w:t>检测方法依据标准代号及名称</w:t>
            </w:r>
          </w:p>
        </w:tc>
        <w:tc>
          <w:tcPr>
            <w:tcW w:w="3860" w:type="dxa"/>
            <w:vAlign w:val="top"/>
          </w:tcPr>
          <w:p w14:paraId="762ACB0E">
            <w:pPr>
              <w:pStyle w:val="6"/>
              <w:spacing w:before="73" w:line="219" w:lineRule="auto"/>
              <w:ind w:left="246"/>
              <w:rPr>
                <w:sz w:val="21"/>
                <w:szCs w:val="21"/>
              </w:rPr>
            </w:pPr>
            <w:r>
              <w:rPr>
                <w:sz w:val="21"/>
                <w:szCs w:val="21"/>
              </w:rPr>
              <w:t>主要检测仪器设备型号及名称、编号</w:t>
            </w:r>
          </w:p>
        </w:tc>
      </w:tr>
      <w:tr w14:paraId="7A9E6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613" w:type="dxa"/>
            <w:vAlign w:val="top"/>
          </w:tcPr>
          <w:p w14:paraId="5D71F42E">
            <w:pPr>
              <w:pStyle w:val="6"/>
              <w:spacing w:before="41" w:line="200" w:lineRule="auto"/>
              <w:ind w:left="374"/>
              <w:rPr>
                <w:sz w:val="21"/>
                <w:szCs w:val="21"/>
              </w:rPr>
            </w:pPr>
            <w:r>
              <w:rPr>
                <w:spacing w:val="3"/>
                <w:sz w:val="21"/>
                <w:szCs w:val="21"/>
              </w:rPr>
              <w:t>工频电场</w:t>
            </w:r>
          </w:p>
        </w:tc>
        <w:tc>
          <w:tcPr>
            <w:tcW w:w="3046" w:type="dxa"/>
            <w:vMerge w:val="restart"/>
            <w:tcBorders>
              <w:bottom w:val="nil"/>
            </w:tcBorders>
            <w:vAlign w:val="top"/>
          </w:tcPr>
          <w:p w14:paraId="4AE7B52B">
            <w:pPr>
              <w:pStyle w:val="6"/>
              <w:spacing w:before="40" w:line="219" w:lineRule="auto"/>
              <w:ind w:left="151"/>
              <w:rPr>
                <w:sz w:val="21"/>
                <w:szCs w:val="21"/>
              </w:rPr>
            </w:pPr>
            <w:r>
              <w:rPr>
                <w:spacing w:val="1"/>
                <w:sz w:val="21"/>
                <w:szCs w:val="21"/>
              </w:rPr>
              <w:t>交流输变电工程电磁环境监测</w:t>
            </w:r>
          </w:p>
          <w:p w14:paraId="77ECBA3B">
            <w:pPr>
              <w:pStyle w:val="6"/>
              <w:spacing w:before="38" w:line="218" w:lineRule="auto"/>
              <w:ind w:left="151"/>
              <w:rPr>
                <w:sz w:val="21"/>
                <w:szCs w:val="21"/>
              </w:rPr>
            </w:pPr>
            <w:r>
              <w:rPr>
                <w:sz w:val="21"/>
                <w:szCs w:val="21"/>
              </w:rPr>
              <w:t>方法HJ681-2013辐射环境保护</w:t>
            </w:r>
          </w:p>
          <w:p w14:paraId="244775D8">
            <w:pPr>
              <w:pStyle w:val="6"/>
              <w:spacing w:before="4" w:line="219" w:lineRule="auto"/>
              <w:ind w:left="151"/>
              <w:rPr>
                <w:sz w:val="21"/>
                <w:szCs w:val="21"/>
              </w:rPr>
            </w:pPr>
            <w:r>
              <w:rPr>
                <w:spacing w:val="1"/>
                <w:sz w:val="21"/>
                <w:szCs w:val="21"/>
              </w:rPr>
              <w:t>管理导则电磁辐射监测仪器和</w:t>
            </w:r>
          </w:p>
          <w:p w14:paraId="331EEFDF">
            <w:pPr>
              <w:pStyle w:val="6"/>
              <w:spacing w:before="28" w:line="218" w:lineRule="auto"/>
              <w:ind w:left="91"/>
              <w:rPr>
                <w:sz w:val="21"/>
                <w:szCs w:val="21"/>
              </w:rPr>
            </w:pPr>
            <w:r>
              <w:rPr>
                <w:sz w:val="21"/>
                <w:szCs w:val="21"/>
              </w:rPr>
              <w:t>方法HJ/T10.2-1996环境影响评</w:t>
            </w:r>
          </w:p>
          <w:p w14:paraId="30559EA0">
            <w:pPr>
              <w:pStyle w:val="6"/>
              <w:spacing w:before="42" w:line="218" w:lineRule="auto"/>
              <w:ind w:left="461"/>
              <w:rPr>
                <w:sz w:val="21"/>
                <w:szCs w:val="21"/>
              </w:rPr>
            </w:pPr>
            <w:r>
              <w:rPr>
                <w:spacing w:val="-1"/>
                <w:sz w:val="21"/>
                <w:szCs w:val="21"/>
              </w:rPr>
              <w:t>价技术导则输变电工程</w:t>
            </w:r>
          </w:p>
          <w:p w14:paraId="07650335">
            <w:pPr>
              <w:pStyle w:val="6"/>
              <w:spacing w:before="2" w:line="218" w:lineRule="auto"/>
              <w:ind w:left="201"/>
              <w:rPr>
                <w:sz w:val="21"/>
                <w:szCs w:val="21"/>
              </w:rPr>
            </w:pPr>
            <w:r>
              <w:rPr>
                <w:spacing w:val="-1"/>
                <w:sz w:val="21"/>
                <w:szCs w:val="21"/>
              </w:rPr>
              <w:t>HJ24-2014高压交流架空送电</w:t>
            </w:r>
          </w:p>
          <w:p w14:paraId="1B6797F6">
            <w:pPr>
              <w:pStyle w:val="6"/>
              <w:spacing w:before="34" w:line="219" w:lineRule="auto"/>
              <w:ind w:left="151"/>
              <w:rPr>
                <w:sz w:val="21"/>
                <w:szCs w:val="21"/>
              </w:rPr>
            </w:pPr>
            <w:r>
              <w:rPr>
                <w:spacing w:val="1"/>
                <w:sz w:val="21"/>
                <w:szCs w:val="21"/>
              </w:rPr>
              <w:t>线路、变电站工频电场和磁场</w:t>
            </w:r>
          </w:p>
          <w:p w14:paraId="47B6FFB5">
            <w:pPr>
              <w:pStyle w:val="6"/>
              <w:spacing w:before="12" w:line="207" w:lineRule="auto"/>
              <w:ind w:left="461"/>
              <w:rPr>
                <w:sz w:val="21"/>
                <w:szCs w:val="21"/>
              </w:rPr>
            </w:pPr>
            <w:r>
              <w:rPr>
                <w:sz w:val="21"/>
                <w:szCs w:val="21"/>
              </w:rPr>
              <w:t>测量方法DL/T988-2005</w:t>
            </w:r>
          </w:p>
        </w:tc>
        <w:tc>
          <w:tcPr>
            <w:tcW w:w="3860" w:type="dxa"/>
            <w:vMerge w:val="restart"/>
            <w:tcBorders>
              <w:bottom w:val="nil"/>
            </w:tcBorders>
            <w:vAlign w:val="top"/>
          </w:tcPr>
          <w:p w14:paraId="3DCD3C78">
            <w:pPr>
              <w:spacing w:line="305" w:lineRule="auto"/>
              <w:rPr>
                <w:rFonts w:ascii="Arial"/>
                <w:sz w:val="21"/>
              </w:rPr>
            </w:pPr>
          </w:p>
          <w:p w14:paraId="01F5F8C7">
            <w:pPr>
              <w:spacing w:line="305" w:lineRule="auto"/>
              <w:rPr>
                <w:rFonts w:ascii="Arial"/>
                <w:sz w:val="21"/>
              </w:rPr>
            </w:pPr>
          </w:p>
          <w:p w14:paraId="78286811">
            <w:pPr>
              <w:spacing w:line="306" w:lineRule="auto"/>
              <w:rPr>
                <w:rFonts w:ascii="Arial"/>
                <w:sz w:val="21"/>
              </w:rPr>
            </w:pPr>
          </w:p>
          <w:p w14:paraId="6DDAC7D7">
            <w:pPr>
              <w:pStyle w:val="6"/>
              <w:spacing w:before="69" w:line="219" w:lineRule="auto"/>
              <w:ind w:left="295"/>
              <w:rPr>
                <w:sz w:val="21"/>
                <w:szCs w:val="21"/>
              </w:rPr>
            </w:pPr>
            <w:r>
              <w:rPr>
                <w:spacing w:val="-5"/>
                <w:sz w:val="21"/>
                <w:szCs w:val="21"/>
              </w:rPr>
              <w:t>HI—3604型美国产工频电磁场测量仪</w:t>
            </w:r>
          </w:p>
        </w:tc>
      </w:tr>
      <w:tr w14:paraId="14B89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1613" w:type="dxa"/>
            <w:vAlign w:val="top"/>
          </w:tcPr>
          <w:p w14:paraId="15C5269B">
            <w:pPr>
              <w:spacing w:line="259" w:lineRule="auto"/>
              <w:rPr>
                <w:rFonts w:ascii="Arial"/>
                <w:sz w:val="21"/>
              </w:rPr>
            </w:pPr>
          </w:p>
          <w:p w14:paraId="7CF5F661">
            <w:pPr>
              <w:spacing w:line="260" w:lineRule="auto"/>
              <w:rPr>
                <w:rFonts w:ascii="Arial"/>
                <w:sz w:val="21"/>
              </w:rPr>
            </w:pPr>
          </w:p>
          <w:p w14:paraId="248F59BD">
            <w:pPr>
              <w:spacing w:line="260" w:lineRule="auto"/>
              <w:rPr>
                <w:rFonts w:ascii="Arial"/>
                <w:sz w:val="21"/>
              </w:rPr>
            </w:pPr>
          </w:p>
          <w:p w14:paraId="067109C9">
            <w:pPr>
              <w:pStyle w:val="6"/>
              <w:spacing w:before="68" w:line="220" w:lineRule="auto"/>
              <w:ind w:left="374"/>
              <w:rPr>
                <w:sz w:val="21"/>
                <w:szCs w:val="21"/>
              </w:rPr>
            </w:pPr>
            <w:r>
              <w:rPr>
                <w:spacing w:val="3"/>
                <w:sz w:val="21"/>
                <w:szCs w:val="21"/>
              </w:rPr>
              <w:t>工频磁场</w:t>
            </w:r>
          </w:p>
        </w:tc>
        <w:tc>
          <w:tcPr>
            <w:tcW w:w="3046" w:type="dxa"/>
            <w:vMerge w:val="continue"/>
            <w:tcBorders>
              <w:top w:val="nil"/>
            </w:tcBorders>
            <w:vAlign w:val="top"/>
          </w:tcPr>
          <w:p w14:paraId="5184EC99">
            <w:pPr>
              <w:rPr>
                <w:rFonts w:ascii="Arial"/>
                <w:sz w:val="21"/>
              </w:rPr>
            </w:pPr>
          </w:p>
        </w:tc>
        <w:tc>
          <w:tcPr>
            <w:tcW w:w="3860" w:type="dxa"/>
            <w:vMerge w:val="continue"/>
            <w:tcBorders>
              <w:top w:val="nil"/>
            </w:tcBorders>
            <w:vAlign w:val="top"/>
          </w:tcPr>
          <w:p w14:paraId="69237B5D">
            <w:pPr>
              <w:rPr>
                <w:rFonts w:ascii="Arial"/>
                <w:sz w:val="21"/>
              </w:rPr>
            </w:pPr>
          </w:p>
        </w:tc>
      </w:tr>
    </w:tbl>
    <w:p w14:paraId="5D8B5A55">
      <w:pPr>
        <w:pStyle w:val="2"/>
        <w:spacing w:line="284" w:lineRule="auto"/>
      </w:pPr>
    </w:p>
    <w:p w14:paraId="64551F70">
      <w:pPr>
        <w:pStyle w:val="2"/>
        <w:spacing w:line="284" w:lineRule="auto"/>
      </w:pPr>
    </w:p>
    <w:p w14:paraId="4A95E45F">
      <w:pPr>
        <w:pStyle w:val="2"/>
        <w:spacing w:line="284" w:lineRule="auto"/>
      </w:pPr>
    </w:p>
    <w:p w14:paraId="64A3CF76">
      <w:pPr>
        <w:pStyle w:val="2"/>
        <w:spacing w:line="284" w:lineRule="auto"/>
      </w:pPr>
    </w:p>
    <w:p w14:paraId="0560062C">
      <w:pPr>
        <w:spacing w:before="46" w:line="221" w:lineRule="auto"/>
        <w:ind w:left="1385"/>
        <w:rPr>
          <w:rFonts w:ascii="黑体" w:hAnsi="黑体" w:eastAsia="黑体" w:cs="黑体"/>
          <w:sz w:val="14"/>
          <w:szCs w:val="14"/>
        </w:rPr>
      </w:pPr>
      <w:r>
        <w:drawing>
          <wp:anchor distT="0" distB="0" distL="0" distR="0" simplePos="0" relativeHeight="251689984" behindDoc="1" locked="0" layoutInCell="1" allowOverlap="1">
            <wp:simplePos x="0" y="0"/>
            <wp:positionH relativeFrom="column">
              <wp:posOffset>802640</wp:posOffset>
            </wp:positionH>
            <wp:positionV relativeFrom="paragraph">
              <wp:posOffset>-582930</wp:posOffset>
            </wp:positionV>
            <wp:extent cx="3822700" cy="467995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05"/>
                    <a:stretch>
                      <a:fillRect/>
                    </a:stretch>
                  </pic:blipFill>
                  <pic:spPr>
                    <a:xfrm>
                      <a:off x="0" y="0"/>
                      <a:ext cx="3822718" cy="4679965"/>
                    </a:xfrm>
                    <a:prstGeom prst="rect">
                      <a:avLst/>
                    </a:prstGeom>
                  </pic:spPr>
                </pic:pic>
              </a:graphicData>
            </a:graphic>
          </wp:anchor>
        </w:drawing>
      </w:r>
      <w:r>
        <w:rPr>
          <w:rFonts w:ascii="宋体" w:hAnsi="宋体" w:eastAsia="宋体" w:cs="宋体"/>
          <w:color w:val="B0C0D0"/>
          <w:spacing w:val="-9"/>
          <w:sz w:val="14"/>
          <w:szCs w:val="14"/>
        </w:rPr>
        <w:t>青</w:t>
      </w:r>
      <w:r>
        <w:rPr>
          <w:rFonts w:ascii="黑体" w:hAnsi="黑体" w:eastAsia="黑体" w:cs="黑体"/>
          <w:color w:val="B0D0E0"/>
          <w:spacing w:val="-9"/>
          <w:sz w:val="14"/>
          <w:szCs w:val="14"/>
        </w:rPr>
        <w:t>地板</w:t>
      </w:r>
    </w:p>
    <w:p w14:paraId="1AC92040">
      <w:pPr>
        <w:pStyle w:val="2"/>
        <w:spacing w:line="395" w:lineRule="auto"/>
      </w:pPr>
    </w:p>
    <w:p w14:paraId="121F777B">
      <w:pPr>
        <w:spacing w:before="42" w:line="221" w:lineRule="auto"/>
        <w:ind w:left="2696"/>
        <w:rPr>
          <w:rFonts w:ascii="黑体" w:hAnsi="黑体" w:eastAsia="黑体" w:cs="黑体"/>
          <w:sz w:val="13"/>
          <w:szCs w:val="13"/>
        </w:rPr>
      </w:pPr>
      <w:r>
        <w:rPr>
          <w:rFonts w:ascii="黑体" w:hAnsi="黑体" w:eastAsia="黑体" w:cs="黑体"/>
          <w:b/>
          <w:bCs/>
          <w:color w:val="FFFFFF"/>
          <w:spacing w:val="-7"/>
          <w:sz w:val="13"/>
          <w:szCs w:val="13"/>
        </w:rPr>
        <w:t>岩石头村</w:t>
      </w:r>
    </w:p>
    <w:p w14:paraId="5B0A7634">
      <w:pPr>
        <w:pStyle w:val="2"/>
        <w:spacing w:line="331" w:lineRule="auto"/>
      </w:pPr>
    </w:p>
    <w:p w14:paraId="125FB135">
      <w:pPr>
        <w:spacing w:before="138" w:line="328" w:lineRule="exact"/>
        <w:ind w:left="4395"/>
        <w:rPr>
          <w:rFonts w:ascii="Times New Roman" w:hAnsi="Times New Roman" w:eastAsia="Times New Roman" w:cs="Times New Roman"/>
          <w:sz w:val="48"/>
          <w:szCs w:val="48"/>
        </w:rPr>
      </w:pPr>
      <w:r>
        <w:rPr>
          <w:rFonts w:ascii="Times New Roman" w:hAnsi="Times New Roman" w:eastAsia="Times New Roman" w:cs="Times New Roman"/>
          <w:color w:val="B03030"/>
          <w:position w:val="-1"/>
          <w:sz w:val="48"/>
          <w:szCs w:val="48"/>
        </w:rPr>
        <w:t>c</w:t>
      </w:r>
    </w:p>
    <w:p w14:paraId="39691C3F">
      <w:pPr>
        <w:pStyle w:val="2"/>
        <w:spacing w:line="473" w:lineRule="auto"/>
      </w:pPr>
    </w:p>
    <w:p w14:paraId="760BE78A">
      <w:pPr>
        <w:spacing w:before="43" w:line="224" w:lineRule="auto"/>
        <w:ind w:left="2854"/>
        <w:rPr>
          <w:rFonts w:ascii="黑体" w:hAnsi="黑体" w:eastAsia="黑体" w:cs="黑体"/>
          <w:sz w:val="13"/>
          <w:szCs w:val="13"/>
        </w:rPr>
      </w:pPr>
      <w:r>
        <w:rPr>
          <w:rFonts w:ascii="黑体" w:hAnsi="黑体" w:eastAsia="黑体" w:cs="黑体"/>
          <w:color w:val="FFFFFF"/>
          <w:spacing w:val="23"/>
          <w:sz w:val="13"/>
          <w:szCs w:val="13"/>
        </w:rPr>
        <w:t>太阳坡</w:t>
      </w:r>
    </w:p>
    <w:p w14:paraId="60F8C1C7">
      <w:pPr>
        <w:pStyle w:val="2"/>
        <w:spacing w:line="455" w:lineRule="auto"/>
      </w:pPr>
    </w:p>
    <w:p w14:paraId="2A82E5EA">
      <w:pPr>
        <w:spacing w:before="44" w:line="96" w:lineRule="exact"/>
        <w:ind w:left="4964"/>
        <w:rPr>
          <w:rFonts w:ascii="Times New Roman" w:hAnsi="Times New Roman" w:eastAsia="Times New Roman" w:cs="Times New Roman"/>
          <w:sz w:val="15"/>
          <w:szCs w:val="15"/>
        </w:rPr>
      </w:pPr>
      <w:r>
        <w:rPr>
          <w:rFonts w:ascii="Times New Roman" w:hAnsi="Times New Roman" w:eastAsia="Times New Roman" w:cs="Times New Roman"/>
          <w:color w:val="E06060"/>
          <w:spacing w:val="-4"/>
          <w:position w:val="-2"/>
          <w:sz w:val="15"/>
          <w:szCs w:val="15"/>
        </w:rPr>
        <w:t>130</w:t>
      </w:r>
    </w:p>
    <w:p w14:paraId="7B3138DA">
      <w:pPr>
        <w:pStyle w:val="2"/>
        <w:spacing w:line="182" w:lineRule="exact"/>
        <w:ind w:left="4355"/>
        <w:rPr>
          <w:sz w:val="14"/>
          <w:szCs w:val="14"/>
        </w:rPr>
      </w:pPr>
      <w:r>
        <w:rPr>
          <w:color w:val="302000"/>
          <w:spacing w:val="-6"/>
          <w:position w:val="1"/>
          <w:sz w:val="14"/>
          <w:szCs w:val="14"/>
        </w:rPr>
        <w:t>1</w:t>
      </w:r>
      <w:r>
        <w:rPr>
          <w:color w:val="302000"/>
          <w:spacing w:val="5"/>
          <w:position w:val="1"/>
          <w:sz w:val="14"/>
          <w:szCs w:val="14"/>
        </w:rPr>
        <w:t xml:space="preserve">  </w:t>
      </w:r>
      <w:r>
        <w:rPr>
          <w:color w:val="D06070"/>
          <w:spacing w:val="-6"/>
          <w:position w:val="1"/>
          <w:sz w:val="14"/>
          <w:szCs w:val="14"/>
        </w:rPr>
        <w:t xml:space="preserve">2 </w:t>
      </w:r>
      <w:r>
        <w:rPr>
          <w:color w:val="FF2010"/>
          <w:spacing w:val="-6"/>
          <w:position w:val="1"/>
          <w:sz w:val="14"/>
          <w:szCs w:val="14"/>
        </w:rPr>
        <w:t>0</w:t>
      </w:r>
    </w:p>
    <w:p w14:paraId="78EFBE2F">
      <w:pPr>
        <w:spacing w:before="132" w:line="188" w:lineRule="auto"/>
        <w:ind w:left="4314"/>
        <w:rPr>
          <w:rFonts w:ascii="Times New Roman" w:hAnsi="Times New Roman" w:eastAsia="Times New Roman" w:cs="Times New Roman"/>
          <w:sz w:val="15"/>
          <w:szCs w:val="15"/>
        </w:rPr>
      </w:pPr>
      <w:r>
        <w:rPr>
          <w:rFonts w:ascii="Times New Roman" w:hAnsi="Times New Roman" w:eastAsia="Times New Roman" w:cs="Times New Roman"/>
          <w:color w:val="E03050"/>
          <w:spacing w:val="-4"/>
          <w:sz w:val="15"/>
          <w:szCs w:val="15"/>
        </w:rPr>
        <w:t>110</w:t>
      </w:r>
    </w:p>
    <w:p w14:paraId="57517A9B">
      <w:pPr>
        <w:pStyle w:val="2"/>
        <w:spacing w:line="339" w:lineRule="auto"/>
      </w:pPr>
    </w:p>
    <w:p w14:paraId="5EB3C4DC">
      <w:pPr>
        <w:spacing w:before="46" w:line="188" w:lineRule="auto"/>
        <w:ind w:left="5225"/>
        <w:rPr>
          <w:rFonts w:ascii="Times New Roman" w:hAnsi="Times New Roman" w:eastAsia="Times New Roman" w:cs="Times New Roman"/>
          <w:sz w:val="16"/>
          <w:szCs w:val="16"/>
        </w:rPr>
      </w:pPr>
      <w:r>
        <w:rPr>
          <w:rFonts w:ascii="Times New Roman" w:hAnsi="Times New Roman" w:eastAsia="Times New Roman" w:cs="Times New Roman"/>
          <w:color w:val="E06060"/>
          <w:spacing w:val="-3"/>
          <w:sz w:val="16"/>
          <w:szCs w:val="16"/>
        </w:rPr>
        <w:t>7</w:t>
      </w:r>
      <w:r>
        <w:rPr>
          <w:rFonts w:ascii="Times New Roman" w:hAnsi="Times New Roman" w:eastAsia="Times New Roman" w:cs="Times New Roman"/>
          <w:color w:val="F03040"/>
          <w:spacing w:val="-3"/>
          <w:sz w:val="16"/>
          <w:szCs w:val="16"/>
        </w:rPr>
        <w:t>0</w:t>
      </w:r>
    </w:p>
    <w:p w14:paraId="1BD045BF">
      <w:pPr>
        <w:pStyle w:val="2"/>
        <w:spacing w:line="293" w:lineRule="auto"/>
      </w:pPr>
    </w:p>
    <w:p w14:paraId="6C172F3F">
      <w:pPr>
        <w:pStyle w:val="2"/>
        <w:spacing w:line="293" w:lineRule="auto"/>
      </w:pPr>
    </w:p>
    <w:p w14:paraId="7743F173">
      <w:pPr>
        <w:spacing w:before="53" w:line="222" w:lineRule="auto"/>
        <w:ind w:left="1807"/>
        <w:rPr>
          <w:rFonts w:ascii="黑体" w:hAnsi="黑体" w:eastAsia="黑体" w:cs="黑体"/>
          <w:sz w:val="16"/>
          <w:szCs w:val="16"/>
        </w:rPr>
      </w:pPr>
      <w:r>
        <w:rPr>
          <w:rFonts w:ascii="黑体" w:hAnsi="黑体" w:eastAsia="黑体" w:cs="黑体"/>
          <w:b/>
          <w:bCs/>
          <w:spacing w:val="-10"/>
          <w:sz w:val="16"/>
          <w:szCs w:val="16"/>
        </w:rPr>
        <w:t>图</w:t>
      </w:r>
      <w:r>
        <w:rPr>
          <w:rFonts w:ascii="黑体" w:hAnsi="黑体" w:eastAsia="黑体" w:cs="黑体"/>
          <w:spacing w:val="47"/>
          <w:sz w:val="16"/>
          <w:szCs w:val="16"/>
        </w:rPr>
        <w:t xml:space="preserve"> </w:t>
      </w:r>
      <w:r>
        <w:rPr>
          <w:rFonts w:ascii="黑体" w:hAnsi="黑体" w:eastAsia="黑体" w:cs="黑体"/>
          <w:b/>
          <w:bCs/>
          <w:spacing w:val="-10"/>
          <w:sz w:val="16"/>
          <w:szCs w:val="16"/>
        </w:rPr>
        <w:t>例</w:t>
      </w:r>
    </w:p>
    <w:p w14:paraId="5DAAB775">
      <w:pPr>
        <w:pStyle w:val="2"/>
        <w:spacing w:line="393" w:lineRule="auto"/>
      </w:pPr>
    </w:p>
    <w:p w14:paraId="7ED0668E">
      <w:pPr>
        <w:spacing w:before="55" w:line="188" w:lineRule="auto"/>
        <w:ind w:left="4554"/>
        <w:rPr>
          <w:rFonts w:ascii="Times New Roman" w:hAnsi="Times New Roman" w:eastAsia="Times New Roman" w:cs="Times New Roman"/>
          <w:sz w:val="19"/>
          <w:szCs w:val="19"/>
        </w:rPr>
      </w:pPr>
      <w:r>
        <w:rPr>
          <w:rFonts w:ascii="Times New Roman" w:hAnsi="Times New Roman" w:eastAsia="Times New Roman" w:cs="Times New Roman"/>
          <w:color w:val="B05040"/>
          <w:spacing w:val="2"/>
          <w:sz w:val="19"/>
          <w:szCs w:val="19"/>
        </w:rPr>
        <w:t>1</w:t>
      </w:r>
      <w:r>
        <w:rPr>
          <w:rFonts w:ascii="Times New Roman" w:hAnsi="Times New Roman" w:eastAsia="Times New Roman" w:cs="Times New Roman"/>
          <w:color w:val="FF2010"/>
          <w:spacing w:val="2"/>
          <w:sz w:val="19"/>
          <w:szCs w:val="19"/>
        </w:rPr>
        <w:t>0</w:t>
      </w:r>
    </w:p>
    <w:p w14:paraId="2A6AB233">
      <w:pPr>
        <w:spacing w:before="229" w:line="221" w:lineRule="auto"/>
        <w:ind w:left="4514"/>
        <w:rPr>
          <w:rFonts w:ascii="宋体" w:hAnsi="宋体" w:eastAsia="宋体" w:cs="宋体"/>
          <w:sz w:val="16"/>
          <w:szCs w:val="16"/>
        </w:rPr>
      </w:pPr>
      <w:r>
        <w:pict>
          <v:shape id="_x0000_s1079" o:spid="_x0000_s1079" o:spt="202" type="#_x0000_t202" style="position:absolute;left:0pt;margin-left:91.8pt;margin-top:16.2pt;height:9.25pt;width:39.65pt;z-index:251691008;mso-width-relative:page;mso-height-relative:page;" filled="f" stroked="f" coordsize="21600,21600">
            <v:path/>
            <v:fill on="f" focussize="0,0"/>
            <v:stroke on="f"/>
            <v:imagedata o:title=""/>
            <o:lock v:ext="edit" aspectratio="f"/>
            <v:textbox inset="0mm,0mm,0mm,0mm">
              <w:txbxContent>
                <w:p w14:paraId="3698A36C">
                  <w:pPr>
                    <w:spacing w:before="20" w:line="222" w:lineRule="auto"/>
                    <w:ind w:left="20"/>
                    <w:rPr>
                      <w:rFonts w:ascii="黑体" w:hAnsi="黑体" w:eastAsia="黑体" w:cs="黑体"/>
                      <w:sz w:val="12"/>
                      <w:szCs w:val="12"/>
                    </w:rPr>
                  </w:pPr>
                  <w:r>
                    <w:rPr>
                      <w:rFonts w:ascii="黑体" w:hAnsi="黑体" w:eastAsia="黑体" w:cs="黑体"/>
                      <w:b/>
                      <w:bCs/>
                      <w:spacing w:val="4"/>
                      <w:sz w:val="12"/>
                      <w:szCs w:val="12"/>
                    </w:rPr>
                    <w:t>噪声监测点位</w:t>
                  </w:r>
                </w:p>
              </w:txbxContent>
            </v:textbox>
          </v:shape>
        </w:pict>
      </w:r>
      <w:r>
        <w:rPr>
          <w:rFonts w:ascii="宋体" w:hAnsi="宋体" w:eastAsia="宋体" w:cs="宋体"/>
          <w:color w:val="D06070"/>
          <w:spacing w:val="-4"/>
          <w:sz w:val="16"/>
          <w:szCs w:val="16"/>
        </w:rPr>
        <w:t>220</w:t>
      </w:r>
      <w:r>
        <w:rPr>
          <w:rFonts w:ascii="宋体" w:hAnsi="宋体" w:eastAsia="宋体" w:cs="宋体"/>
          <w:color w:val="D06070"/>
          <w:spacing w:val="-24"/>
          <w:sz w:val="16"/>
          <w:szCs w:val="16"/>
        </w:rPr>
        <w:t xml:space="preserve"> </w:t>
      </w:r>
      <w:r>
        <w:rPr>
          <w:rFonts w:ascii="宋体" w:hAnsi="宋体" w:eastAsia="宋体" w:cs="宋体"/>
          <w:color w:val="E03050"/>
          <w:spacing w:val="-4"/>
          <w:sz w:val="16"/>
          <w:szCs w:val="16"/>
        </w:rPr>
        <w:t>2</w:t>
      </w:r>
      <w:r>
        <w:rPr>
          <w:rFonts w:ascii="宋体" w:hAnsi="宋体" w:eastAsia="宋体" w:cs="宋体"/>
          <w:color w:val="E03050"/>
          <w:spacing w:val="-22"/>
          <w:sz w:val="16"/>
          <w:szCs w:val="16"/>
        </w:rPr>
        <w:t xml:space="preserve"> </w:t>
      </w:r>
      <w:r>
        <w:rPr>
          <w:rFonts w:ascii="宋体" w:hAnsi="宋体" w:eastAsia="宋体" w:cs="宋体"/>
          <w:color w:val="D03070"/>
          <w:spacing w:val="-4"/>
          <w:sz w:val="16"/>
          <w:szCs w:val="16"/>
        </w:rPr>
        <w:t>7</w:t>
      </w:r>
      <w:r>
        <w:rPr>
          <w:rFonts w:ascii="宋体" w:hAnsi="宋体" w:eastAsia="宋体" w:cs="宋体"/>
          <w:color w:val="E03050"/>
          <w:spacing w:val="-4"/>
          <w:sz w:val="16"/>
          <w:szCs w:val="16"/>
        </w:rPr>
        <w:t>母 压 站</w:t>
      </w:r>
    </w:p>
    <w:p w14:paraId="5AACE24B">
      <w:pPr>
        <w:pStyle w:val="2"/>
        <w:spacing w:line="269" w:lineRule="auto"/>
      </w:pPr>
    </w:p>
    <w:p w14:paraId="3C7E1335">
      <w:pPr>
        <w:spacing w:before="43" w:line="222" w:lineRule="auto"/>
        <w:ind w:left="1836"/>
        <w:rPr>
          <w:rFonts w:ascii="黑体" w:hAnsi="黑体" w:eastAsia="黑体" w:cs="黑体"/>
          <w:sz w:val="13"/>
          <w:szCs w:val="13"/>
        </w:rPr>
      </w:pPr>
      <w:r>
        <w:rPr>
          <w:rFonts w:ascii="黑体" w:hAnsi="黑体" w:eastAsia="黑体" w:cs="黑体"/>
          <w:b/>
          <w:bCs/>
          <w:spacing w:val="-4"/>
          <w:sz w:val="13"/>
          <w:szCs w:val="13"/>
        </w:rPr>
        <w:t>电磁监测点位</w:t>
      </w:r>
    </w:p>
    <w:p w14:paraId="458C43CC">
      <w:pPr>
        <w:pStyle w:val="2"/>
        <w:spacing w:line="419" w:lineRule="auto"/>
      </w:pPr>
    </w:p>
    <w:p w14:paraId="10E0ABC3">
      <w:pPr>
        <w:spacing w:before="85" w:line="223" w:lineRule="auto"/>
        <w:ind w:left="2788"/>
        <w:rPr>
          <w:rFonts w:ascii="宋体" w:hAnsi="宋体" w:eastAsia="宋体" w:cs="宋体"/>
          <w:sz w:val="26"/>
          <w:szCs w:val="26"/>
        </w:rPr>
      </w:pPr>
      <w:r>
        <w:rPr>
          <w:rFonts w:ascii="仿宋" w:hAnsi="仿宋" w:eastAsia="仿宋" w:cs="仿宋"/>
          <w:b/>
          <w:bCs/>
          <w:spacing w:val="-15"/>
          <w:sz w:val="26"/>
          <w:szCs w:val="26"/>
        </w:rPr>
        <w:t>图</w:t>
      </w:r>
      <w:r>
        <w:rPr>
          <w:rFonts w:ascii="宋体" w:hAnsi="宋体" w:eastAsia="宋体" w:cs="宋体"/>
          <w:spacing w:val="-15"/>
          <w:sz w:val="26"/>
          <w:szCs w:val="26"/>
        </w:rPr>
        <w:t>5.1-1</w:t>
      </w:r>
      <w:r>
        <w:rPr>
          <w:rFonts w:ascii="宋体" w:hAnsi="宋体" w:eastAsia="宋体" w:cs="宋体"/>
          <w:spacing w:val="77"/>
          <w:sz w:val="26"/>
          <w:szCs w:val="26"/>
        </w:rPr>
        <w:t xml:space="preserve"> </w:t>
      </w:r>
      <w:r>
        <w:rPr>
          <w:rFonts w:ascii="宋体" w:hAnsi="宋体" w:eastAsia="宋体" w:cs="宋体"/>
          <w:spacing w:val="-15"/>
          <w:sz w:val="26"/>
          <w:szCs w:val="26"/>
        </w:rPr>
        <w:t>升压站监测布点图</w:t>
      </w:r>
    </w:p>
    <w:p w14:paraId="1B7B403E">
      <w:pPr>
        <w:spacing w:before="167" w:line="217" w:lineRule="auto"/>
        <w:ind w:left="565"/>
        <w:rPr>
          <w:rFonts w:ascii="宋体" w:hAnsi="宋体" w:eastAsia="宋体" w:cs="宋体"/>
          <w:sz w:val="24"/>
          <w:szCs w:val="24"/>
        </w:rPr>
      </w:pPr>
      <w:r>
        <w:rPr>
          <w:rFonts w:ascii="宋体" w:hAnsi="宋体" w:eastAsia="宋体" w:cs="宋体"/>
          <w:spacing w:val="-6"/>
          <w:sz w:val="24"/>
          <w:szCs w:val="24"/>
        </w:rPr>
        <w:t>⑥仪器型号：</w:t>
      </w:r>
    </w:p>
    <w:p w14:paraId="0B9756B6">
      <w:pPr>
        <w:spacing w:before="202" w:line="220" w:lineRule="auto"/>
        <w:ind w:left="565"/>
        <w:rPr>
          <w:rFonts w:ascii="宋体" w:hAnsi="宋体" w:eastAsia="宋体" w:cs="宋体"/>
          <w:sz w:val="24"/>
          <w:szCs w:val="24"/>
        </w:rPr>
      </w:pPr>
      <w:r>
        <w:rPr>
          <w:rFonts w:ascii="Times New Roman" w:hAnsi="Times New Roman" w:eastAsia="Times New Roman" w:cs="Times New Roman"/>
          <w:spacing w:val="-3"/>
          <w:sz w:val="24"/>
          <w:szCs w:val="24"/>
        </w:rPr>
        <w:t>a.</w:t>
      </w:r>
      <w:r>
        <w:rPr>
          <w:rFonts w:ascii="宋体" w:hAnsi="宋体" w:eastAsia="宋体" w:cs="宋体"/>
          <w:spacing w:val="-3"/>
          <w:sz w:val="24"/>
          <w:szCs w:val="24"/>
        </w:rPr>
        <w:t>工频电场、工频磁场：</w:t>
      </w:r>
    </w:p>
    <w:p w14:paraId="17993903">
      <w:pPr>
        <w:spacing w:before="181" w:line="219" w:lineRule="auto"/>
        <w:ind w:left="565"/>
        <w:rPr>
          <w:rFonts w:ascii="宋体" w:hAnsi="宋体" w:eastAsia="宋体" w:cs="宋体"/>
          <w:sz w:val="24"/>
          <w:szCs w:val="24"/>
        </w:rPr>
      </w:pPr>
      <w:r>
        <w:rPr>
          <w:rFonts w:ascii="宋体" w:hAnsi="宋体" w:eastAsia="宋体" w:cs="宋体"/>
          <w:spacing w:val="-3"/>
          <w:sz w:val="24"/>
          <w:szCs w:val="24"/>
        </w:rPr>
        <w:t>主机型号：</w:t>
      </w:r>
      <w:r>
        <w:rPr>
          <w:rFonts w:ascii="Times New Roman" w:hAnsi="Times New Roman" w:eastAsia="Times New Roman" w:cs="Times New Roman"/>
          <w:spacing w:val="-3"/>
          <w:sz w:val="24"/>
          <w:szCs w:val="24"/>
        </w:rPr>
        <w:t>HI-3604</w:t>
      </w:r>
      <w:r>
        <w:rPr>
          <w:rFonts w:ascii="Times New Roman" w:hAnsi="Times New Roman" w:eastAsia="Times New Roman" w:cs="Times New Roman"/>
          <w:spacing w:val="31"/>
          <w:w w:val="101"/>
          <w:sz w:val="24"/>
          <w:szCs w:val="24"/>
        </w:rPr>
        <w:t xml:space="preserve"> </w:t>
      </w:r>
      <w:r>
        <w:rPr>
          <w:rFonts w:ascii="宋体" w:hAnsi="宋体" w:eastAsia="宋体" w:cs="宋体"/>
          <w:spacing w:val="-3"/>
          <w:sz w:val="24"/>
          <w:szCs w:val="24"/>
        </w:rPr>
        <w:t>工频电磁场分析</w:t>
      </w:r>
      <w:r>
        <w:rPr>
          <w:rFonts w:ascii="宋体" w:hAnsi="宋体" w:eastAsia="宋体" w:cs="宋体"/>
          <w:spacing w:val="-4"/>
          <w:sz w:val="24"/>
          <w:szCs w:val="24"/>
        </w:rPr>
        <w:t>仪。</w:t>
      </w:r>
    </w:p>
    <w:p w14:paraId="36CC4D5C">
      <w:pPr>
        <w:spacing w:before="167" w:line="219" w:lineRule="auto"/>
        <w:ind w:left="565"/>
        <w:rPr>
          <w:rFonts w:ascii="宋体" w:hAnsi="宋体" w:eastAsia="宋体" w:cs="宋体"/>
          <w:sz w:val="24"/>
          <w:szCs w:val="24"/>
        </w:rPr>
      </w:pPr>
      <w:r>
        <w:rPr>
          <w:rFonts w:ascii="Times New Roman" w:hAnsi="Times New Roman" w:eastAsia="Times New Roman" w:cs="Times New Roman"/>
          <w:spacing w:val="1"/>
          <w:sz w:val="24"/>
          <w:szCs w:val="24"/>
        </w:rPr>
        <w:t>b.</w:t>
      </w:r>
      <w:r>
        <w:rPr>
          <w:rFonts w:ascii="宋体" w:hAnsi="宋体" w:eastAsia="宋体" w:cs="宋体"/>
          <w:spacing w:val="1"/>
          <w:sz w:val="24"/>
          <w:szCs w:val="24"/>
        </w:rPr>
        <w:t>监测仪器</w:t>
      </w:r>
    </w:p>
    <w:p w14:paraId="5D9CBA09">
      <w:pPr>
        <w:spacing w:before="196" w:line="219" w:lineRule="auto"/>
        <w:ind w:left="565"/>
        <w:rPr>
          <w:rFonts w:ascii="宋体" w:hAnsi="宋体" w:eastAsia="宋体" w:cs="宋体"/>
          <w:sz w:val="24"/>
          <w:szCs w:val="24"/>
        </w:rPr>
      </w:pPr>
      <w:r>
        <w:rPr>
          <w:rFonts w:ascii="宋体" w:hAnsi="宋体" w:eastAsia="宋体" w:cs="宋体"/>
          <w:sz w:val="24"/>
          <w:szCs w:val="24"/>
        </w:rPr>
        <w:t>监测仪器：</w:t>
      </w:r>
      <w:r>
        <w:rPr>
          <w:rFonts w:ascii="Times New Roman" w:hAnsi="Times New Roman" w:eastAsia="Times New Roman" w:cs="Times New Roman"/>
          <w:sz w:val="24"/>
          <w:szCs w:val="24"/>
        </w:rPr>
        <w:t>HI-3604</w:t>
      </w:r>
      <w:r>
        <w:rPr>
          <w:rFonts w:ascii="Times New Roman" w:hAnsi="Times New Roman" w:eastAsia="Times New Roman" w:cs="Times New Roman"/>
          <w:spacing w:val="21"/>
          <w:sz w:val="24"/>
          <w:szCs w:val="24"/>
        </w:rPr>
        <w:t xml:space="preserve"> </w:t>
      </w:r>
      <w:r>
        <w:rPr>
          <w:rFonts w:ascii="宋体" w:hAnsi="宋体" w:eastAsia="宋体" w:cs="宋体"/>
          <w:sz w:val="24"/>
          <w:szCs w:val="24"/>
        </w:rPr>
        <w:t>工频电磁场分析仪11965、</w:t>
      </w:r>
      <w:r>
        <w:rPr>
          <w:rFonts w:ascii="宋体" w:hAnsi="宋体" w:eastAsia="宋体" w:cs="宋体"/>
          <w:spacing w:val="-60"/>
          <w:sz w:val="24"/>
          <w:szCs w:val="24"/>
        </w:rPr>
        <w:t xml:space="preserve"> </w:t>
      </w:r>
      <w:r>
        <w:rPr>
          <w:rFonts w:ascii="Times New Roman" w:hAnsi="Times New Roman" w:eastAsia="Times New Roman" w:cs="Times New Roman"/>
          <w:sz w:val="24"/>
          <w:szCs w:val="24"/>
        </w:rPr>
        <w:t xml:space="preserve">TES-1393 </w:t>
      </w:r>
      <w:r>
        <w:rPr>
          <w:rFonts w:ascii="宋体" w:hAnsi="宋体" w:eastAsia="宋体" w:cs="宋体"/>
          <w:sz w:val="24"/>
          <w:szCs w:val="24"/>
        </w:rPr>
        <w:t>高斯计1196</w:t>
      </w:r>
      <w:r>
        <w:rPr>
          <w:rFonts w:ascii="宋体" w:hAnsi="宋体" w:eastAsia="宋体" w:cs="宋体"/>
          <w:spacing w:val="-1"/>
          <w:sz w:val="24"/>
          <w:szCs w:val="24"/>
        </w:rPr>
        <w:t>8。</w:t>
      </w:r>
    </w:p>
    <w:p w14:paraId="029616EA">
      <w:pPr>
        <w:spacing w:before="185" w:line="219" w:lineRule="auto"/>
        <w:ind w:left="565"/>
        <w:rPr>
          <w:rFonts w:ascii="宋体" w:hAnsi="宋体" w:eastAsia="宋体" w:cs="宋体"/>
          <w:sz w:val="24"/>
          <w:szCs w:val="24"/>
        </w:rPr>
      </w:pPr>
      <w:r>
        <w:rPr>
          <w:rFonts w:ascii="Times New Roman" w:hAnsi="Times New Roman" w:eastAsia="Times New Roman" w:cs="Times New Roman"/>
          <w:spacing w:val="-2"/>
          <w:sz w:val="24"/>
          <w:szCs w:val="24"/>
        </w:rPr>
        <w:t>c.</w:t>
      </w:r>
      <w:r>
        <w:rPr>
          <w:rFonts w:ascii="Times New Roman" w:hAnsi="Times New Roman" w:eastAsia="Times New Roman" w:cs="Times New Roman"/>
          <w:spacing w:val="-17"/>
          <w:sz w:val="24"/>
          <w:szCs w:val="24"/>
        </w:rPr>
        <w:t xml:space="preserve"> </w:t>
      </w:r>
      <w:r>
        <w:rPr>
          <w:rFonts w:ascii="宋体" w:hAnsi="宋体" w:eastAsia="宋体" w:cs="宋体"/>
          <w:spacing w:val="-2"/>
          <w:sz w:val="24"/>
          <w:szCs w:val="24"/>
        </w:rPr>
        <w:t>监测期间气象条件</w:t>
      </w:r>
    </w:p>
    <w:p w14:paraId="69EDBD67">
      <w:pPr>
        <w:spacing w:line="219" w:lineRule="auto"/>
        <w:rPr>
          <w:rFonts w:ascii="宋体" w:hAnsi="宋体" w:eastAsia="宋体" w:cs="宋体"/>
          <w:sz w:val="24"/>
          <w:szCs w:val="24"/>
        </w:rPr>
        <w:sectPr>
          <w:footerReference r:id="rId148" w:type="default"/>
          <w:pgSz w:w="11910" w:h="16830"/>
          <w:pgMar w:top="1426" w:right="1705" w:bottom="1033" w:left="1675" w:header="0" w:footer="871" w:gutter="0"/>
          <w:cols w:space="720" w:num="1"/>
        </w:sectPr>
      </w:pPr>
    </w:p>
    <w:p w14:paraId="6ED0A0BC">
      <w:pPr>
        <w:spacing w:before="48" w:line="367" w:lineRule="auto"/>
        <w:ind w:right="87" w:firstLine="480"/>
        <w:rPr>
          <w:rFonts w:ascii="宋体" w:hAnsi="宋体" w:eastAsia="宋体" w:cs="宋体"/>
          <w:sz w:val="24"/>
          <w:szCs w:val="24"/>
        </w:rPr>
      </w:pPr>
      <w:r>
        <w:rPr>
          <w:rFonts w:ascii="宋体" w:hAnsi="宋体" w:eastAsia="宋体" w:cs="宋体"/>
          <w:spacing w:val="1"/>
          <w:sz w:val="24"/>
          <w:szCs w:val="24"/>
        </w:rPr>
        <w:t>2021年4月18日，监测期间天气：晴、风速风向：昼</w:t>
      </w:r>
      <w:r>
        <w:rPr>
          <w:rFonts w:ascii="宋体" w:hAnsi="宋体" w:eastAsia="宋体" w:cs="宋体"/>
          <w:sz w:val="24"/>
          <w:szCs w:val="24"/>
        </w:rPr>
        <w:t xml:space="preserve">：2.8m/s,夜：2.3m/s, </w:t>
      </w:r>
      <w:r>
        <w:rPr>
          <w:rFonts w:ascii="宋体" w:hAnsi="宋体" w:eastAsia="宋体" w:cs="宋体"/>
          <w:spacing w:val="-10"/>
          <w:sz w:val="24"/>
          <w:szCs w:val="24"/>
        </w:rPr>
        <w:t>西南风。</w:t>
      </w:r>
    </w:p>
    <w:p w14:paraId="050FBAA8">
      <w:pPr>
        <w:spacing w:line="220" w:lineRule="auto"/>
        <w:ind w:left="480"/>
        <w:rPr>
          <w:rFonts w:ascii="宋体" w:hAnsi="宋体" w:eastAsia="宋体" w:cs="宋体"/>
          <w:sz w:val="24"/>
          <w:szCs w:val="24"/>
        </w:rPr>
      </w:pPr>
      <w:r>
        <w:rPr>
          <w:rFonts w:ascii="Times New Roman" w:hAnsi="Times New Roman" w:eastAsia="Times New Roman" w:cs="Times New Roman"/>
          <w:sz w:val="24"/>
          <w:szCs w:val="24"/>
        </w:rPr>
        <w:t>d.</w:t>
      </w:r>
      <w:r>
        <w:rPr>
          <w:rFonts w:ascii="宋体" w:hAnsi="宋体" w:eastAsia="宋体" w:cs="宋体"/>
          <w:sz w:val="24"/>
          <w:szCs w:val="24"/>
        </w:rPr>
        <w:t>监测单位</w:t>
      </w:r>
    </w:p>
    <w:p w14:paraId="35CFAD81">
      <w:pPr>
        <w:spacing w:before="173" w:line="219" w:lineRule="auto"/>
        <w:ind w:left="480"/>
        <w:rPr>
          <w:rFonts w:ascii="宋体" w:hAnsi="宋体" w:eastAsia="宋体" w:cs="宋体"/>
          <w:sz w:val="24"/>
          <w:szCs w:val="24"/>
        </w:rPr>
      </w:pPr>
      <w:r>
        <w:rPr>
          <w:rFonts w:ascii="宋体" w:hAnsi="宋体" w:eastAsia="宋体" w:cs="宋体"/>
          <w:spacing w:val="-4"/>
          <w:sz w:val="24"/>
          <w:szCs w:val="24"/>
        </w:rPr>
        <w:t>云南升环检测技术有限公司。</w:t>
      </w:r>
    </w:p>
    <w:p w14:paraId="2E2F1490">
      <w:pPr>
        <w:spacing w:before="182" w:line="217" w:lineRule="auto"/>
        <w:ind w:left="480"/>
        <w:rPr>
          <w:rFonts w:ascii="宋体" w:hAnsi="宋体" w:eastAsia="宋体" w:cs="宋体"/>
          <w:sz w:val="24"/>
          <w:szCs w:val="24"/>
        </w:rPr>
      </w:pPr>
      <w:r>
        <w:rPr>
          <w:rFonts w:ascii="宋体" w:hAnsi="宋体" w:eastAsia="宋体" w:cs="宋体"/>
          <w:spacing w:val="-1"/>
          <w:sz w:val="24"/>
          <w:szCs w:val="24"/>
        </w:rPr>
        <w:t>⑦类比项目监测结果</w:t>
      </w:r>
    </w:p>
    <w:p w14:paraId="685C9D45">
      <w:pPr>
        <w:spacing w:before="179" w:line="354" w:lineRule="auto"/>
        <w:ind w:right="85" w:firstLine="480"/>
        <w:rPr>
          <w:rFonts w:ascii="宋体" w:hAnsi="宋体" w:eastAsia="宋体" w:cs="宋体"/>
          <w:sz w:val="24"/>
          <w:szCs w:val="24"/>
        </w:rPr>
      </w:pPr>
      <w:r>
        <w:rPr>
          <w:rFonts w:ascii="宋体" w:hAnsi="宋体" w:eastAsia="宋体" w:cs="宋体"/>
          <w:spacing w:val="13"/>
          <w:sz w:val="24"/>
          <w:szCs w:val="24"/>
        </w:rPr>
        <w:t>云南升环检测技术有限公司于2021年4月18日对百花山风电场220</w:t>
      </w:r>
      <w:r>
        <w:rPr>
          <w:rFonts w:ascii="宋体" w:hAnsi="宋体" w:eastAsia="宋体" w:cs="宋体"/>
          <w:sz w:val="24"/>
          <w:szCs w:val="24"/>
        </w:rPr>
        <w:t>kV</w:t>
      </w:r>
      <w:r>
        <w:rPr>
          <w:rFonts w:ascii="宋体" w:hAnsi="宋体" w:eastAsia="宋体" w:cs="宋体"/>
          <w:spacing w:val="13"/>
          <w:sz w:val="24"/>
          <w:szCs w:val="24"/>
        </w:rPr>
        <w:t xml:space="preserve"> 升</w:t>
      </w:r>
      <w:r>
        <w:rPr>
          <w:rFonts w:ascii="宋体" w:hAnsi="宋体" w:eastAsia="宋体" w:cs="宋体"/>
          <w:spacing w:val="2"/>
          <w:sz w:val="24"/>
          <w:szCs w:val="24"/>
        </w:rPr>
        <w:t xml:space="preserve"> </w:t>
      </w:r>
      <w:r>
        <w:rPr>
          <w:rFonts w:ascii="宋体" w:hAnsi="宋体" w:eastAsia="宋体" w:cs="宋体"/>
          <w:spacing w:val="1"/>
          <w:sz w:val="24"/>
          <w:szCs w:val="24"/>
        </w:rPr>
        <w:t>压站工频电场、工频磁场进行竣工环保验收监测，共设置4个监</w:t>
      </w:r>
      <w:r>
        <w:rPr>
          <w:rFonts w:ascii="宋体" w:hAnsi="宋体" w:eastAsia="宋体" w:cs="宋体"/>
          <w:sz w:val="24"/>
          <w:szCs w:val="24"/>
        </w:rPr>
        <w:t>测点位，分别位</w:t>
      </w:r>
    </w:p>
    <w:p w14:paraId="786F7054">
      <w:pPr>
        <w:tabs>
          <w:tab w:val="left" w:pos="140"/>
        </w:tabs>
        <w:spacing w:line="359" w:lineRule="auto"/>
        <w:ind w:right="105"/>
        <w:jc w:val="both"/>
        <w:rPr>
          <w:rFonts w:ascii="宋体" w:hAnsi="宋体" w:eastAsia="宋体" w:cs="宋体"/>
          <w:sz w:val="24"/>
          <w:szCs w:val="24"/>
        </w:rPr>
      </w:pPr>
      <w:r>
        <w:rPr>
          <w:rFonts w:ascii="宋体" w:hAnsi="宋体" w:eastAsia="宋体" w:cs="宋体"/>
          <w:spacing w:val="25"/>
          <w:sz w:val="24"/>
          <w:szCs w:val="24"/>
        </w:rPr>
        <w:t>于升压站四周厂界外5</w:t>
      </w:r>
      <w:r>
        <w:rPr>
          <w:rFonts w:ascii="Times New Roman" w:hAnsi="Times New Roman" w:eastAsia="Times New Roman" w:cs="Times New Roman"/>
          <w:spacing w:val="25"/>
          <w:sz w:val="24"/>
          <w:szCs w:val="24"/>
        </w:rPr>
        <w:t xml:space="preserve">m </w:t>
      </w:r>
      <w:r>
        <w:rPr>
          <w:rFonts w:ascii="宋体" w:hAnsi="宋体" w:eastAsia="宋体" w:cs="宋体"/>
          <w:spacing w:val="25"/>
          <w:sz w:val="24"/>
          <w:szCs w:val="24"/>
        </w:rPr>
        <w:t>处。监测结果中工频电场强度最大值为251</w:t>
      </w:r>
      <w:r>
        <w:rPr>
          <w:rFonts w:ascii="Times New Roman" w:hAnsi="Times New Roman" w:eastAsia="Times New Roman" w:cs="Times New Roman"/>
          <w:spacing w:val="25"/>
          <w:sz w:val="24"/>
          <w:szCs w:val="24"/>
        </w:rPr>
        <w:t>V/m</w:t>
      </w:r>
      <w:r>
        <w:rPr>
          <w:rFonts w:ascii="Times New Roman" w:hAnsi="Times New Roman" w:eastAsia="Times New Roman" w:cs="Times New Roman"/>
          <w:spacing w:val="14"/>
          <w:sz w:val="24"/>
          <w:szCs w:val="24"/>
        </w:rPr>
        <w:t xml:space="preserve"> </w:t>
      </w:r>
      <w:r>
        <w:rPr>
          <w:rFonts w:ascii="宋体" w:hAnsi="宋体" w:eastAsia="宋体" w:cs="宋体"/>
          <w:sz w:val="24"/>
          <w:szCs w:val="24"/>
        </w:rPr>
        <w:tab/>
      </w:r>
      <w:r>
        <w:rPr>
          <w:rFonts w:ascii="宋体" w:hAnsi="宋体" w:eastAsia="宋体" w:cs="宋体"/>
          <w:spacing w:val="2"/>
          <w:sz w:val="24"/>
          <w:szCs w:val="24"/>
        </w:rPr>
        <w:t>(0.251</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/m),   </w:t>
      </w:r>
      <w:r>
        <w:rPr>
          <w:rFonts w:ascii="宋体" w:hAnsi="宋体" w:eastAsia="宋体" w:cs="宋体"/>
          <w:spacing w:val="2"/>
          <w:sz w:val="24"/>
          <w:szCs w:val="24"/>
        </w:rPr>
        <w:t>工频磁感应强度最大值为423</w:t>
      </w:r>
      <w:r>
        <w:rPr>
          <w:rFonts w:ascii="Times New Roman" w:hAnsi="Times New Roman" w:eastAsia="Times New Roman" w:cs="Times New Roman"/>
          <w:sz w:val="24"/>
          <w:szCs w:val="24"/>
        </w:rPr>
        <w:t>nT</w:t>
      </w:r>
      <w:r>
        <w:rPr>
          <w:rFonts w:ascii="Times New Roman" w:hAnsi="Times New Roman" w:eastAsia="Times New Roman" w:cs="Times New Roman"/>
          <w:spacing w:val="2"/>
          <w:sz w:val="24"/>
          <w:szCs w:val="24"/>
        </w:rPr>
        <w:t xml:space="preserve">(0.423μT),        </w:t>
      </w:r>
      <w:r>
        <w:rPr>
          <w:rFonts w:ascii="宋体" w:hAnsi="宋体" w:eastAsia="宋体" w:cs="宋体"/>
          <w:spacing w:val="2"/>
          <w:sz w:val="24"/>
          <w:szCs w:val="24"/>
        </w:rPr>
        <w:t>均符合</w:t>
      </w:r>
      <w:r>
        <w:rPr>
          <w:rFonts w:ascii="宋体" w:hAnsi="宋体" w:eastAsia="宋体" w:cs="宋体"/>
          <w:spacing w:val="1"/>
          <w:sz w:val="24"/>
          <w:szCs w:val="24"/>
        </w:rPr>
        <w:t>标准限值</w:t>
      </w:r>
      <w:r>
        <w:rPr>
          <w:rFonts w:ascii="宋体" w:hAnsi="宋体" w:eastAsia="宋体" w:cs="宋体"/>
          <w:sz w:val="24"/>
          <w:szCs w:val="24"/>
        </w:rPr>
        <w:t xml:space="preserve"> </w:t>
      </w:r>
      <w:r>
        <w:rPr>
          <w:rFonts w:ascii="宋体" w:hAnsi="宋体" w:eastAsia="宋体" w:cs="宋体"/>
          <w:spacing w:val="1"/>
          <w:sz w:val="24"/>
          <w:szCs w:val="24"/>
        </w:rPr>
        <w:t>要求。百花山风电场220</w:t>
      </w:r>
      <w:r>
        <w:rPr>
          <w:rFonts w:ascii="Times New Roman" w:hAnsi="Times New Roman" w:eastAsia="Times New Roman" w:cs="Times New Roman"/>
          <w:sz w:val="24"/>
          <w:szCs w:val="24"/>
        </w:rPr>
        <w:t>kV</w:t>
      </w:r>
      <w:r>
        <w:rPr>
          <w:rFonts w:ascii="Times New Roman" w:hAnsi="Times New Roman" w:eastAsia="Times New Roman" w:cs="Times New Roman"/>
          <w:spacing w:val="-8"/>
          <w:sz w:val="24"/>
          <w:szCs w:val="24"/>
        </w:rPr>
        <w:t xml:space="preserve"> </w:t>
      </w:r>
      <w:r>
        <w:rPr>
          <w:rFonts w:ascii="宋体" w:hAnsi="宋体" w:eastAsia="宋体" w:cs="宋体"/>
          <w:spacing w:val="1"/>
          <w:sz w:val="24"/>
          <w:szCs w:val="24"/>
        </w:rPr>
        <w:t>升压站厂界工频电场、工频磁场监测结果见下表。</w:t>
      </w:r>
    </w:p>
    <w:p w14:paraId="23CB5BE2">
      <w:pPr>
        <w:spacing w:line="219" w:lineRule="auto"/>
        <w:rPr>
          <w:rFonts w:ascii="宋体" w:hAnsi="宋体" w:eastAsia="宋体" w:cs="宋体"/>
          <w:sz w:val="25"/>
          <w:szCs w:val="25"/>
        </w:rPr>
      </w:pPr>
      <w:r>
        <w:rPr>
          <w:rFonts w:ascii="宋体" w:hAnsi="宋体" w:eastAsia="宋体" w:cs="宋体"/>
          <w:sz w:val="25"/>
          <w:szCs w:val="25"/>
        </w:rPr>
        <w:t>表5.1-3</w:t>
      </w:r>
      <w:r>
        <w:rPr>
          <w:rFonts w:ascii="宋体" w:hAnsi="宋体" w:eastAsia="宋体" w:cs="宋体"/>
          <w:spacing w:val="119"/>
          <w:sz w:val="25"/>
          <w:szCs w:val="25"/>
        </w:rPr>
        <w:t xml:space="preserve"> </w:t>
      </w:r>
      <w:r>
        <w:rPr>
          <w:rFonts w:ascii="宋体" w:hAnsi="宋体" w:eastAsia="宋体" w:cs="宋体"/>
          <w:sz w:val="25"/>
          <w:szCs w:val="25"/>
        </w:rPr>
        <w:t>关于类比对象(百花山风电场)220</w:t>
      </w:r>
      <w:r>
        <w:rPr>
          <w:rFonts w:ascii="Times New Roman" w:hAnsi="Times New Roman" w:eastAsia="Times New Roman" w:cs="Times New Roman"/>
          <w:sz w:val="25"/>
          <w:szCs w:val="25"/>
        </w:rPr>
        <w:t>kv</w:t>
      </w:r>
      <w:r>
        <w:rPr>
          <w:rFonts w:ascii="Times New Roman" w:hAnsi="Times New Roman" w:eastAsia="Times New Roman" w:cs="Times New Roman"/>
          <w:spacing w:val="-21"/>
          <w:sz w:val="25"/>
          <w:szCs w:val="25"/>
        </w:rPr>
        <w:t xml:space="preserve"> </w:t>
      </w:r>
      <w:r>
        <w:rPr>
          <w:rFonts w:ascii="宋体" w:hAnsi="宋体" w:eastAsia="宋体" w:cs="宋体"/>
          <w:sz w:val="25"/>
          <w:szCs w:val="25"/>
        </w:rPr>
        <w:t>升压站厂界工频电场、工频磁</w:t>
      </w:r>
    </w:p>
    <w:p w14:paraId="615E308B">
      <w:pPr>
        <w:spacing w:before="31" w:line="220" w:lineRule="auto"/>
        <w:ind w:left="3213"/>
        <w:rPr>
          <w:rFonts w:ascii="宋体" w:hAnsi="宋体" w:eastAsia="宋体" w:cs="宋体"/>
          <w:sz w:val="24"/>
          <w:szCs w:val="24"/>
        </w:rPr>
      </w:pPr>
      <w:r>
        <w:rPr>
          <w:rFonts w:ascii="宋体" w:hAnsi="宋体" w:eastAsia="宋体" w:cs="宋体"/>
          <w:b/>
          <w:bCs/>
          <w:spacing w:val="-4"/>
          <w:sz w:val="24"/>
          <w:szCs w:val="24"/>
        </w:rPr>
        <w:t>场监测结果一览表</w:t>
      </w:r>
    </w:p>
    <w:p w14:paraId="394F5F65">
      <w:pPr>
        <w:spacing w:line="19" w:lineRule="auto"/>
        <w:rPr>
          <w:rFonts w:ascii="Arial"/>
          <w:sz w:val="2"/>
        </w:rPr>
      </w:pPr>
    </w:p>
    <w:tbl>
      <w:tblPr>
        <w:tblStyle w:val="5"/>
        <w:tblW w:w="8359" w:type="dxa"/>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51"/>
        <w:gridCol w:w="2686"/>
        <w:gridCol w:w="2422"/>
      </w:tblGrid>
      <w:tr w14:paraId="7090F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251" w:type="dxa"/>
            <w:vMerge w:val="restart"/>
            <w:tcBorders>
              <w:bottom w:val="nil"/>
            </w:tcBorders>
            <w:vAlign w:val="top"/>
          </w:tcPr>
          <w:p w14:paraId="184813C2">
            <w:pPr>
              <w:pStyle w:val="6"/>
              <w:spacing w:before="214" w:line="220" w:lineRule="auto"/>
              <w:ind w:left="625"/>
              <w:rPr>
                <w:sz w:val="22"/>
                <w:szCs w:val="22"/>
              </w:rPr>
            </w:pPr>
            <w:r>
              <w:rPr>
                <w:spacing w:val="4"/>
                <w:sz w:val="22"/>
                <w:szCs w:val="22"/>
              </w:rPr>
              <w:t>监测点位(离地1.5m)</w:t>
            </w:r>
          </w:p>
        </w:tc>
        <w:tc>
          <w:tcPr>
            <w:tcW w:w="5108" w:type="dxa"/>
            <w:gridSpan w:val="2"/>
            <w:vAlign w:val="top"/>
          </w:tcPr>
          <w:p w14:paraId="29139B35">
            <w:pPr>
              <w:pStyle w:val="6"/>
              <w:spacing w:before="54" w:line="209" w:lineRule="auto"/>
              <w:ind w:left="2133"/>
              <w:rPr>
                <w:sz w:val="22"/>
                <w:szCs w:val="22"/>
              </w:rPr>
            </w:pPr>
            <w:r>
              <w:rPr>
                <w:spacing w:val="3"/>
                <w:sz w:val="22"/>
                <w:szCs w:val="22"/>
              </w:rPr>
              <w:t>监测结果</w:t>
            </w:r>
          </w:p>
        </w:tc>
      </w:tr>
      <w:tr w14:paraId="620C7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251" w:type="dxa"/>
            <w:vMerge w:val="continue"/>
            <w:tcBorders>
              <w:top w:val="nil"/>
            </w:tcBorders>
            <w:vAlign w:val="top"/>
          </w:tcPr>
          <w:p w14:paraId="5BC9C3C1">
            <w:pPr>
              <w:rPr>
                <w:rFonts w:ascii="Arial"/>
                <w:sz w:val="21"/>
              </w:rPr>
            </w:pPr>
          </w:p>
        </w:tc>
        <w:tc>
          <w:tcPr>
            <w:tcW w:w="2686" w:type="dxa"/>
            <w:vAlign w:val="top"/>
          </w:tcPr>
          <w:p w14:paraId="5EDFDA75">
            <w:pPr>
              <w:pStyle w:val="6"/>
              <w:spacing w:before="51" w:line="208" w:lineRule="auto"/>
              <w:ind w:left="404"/>
              <w:rPr>
                <w:sz w:val="22"/>
                <w:szCs w:val="22"/>
              </w:rPr>
            </w:pPr>
            <w:r>
              <w:rPr>
                <w:spacing w:val="4"/>
                <w:sz w:val="22"/>
                <w:szCs w:val="22"/>
              </w:rPr>
              <w:t>工频电场强度(V/m)</w:t>
            </w:r>
          </w:p>
        </w:tc>
        <w:tc>
          <w:tcPr>
            <w:tcW w:w="2422" w:type="dxa"/>
            <w:vAlign w:val="top"/>
          </w:tcPr>
          <w:p w14:paraId="30039BA9">
            <w:pPr>
              <w:pStyle w:val="6"/>
              <w:spacing w:before="51" w:line="208" w:lineRule="auto"/>
              <w:ind w:left="158"/>
              <w:rPr>
                <w:sz w:val="22"/>
                <w:szCs w:val="22"/>
              </w:rPr>
            </w:pPr>
            <w:r>
              <w:rPr>
                <w:spacing w:val="4"/>
                <w:sz w:val="22"/>
                <w:szCs w:val="22"/>
              </w:rPr>
              <w:t>工频磁感应强度(μT)</w:t>
            </w:r>
          </w:p>
        </w:tc>
      </w:tr>
      <w:tr w14:paraId="050E0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51" w:type="dxa"/>
            <w:vAlign w:val="top"/>
          </w:tcPr>
          <w:p w14:paraId="6C361423">
            <w:pPr>
              <w:pStyle w:val="6"/>
              <w:spacing w:before="81" w:line="219" w:lineRule="auto"/>
              <w:ind w:left="185"/>
              <w:rPr>
                <w:sz w:val="22"/>
                <w:szCs w:val="22"/>
              </w:rPr>
            </w:pPr>
            <w:r>
              <w:rPr>
                <w:spacing w:val="-1"/>
                <w:sz w:val="22"/>
                <w:szCs w:val="22"/>
              </w:rPr>
              <w:t>升压站东侧围墙外5m处(220kV</w:t>
            </w:r>
          </w:p>
          <w:p w14:paraId="1E634F22">
            <w:pPr>
              <w:pStyle w:val="6"/>
              <w:spacing w:before="29" w:line="207" w:lineRule="auto"/>
              <w:ind w:left="1235"/>
              <w:rPr>
                <w:sz w:val="22"/>
                <w:szCs w:val="22"/>
              </w:rPr>
            </w:pPr>
            <w:r>
              <w:rPr>
                <w:spacing w:val="12"/>
                <w:sz w:val="22"/>
                <w:szCs w:val="22"/>
              </w:rPr>
              <w:t>出线侧)</w:t>
            </w:r>
          </w:p>
        </w:tc>
        <w:tc>
          <w:tcPr>
            <w:tcW w:w="2686" w:type="dxa"/>
            <w:vAlign w:val="top"/>
          </w:tcPr>
          <w:p w14:paraId="56265A4A">
            <w:pPr>
              <w:pStyle w:val="6"/>
              <w:spacing w:before="232"/>
              <w:ind w:left="1174"/>
              <w:rPr>
                <w:sz w:val="22"/>
                <w:szCs w:val="22"/>
              </w:rPr>
            </w:pPr>
            <w:r>
              <w:rPr>
                <w:spacing w:val="-3"/>
                <w:sz w:val="22"/>
                <w:szCs w:val="22"/>
              </w:rPr>
              <w:t>251</w:t>
            </w:r>
          </w:p>
        </w:tc>
        <w:tc>
          <w:tcPr>
            <w:tcW w:w="2422" w:type="dxa"/>
            <w:vAlign w:val="top"/>
          </w:tcPr>
          <w:p w14:paraId="5B31B2E6">
            <w:pPr>
              <w:pStyle w:val="6"/>
              <w:spacing w:before="232" w:line="239" w:lineRule="auto"/>
              <w:ind w:left="928"/>
              <w:rPr>
                <w:sz w:val="22"/>
                <w:szCs w:val="22"/>
              </w:rPr>
            </w:pPr>
            <w:r>
              <w:rPr>
                <w:spacing w:val="-2"/>
                <w:sz w:val="22"/>
                <w:szCs w:val="22"/>
              </w:rPr>
              <w:t>0.423</w:t>
            </w:r>
          </w:p>
        </w:tc>
      </w:tr>
      <w:tr w14:paraId="5841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251" w:type="dxa"/>
            <w:vAlign w:val="top"/>
          </w:tcPr>
          <w:p w14:paraId="2028C432">
            <w:pPr>
              <w:pStyle w:val="6"/>
              <w:spacing w:before="52" w:line="214" w:lineRule="auto"/>
              <w:ind w:left="514"/>
              <w:rPr>
                <w:sz w:val="22"/>
                <w:szCs w:val="22"/>
              </w:rPr>
            </w:pPr>
            <w:r>
              <w:rPr>
                <w:spacing w:val="-1"/>
                <w:sz w:val="22"/>
                <w:szCs w:val="22"/>
              </w:rPr>
              <w:t>升压站南侧围墙外5m处</w:t>
            </w:r>
          </w:p>
        </w:tc>
        <w:tc>
          <w:tcPr>
            <w:tcW w:w="2686" w:type="dxa"/>
            <w:vAlign w:val="top"/>
          </w:tcPr>
          <w:p w14:paraId="53C9EE2A">
            <w:pPr>
              <w:pStyle w:val="6"/>
              <w:spacing w:before="75" w:line="195" w:lineRule="auto"/>
              <w:ind w:left="1114"/>
              <w:rPr>
                <w:sz w:val="22"/>
                <w:szCs w:val="22"/>
              </w:rPr>
            </w:pPr>
            <w:r>
              <w:rPr>
                <w:spacing w:val="-2"/>
                <w:sz w:val="22"/>
                <w:szCs w:val="22"/>
              </w:rPr>
              <w:t>62.8</w:t>
            </w:r>
          </w:p>
        </w:tc>
        <w:tc>
          <w:tcPr>
            <w:tcW w:w="2422" w:type="dxa"/>
            <w:vAlign w:val="top"/>
          </w:tcPr>
          <w:p w14:paraId="1E98F9DF">
            <w:pPr>
              <w:pStyle w:val="6"/>
              <w:spacing w:before="75" w:line="195" w:lineRule="auto"/>
              <w:ind w:left="928"/>
              <w:rPr>
                <w:sz w:val="22"/>
                <w:szCs w:val="22"/>
              </w:rPr>
            </w:pPr>
            <w:r>
              <w:rPr>
                <w:spacing w:val="-2"/>
                <w:sz w:val="22"/>
                <w:szCs w:val="22"/>
              </w:rPr>
              <w:t>0.169</w:t>
            </w:r>
          </w:p>
        </w:tc>
      </w:tr>
      <w:tr w14:paraId="4ED50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251" w:type="dxa"/>
            <w:vAlign w:val="top"/>
          </w:tcPr>
          <w:p w14:paraId="718298C2">
            <w:pPr>
              <w:pStyle w:val="6"/>
              <w:spacing w:before="54" w:line="205" w:lineRule="auto"/>
              <w:ind w:left="514"/>
              <w:rPr>
                <w:sz w:val="22"/>
                <w:szCs w:val="22"/>
              </w:rPr>
            </w:pPr>
            <w:r>
              <w:rPr>
                <w:spacing w:val="-1"/>
                <w:sz w:val="22"/>
                <w:szCs w:val="22"/>
              </w:rPr>
              <w:t>升压站西侧围墙外5m处</w:t>
            </w:r>
          </w:p>
        </w:tc>
        <w:tc>
          <w:tcPr>
            <w:tcW w:w="2686" w:type="dxa"/>
            <w:vAlign w:val="top"/>
          </w:tcPr>
          <w:p w14:paraId="78EFA12C">
            <w:pPr>
              <w:pStyle w:val="6"/>
              <w:spacing w:before="77" w:line="186" w:lineRule="auto"/>
              <w:ind w:left="1114"/>
              <w:rPr>
                <w:sz w:val="22"/>
                <w:szCs w:val="22"/>
              </w:rPr>
            </w:pPr>
            <w:r>
              <w:rPr>
                <w:spacing w:val="-3"/>
                <w:sz w:val="22"/>
                <w:szCs w:val="22"/>
              </w:rPr>
              <w:t>54.2</w:t>
            </w:r>
          </w:p>
        </w:tc>
        <w:tc>
          <w:tcPr>
            <w:tcW w:w="2422" w:type="dxa"/>
            <w:vAlign w:val="top"/>
          </w:tcPr>
          <w:p w14:paraId="3A760FB8">
            <w:pPr>
              <w:pStyle w:val="6"/>
              <w:spacing w:before="77" w:line="186" w:lineRule="auto"/>
              <w:ind w:left="928"/>
              <w:rPr>
                <w:sz w:val="22"/>
                <w:szCs w:val="22"/>
              </w:rPr>
            </w:pPr>
            <w:r>
              <w:rPr>
                <w:spacing w:val="-2"/>
                <w:sz w:val="22"/>
                <w:szCs w:val="22"/>
              </w:rPr>
              <w:t>0.371</w:t>
            </w:r>
          </w:p>
        </w:tc>
      </w:tr>
      <w:tr w14:paraId="470EB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251" w:type="dxa"/>
            <w:vAlign w:val="top"/>
          </w:tcPr>
          <w:p w14:paraId="61745E71">
            <w:pPr>
              <w:pStyle w:val="6"/>
              <w:spacing w:before="55" w:line="204" w:lineRule="auto"/>
              <w:ind w:left="514"/>
              <w:rPr>
                <w:sz w:val="22"/>
                <w:szCs w:val="22"/>
              </w:rPr>
            </w:pPr>
            <w:r>
              <w:rPr>
                <w:spacing w:val="-1"/>
                <w:sz w:val="22"/>
                <w:szCs w:val="22"/>
              </w:rPr>
              <w:t>升压站北侧围墙外5m处</w:t>
            </w:r>
          </w:p>
        </w:tc>
        <w:tc>
          <w:tcPr>
            <w:tcW w:w="2686" w:type="dxa"/>
            <w:vAlign w:val="top"/>
          </w:tcPr>
          <w:p w14:paraId="4EBE85C0">
            <w:pPr>
              <w:pStyle w:val="6"/>
              <w:spacing w:before="78" w:line="185" w:lineRule="auto"/>
              <w:ind w:left="1114"/>
              <w:rPr>
                <w:sz w:val="22"/>
                <w:szCs w:val="22"/>
              </w:rPr>
            </w:pPr>
            <w:r>
              <w:rPr>
                <w:spacing w:val="-2"/>
                <w:sz w:val="22"/>
                <w:szCs w:val="22"/>
              </w:rPr>
              <w:t>4.05</w:t>
            </w:r>
          </w:p>
        </w:tc>
        <w:tc>
          <w:tcPr>
            <w:tcW w:w="2422" w:type="dxa"/>
            <w:vAlign w:val="top"/>
          </w:tcPr>
          <w:p w14:paraId="6EA2BC21">
            <w:pPr>
              <w:pStyle w:val="6"/>
              <w:spacing w:before="78" w:line="185" w:lineRule="auto"/>
              <w:ind w:left="928"/>
              <w:rPr>
                <w:sz w:val="22"/>
                <w:szCs w:val="22"/>
              </w:rPr>
            </w:pPr>
            <w:r>
              <w:rPr>
                <w:spacing w:val="-2"/>
                <w:sz w:val="22"/>
                <w:szCs w:val="22"/>
              </w:rPr>
              <w:t>0.065</w:t>
            </w:r>
          </w:p>
        </w:tc>
      </w:tr>
      <w:tr w14:paraId="6A0C6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251" w:type="dxa"/>
            <w:vAlign w:val="top"/>
          </w:tcPr>
          <w:p w14:paraId="19784600">
            <w:pPr>
              <w:pStyle w:val="6"/>
              <w:spacing w:before="57" w:line="203" w:lineRule="auto"/>
              <w:ind w:left="1285"/>
              <w:rPr>
                <w:sz w:val="22"/>
                <w:szCs w:val="22"/>
              </w:rPr>
            </w:pPr>
            <w:r>
              <w:rPr>
                <w:spacing w:val="-3"/>
                <w:sz w:val="22"/>
                <w:szCs w:val="22"/>
              </w:rPr>
              <w:t>标准值</w:t>
            </w:r>
          </w:p>
        </w:tc>
        <w:tc>
          <w:tcPr>
            <w:tcW w:w="2686" w:type="dxa"/>
            <w:vAlign w:val="top"/>
          </w:tcPr>
          <w:p w14:paraId="34B13BFA">
            <w:pPr>
              <w:pStyle w:val="6"/>
              <w:spacing w:before="78" w:line="185" w:lineRule="auto"/>
              <w:ind w:left="1114"/>
              <w:rPr>
                <w:sz w:val="22"/>
                <w:szCs w:val="22"/>
              </w:rPr>
            </w:pPr>
            <w:r>
              <w:rPr>
                <w:spacing w:val="-2"/>
                <w:sz w:val="22"/>
                <w:szCs w:val="22"/>
              </w:rPr>
              <w:t>4000</w:t>
            </w:r>
          </w:p>
        </w:tc>
        <w:tc>
          <w:tcPr>
            <w:tcW w:w="2422" w:type="dxa"/>
            <w:vAlign w:val="top"/>
          </w:tcPr>
          <w:p w14:paraId="17E9E52E">
            <w:pPr>
              <w:pStyle w:val="6"/>
              <w:spacing w:before="78" w:line="185" w:lineRule="auto"/>
              <w:ind w:left="1038"/>
              <w:rPr>
                <w:sz w:val="22"/>
                <w:szCs w:val="22"/>
              </w:rPr>
            </w:pPr>
            <w:r>
              <w:rPr>
                <w:spacing w:val="-6"/>
                <w:sz w:val="22"/>
                <w:szCs w:val="22"/>
              </w:rPr>
              <w:t>100</w:t>
            </w:r>
          </w:p>
        </w:tc>
      </w:tr>
      <w:tr w14:paraId="3D7A9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3251" w:type="dxa"/>
            <w:vAlign w:val="top"/>
          </w:tcPr>
          <w:p w14:paraId="69399AE4">
            <w:pPr>
              <w:pStyle w:val="6"/>
              <w:spacing w:before="68" w:line="214" w:lineRule="auto"/>
              <w:ind w:left="1175"/>
              <w:rPr>
                <w:sz w:val="22"/>
                <w:szCs w:val="22"/>
              </w:rPr>
            </w:pPr>
            <w:r>
              <w:rPr>
                <w:spacing w:val="-2"/>
                <w:sz w:val="22"/>
                <w:szCs w:val="22"/>
              </w:rPr>
              <w:t>达标情况</w:t>
            </w:r>
          </w:p>
        </w:tc>
        <w:tc>
          <w:tcPr>
            <w:tcW w:w="2686" w:type="dxa"/>
            <w:vAlign w:val="top"/>
          </w:tcPr>
          <w:p w14:paraId="0CA8FBB9">
            <w:pPr>
              <w:pStyle w:val="6"/>
              <w:spacing w:before="68" w:line="214" w:lineRule="auto"/>
              <w:ind w:left="1114"/>
              <w:rPr>
                <w:sz w:val="22"/>
                <w:szCs w:val="22"/>
              </w:rPr>
            </w:pPr>
            <w:r>
              <w:rPr>
                <w:spacing w:val="-2"/>
                <w:sz w:val="22"/>
                <w:szCs w:val="22"/>
              </w:rPr>
              <w:t>达标</w:t>
            </w:r>
          </w:p>
        </w:tc>
        <w:tc>
          <w:tcPr>
            <w:tcW w:w="2422" w:type="dxa"/>
            <w:vAlign w:val="top"/>
          </w:tcPr>
          <w:p w14:paraId="7EC8590C">
            <w:pPr>
              <w:pStyle w:val="6"/>
              <w:spacing w:before="68" w:line="214" w:lineRule="auto"/>
              <w:ind w:left="988"/>
              <w:rPr>
                <w:sz w:val="22"/>
                <w:szCs w:val="22"/>
              </w:rPr>
            </w:pPr>
            <w:r>
              <w:rPr>
                <w:spacing w:val="-2"/>
                <w:sz w:val="22"/>
                <w:szCs w:val="22"/>
              </w:rPr>
              <w:t>达标</w:t>
            </w:r>
          </w:p>
        </w:tc>
      </w:tr>
    </w:tbl>
    <w:p w14:paraId="3C630735">
      <w:pPr>
        <w:spacing w:before="47" w:line="355" w:lineRule="auto"/>
        <w:ind w:right="56" w:firstLine="520"/>
        <w:jc w:val="both"/>
        <w:rPr>
          <w:rFonts w:ascii="宋体" w:hAnsi="宋体" w:eastAsia="宋体" w:cs="宋体"/>
          <w:sz w:val="24"/>
          <w:szCs w:val="24"/>
        </w:rPr>
      </w:pPr>
      <w:r>
        <w:rPr>
          <w:rFonts w:ascii="宋体" w:hAnsi="宋体" w:eastAsia="宋体" w:cs="宋体"/>
          <w:sz w:val="24"/>
          <w:szCs w:val="24"/>
        </w:rPr>
        <w:t>从以上类比监测结果可以看出，百花山风电场220kV升压站周边各测点处的</w:t>
      </w:r>
      <w:r>
        <w:rPr>
          <w:rFonts w:ascii="宋体" w:hAnsi="宋体" w:eastAsia="宋体" w:cs="宋体"/>
          <w:spacing w:val="17"/>
          <w:sz w:val="24"/>
          <w:szCs w:val="24"/>
        </w:rPr>
        <w:t xml:space="preserve"> </w:t>
      </w:r>
      <w:r>
        <w:rPr>
          <w:rFonts w:ascii="宋体" w:hAnsi="宋体" w:eastAsia="宋体" w:cs="宋体"/>
          <w:spacing w:val="-2"/>
          <w:sz w:val="24"/>
          <w:szCs w:val="24"/>
        </w:rPr>
        <w:t>工频电场强度为4.05</w:t>
      </w:r>
      <w:r>
        <w:rPr>
          <w:rFonts w:ascii="Times New Roman" w:hAnsi="Times New Roman" w:eastAsia="Times New Roman" w:cs="Times New Roman"/>
          <w:spacing w:val="-2"/>
          <w:sz w:val="24"/>
          <w:szCs w:val="24"/>
        </w:rPr>
        <w:t>V/m</w:t>
      </w:r>
      <w:r>
        <w:rPr>
          <w:rFonts w:ascii="宋体" w:hAnsi="宋体" w:eastAsia="宋体" w:cs="宋体"/>
          <w:spacing w:val="-2"/>
          <w:sz w:val="24"/>
          <w:szCs w:val="24"/>
        </w:rPr>
        <w:t>～</w:t>
      </w:r>
      <w:r>
        <w:rPr>
          <w:rFonts w:ascii="Times New Roman" w:hAnsi="Times New Roman" w:eastAsia="Times New Roman" w:cs="Times New Roman"/>
          <w:spacing w:val="-2"/>
          <w:sz w:val="24"/>
          <w:szCs w:val="24"/>
        </w:rPr>
        <w:t xml:space="preserve">251V/m,   </w:t>
      </w:r>
      <w:r>
        <w:rPr>
          <w:rFonts w:ascii="宋体" w:hAnsi="宋体" w:eastAsia="宋体" w:cs="宋体"/>
          <w:spacing w:val="-2"/>
          <w:sz w:val="24"/>
          <w:szCs w:val="24"/>
        </w:rPr>
        <w:t>工频磁感应强度为0.065</w:t>
      </w:r>
      <w:r>
        <w:rPr>
          <w:rFonts w:ascii="宋体" w:hAnsi="宋体" w:eastAsia="宋体" w:cs="宋体"/>
          <w:spacing w:val="-52"/>
          <w:sz w:val="24"/>
          <w:szCs w:val="24"/>
        </w:rPr>
        <w:t xml:space="preserve"> </w:t>
      </w:r>
      <w:r>
        <w:rPr>
          <w:rFonts w:ascii="宋体" w:hAnsi="宋体" w:eastAsia="宋体" w:cs="宋体"/>
          <w:spacing w:val="-2"/>
          <w:sz w:val="24"/>
          <w:szCs w:val="24"/>
        </w:rPr>
        <w:t>μ</w:t>
      </w:r>
      <w:r>
        <w:rPr>
          <w:rFonts w:ascii="Times New Roman" w:hAnsi="Times New Roman" w:eastAsia="Times New Roman" w:cs="Times New Roman"/>
          <w:spacing w:val="-2"/>
          <w:sz w:val="24"/>
          <w:szCs w:val="24"/>
        </w:rPr>
        <w:t>T</w:t>
      </w:r>
      <w:r>
        <w:rPr>
          <w:rFonts w:ascii="宋体" w:hAnsi="宋体" w:eastAsia="宋体" w:cs="宋体"/>
          <w:spacing w:val="-2"/>
          <w:sz w:val="24"/>
          <w:szCs w:val="24"/>
        </w:rPr>
        <w:t>～</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
          <w:sz w:val="24"/>
          <w:szCs w:val="24"/>
        </w:rPr>
        <w:t xml:space="preserve">.423μT,   </w:t>
      </w:r>
      <w:r>
        <w:rPr>
          <w:rFonts w:ascii="宋体" w:hAnsi="宋体" w:eastAsia="宋体" w:cs="宋体"/>
          <w:spacing w:val="-3"/>
          <w:sz w:val="24"/>
          <w:szCs w:val="24"/>
        </w:rPr>
        <w:t>各</w:t>
      </w:r>
      <w:r>
        <w:rPr>
          <w:rFonts w:ascii="宋体" w:hAnsi="宋体" w:eastAsia="宋体" w:cs="宋体"/>
          <w:sz w:val="24"/>
          <w:szCs w:val="24"/>
        </w:rPr>
        <w:t xml:space="preserve"> </w:t>
      </w:r>
      <w:r>
        <w:rPr>
          <w:rFonts w:ascii="宋体" w:hAnsi="宋体" w:eastAsia="宋体" w:cs="宋体"/>
          <w:spacing w:val="11"/>
          <w:sz w:val="24"/>
          <w:szCs w:val="24"/>
        </w:rPr>
        <w:t>测点测值均能够满足《电磁环境控制限值》 (</w:t>
      </w:r>
      <w:r>
        <w:rPr>
          <w:rFonts w:ascii="宋体" w:hAnsi="宋体" w:eastAsia="宋体" w:cs="宋体"/>
          <w:spacing w:val="-31"/>
          <w:sz w:val="24"/>
          <w:szCs w:val="24"/>
        </w:rPr>
        <w:t xml:space="preserve"> </w:t>
      </w:r>
      <w:r>
        <w:rPr>
          <w:rFonts w:ascii="Times New Roman" w:hAnsi="Times New Roman" w:eastAsia="Times New Roman" w:cs="Times New Roman"/>
          <w:sz w:val="24"/>
          <w:szCs w:val="24"/>
        </w:rPr>
        <w:t>GB</w:t>
      </w:r>
      <w:r>
        <w:rPr>
          <w:rFonts w:ascii="Times New Roman" w:hAnsi="Times New Roman" w:eastAsia="Times New Roman" w:cs="Times New Roman"/>
          <w:spacing w:val="11"/>
          <w:sz w:val="24"/>
          <w:szCs w:val="24"/>
        </w:rPr>
        <w:t xml:space="preserve">8702-2014)   </w:t>
      </w:r>
      <w:r>
        <w:rPr>
          <w:rFonts w:ascii="宋体" w:hAnsi="宋体" w:eastAsia="宋体" w:cs="宋体"/>
          <w:spacing w:val="11"/>
          <w:sz w:val="24"/>
          <w:szCs w:val="24"/>
        </w:rPr>
        <w:t>表1中工频电</w:t>
      </w:r>
      <w:r>
        <w:rPr>
          <w:rFonts w:ascii="宋体" w:hAnsi="宋体" w:eastAsia="宋体" w:cs="宋体"/>
          <w:sz w:val="24"/>
          <w:szCs w:val="24"/>
        </w:rPr>
        <w:t xml:space="preserve"> </w:t>
      </w:r>
      <w:r>
        <w:rPr>
          <w:rFonts w:ascii="宋体" w:hAnsi="宋体" w:eastAsia="宋体" w:cs="宋体"/>
          <w:spacing w:val="-2"/>
          <w:sz w:val="24"/>
          <w:szCs w:val="24"/>
        </w:rPr>
        <w:t>场4000</w:t>
      </w:r>
      <w:r>
        <w:rPr>
          <w:rFonts w:ascii="Times New Roman" w:hAnsi="Times New Roman" w:eastAsia="Times New Roman" w:cs="Times New Roman"/>
          <w:spacing w:val="-2"/>
          <w:sz w:val="24"/>
          <w:szCs w:val="24"/>
        </w:rPr>
        <w:t>V/m</w:t>
      </w:r>
      <w:r>
        <w:rPr>
          <w:rFonts w:ascii="宋体" w:hAnsi="宋体" w:eastAsia="宋体" w:cs="宋体"/>
          <w:spacing w:val="-2"/>
          <w:sz w:val="24"/>
          <w:szCs w:val="24"/>
        </w:rPr>
        <w:t>、工频磁场100μ</w:t>
      </w:r>
      <w:r>
        <w:rPr>
          <w:rFonts w:ascii="Times New Roman" w:hAnsi="Times New Roman" w:eastAsia="Times New Roman" w:cs="Times New Roman"/>
          <w:spacing w:val="-2"/>
          <w:sz w:val="24"/>
          <w:szCs w:val="24"/>
        </w:rPr>
        <w:t xml:space="preserve">T </w:t>
      </w:r>
      <w:r>
        <w:rPr>
          <w:rFonts w:ascii="宋体" w:hAnsi="宋体" w:eastAsia="宋体" w:cs="宋体"/>
          <w:spacing w:val="-2"/>
          <w:sz w:val="24"/>
          <w:szCs w:val="24"/>
        </w:rPr>
        <w:t>公众曝露限值要求。</w:t>
      </w:r>
    </w:p>
    <w:p w14:paraId="03E98027">
      <w:pPr>
        <w:spacing w:before="1" w:line="217" w:lineRule="auto"/>
        <w:ind w:left="610"/>
        <w:rPr>
          <w:rFonts w:ascii="宋体" w:hAnsi="宋体" w:eastAsia="宋体" w:cs="宋体"/>
          <w:sz w:val="24"/>
          <w:szCs w:val="24"/>
        </w:rPr>
      </w:pPr>
      <w:r>
        <w:rPr>
          <w:rFonts w:ascii="宋体" w:hAnsi="宋体" w:eastAsia="宋体" w:cs="宋体"/>
          <w:spacing w:val="1"/>
          <w:sz w:val="24"/>
          <w:szCs w:val="24"/>
        </w:rPr>
        <w:t>(3)项目运行期升压站电磁环境影响预测评价</w:t>
      </w:r>
    </w:p>
    <w:p w14:paraId="0897B89B">
      <w:pPr>
        <w:spacing w:before="173" w:line="355" w:lineRule="auto"/>
        <w:ind w:right="76" w:firstLine="480"/>
        <w:rPr>
          <w:rFonts w:ascii="宋体" w:hAnsi="宋体" w:eastAsia="宋体" w:cs="宋体"/>
          <w:sz w:val="24"/>
          <w:szCs w:val="24"/>
        </w:rPr>
      </w:pPr>
      <w:r>
        <w:rPr>
          <w:rFonts w:ascii="宋体" w:hAnsi="宋体" w:eastAsia="宋体" w:cs="宋体"/>
          <w:spacing w:val="-2"/>
          <w:sz w:val="24"/>
          <w:szCs w:val="24"/>
        </w:rPr>
        <w:t>因为本项目变电站与类比的百花山风电场220</w:t>
      </w:r>
      <w:r>
        <w:rPr>
          <w:rFonts w:ascii="Times New Roman" w:hAnsi="Times New Roman" w:eastAsia="Times New Roman" w:cs="Times New Roman"/>
          <w:spacing w:val="-2"/>
          <w:sz w:val="24"/>
          <w:szCs w:val="24"/>
        </w:rPr>
        <w:t>kV</w:t>
      </w:r>
      <w:r>
        <w:rPr>
          <w:rFonts w:ascii="Times New Roman" w:hAnsi="Times New Roman" w:eastAsia="Times New Roman" w:cs="Times New Roman"/>
          <w:spacing w:val="-22"/>
          <w:sz w:val="24"/>
          <w:szCs w:val="24"/>
        </w:rPr>
        <w:t xml:space="preserve"> </w:t>
      </w:r>
      <w:r>
        <w:rPr>
          <w:rFonts w:ascii="宋体" w:hAnsi="宋体" w:eastAsia="宋体" w:cs="宋体"/>
          <w:spacing w:val="-2"/>
          <w:sz w:val="24"/>
          <w:szCs w:val="24"/>
        </w:rPr>
        <w:t>升压站的电压等</w:t>
      </w:r>
      <w:r>
        <w:rPr>
          <w:rFonts w:ascii="宋体" w:hAnsi="宋体" w:eastAsia="宋体" w:cs="宋体"/>
          <w:spacing w:val="-3"/>
          <w:sz w:val="24"/>
          <w:szCs w:val="24"/>
        </w:rPr>
        <w:t>级一样，出</w:t>
      </w:r>
      <w:r>
        <w:rPr>
          <w:rFonts w:ascii="宋体" w:hAnsi="宋体" w:eastAsia="宋体" w:cs="宋体"/>
          <w:sz w:val="24"/>
          <w:szCs w:val="24"/>
        </w:rPr>
        <w:t xml:space="preserve"> </w:t>
      </w:r>
      <w:r>
        <w:rPr>
          <w:rFonts w:ascii="宋体" w:hAnsi="宋体" w:eastAsia="宋体" w:cs="宋体"/>
          <w:spacing w:val="-2"/>
          <w:sz w:val="24"/>
          <w:szCs w:val="24"/>
        </w:rPr>
        <w:t>线方式均为架空出线，总体平面布局相似，</w:t>
      </w:r>
      <w:r>
        <w:rPr>
          <w:rFonts w:ascii="宋体" w:hAnsi="宋体" w:eastAsia="宋体" w:cs="宋体"/>
          <w:spacing w:val="-3"/>
          <w:sz w:val="24"/>
          <w:szCs w:val="24"/>
        </w:rPr>
        <w:t>类比项目主变距离围墙稍远，本项目</w:t>
      </w:r>
      <w:r>
        <w:rPr>
          <w:rFonts w:ascii="宋体" w:hAnsi="宋体" w:eastAsia="宋体" w:cs="宋体"/>
          <w:sz w:val="24"/>
          <w:szCs w:val="24"/>
        </w:rPr>
        <w:t xml:space="preserve"> </w:t>
      </w:r>
      <w:r>
        <w:rPr>
          <w:rFonts w:ascii="宋体" w:hAnsi="宋体" w:eastAsia="宋体" w:cs="宋体"/>
          <w:spacing w:val="-3"/>
          <w:sz w:val="24"/>
          <w:szCs w:val="24"/>
        </w:rPr>
        <w:t>电磁环境影响稍大；但是百花山风电场220</w:t>
      </w:r>
      <w:r>
        <w:rPr>
          <w:rFonts w:ascii="Times New Roman" w:hAnsi="Times New Roman" w:eastAsia="Times New Roman" w:cs="Times New Roman"/>
          <w:spacing w:val="-3"/>
          <w:sz w:val="24"/>
          <w:szCs w:val="24"/>
        </w:rPr>
        <w:t>kV</w:t>
      </w:r>
      <w:r>
        <w:rPr>
          <w:rFonts w:ascii="Times New Roman" w:hAnsi="Times New Roman" w:eastAsia="Times New Roman" w:cs="Times New Roman"/>
          <w:spacing w:val="-4"/>
          <w:sz w:val="24"/>
          <w:szCs w:val="24"/>
        </w:rPr>
        <w:t xml:space="preserve"> </w:t>
      </w:r>
      <w:r>
        <w:rPr>
          <w:rFonts w:ascii="宋体" w:hAnsi="宋体" w:eastAsia="宋体" w:cs="宋体"/>
          <w:spacing w:val="-3"/>
          <w:sz w:val="24"/>
          <w:szCs w:val="24"/>
        </w:rPr>
        <w:t>升压站主变容量大于本项目，主变</w:t>
      </w:r>
      <w:r>
        <w:rPr>
          <w:rFonts w:ascii="宋体" w:hAnsi="宋体" w:eastAsia="宋体" w:cs="宋体"/>
          <w:sz w:val="24"/>
          <w:szCs w:val="24"/>
        </w:rPr>
        <w:t xml:space="preserve"> </w:t>
      </w:r>
      <w:r>
        <w:rPr>
          <w:rFonts w:ascii="宋体" w:hAnsi="宋体" w:eastAsia="宋体" w:cs="宋体"/>
          <w:spacing w:val="-3"/>
          <w:sz w:val="24"/>
          <w:szCs w:val="24"/>
        </w:rPr>
        <w:t>容量越大，电磁环境影响越大，且出线比本</w:t>
      </w:r>
      <w:r>
        <w:rPr>
          <w:rFonts w:ascii="宋体" w:hAnsi="宋体" w:eastAsia="宋体" w:cs="宋体"/>
          <w:spacing w:val="-4"/>
          <w:sz w:val="24"/>
          <w:szCs w:val="24"/>
        </w:rPr>
        <w:t>项目多，出线越多，电磁环境影响越</w:t>
      </w:r>
      <w:r>
        <w:rPr>
          <w:rFonts w:ascii="宋体" w:hAnsi="宋体" w:eastAsia="宋体" w:cs="宋体"/>
          <w:sz w:val="24"/>
          <w:szCs w:val="24"/>
        </w:rPr>
        <w:t xml:space="preserve"> </w:t>
      </w:r>
      <w:r>
        <w:rPr>
          <w:rFonts w:ascii="宋体" w:hAnsi="宋体" w:eastAsia="宋体" w:cs="宋体"/>
          <w:spacing w:val="-2"/>
          <w:sz w:val="24"/>
          <w:szCs w:val="24"/>
        </w:rPr>
        <w:t>大，因此，百花山风电场220</w:t>
      </w:r>
      <w:r>
        <w:rPr>
          <w:rFonts w:ascii="Times New Roman" w:hAnsi="Times New Roman" w:eastAsia="Times New Roman" w:cs="Times New Roman"/>
          <w:spacing w:val="-2"/>
          <w:sz w:val="24"/>
          <w:szCs w:val="24"/>
        </w:rPr>
        <w:t xml:space="preserve">kV </w:t>
      </w:r>
      <w:r>
        <w:rPr>
          <w:rFonts w:ascii="宋体" w:hAnsi="宋体" w:eastAsia="宋体" w:cs="宋体"/>
          <w:spacing w:val="-2"/>
          <w:sz w:val="24"/>
          <w:szCs w:val="24"/>
        </w:rPr>
        <w:t>升压站电磁辐射监测结果能够代表本项目升压站</w:t>
      </w:r>
      <w:r>
        <w:rPr>
          <w:rFonts w:ascii="宋体" w:hAnsi="宋体" w:eastAsia="宋体" w:cs="宋体"/>
          <w:sz w:val="24"/>
          <w:szCs w:val="24"/>
        </w:rPr>
        <w:t xml:space="preserve"> </w:t>
      </w:r>
      <w:r>
        <w:rPr>
          <w:rFonts w:ascii="宋体" w:hAnsi="宋体" w:eastAsia="宋体" w:cs="宋体"/>
          <w:spacing w:val="-2"/>
          <w:sz w:val="24"/>
          <w:szCs w:val="24"/>
        </w:rPr>
        <w:t>运营后的电磁环境影响，根据上述类比监测结果，预计本项目220</w:t>
      </w:r>
      <w:r>
        <w:rPr>
          <w:rFonts w:ascii="Times New Roman" w:hAnsi="Times New Roman" w:eastAsia="Times New Roman" w:cs="Times New Roman"/>
          <w:spacing w:val="-2"/>
          <w:sz w:val="24"/>
          <w:szCs w:val="24"/>
        </w:rPr>
        <w:t>kV</w:t>
      </w:r>
      <w:r>
        <w:rPr>
          <w:rFonts w:ascii="Times New Roman" w:hAnsi="Times New Roman" w:eastAsia="Times New Roman" w:cs="Times New Roman"/>
          <w:spacing w:val="-8"/>
          <w:sz w:val="24"/>
          <w:szCs w:val="24"/>
        </w:rPr>
        <w:t xml:space="preserve"> </w:t>
      </w:r>
      <w:r>
        <w:rPr>
          <w:rFonts w:ascii="宋体" w:hAnsi="宋体" w:eastAsia="宋体" w:cs="宋体"/>
          <w:spacing w:val="-2"/>
          <w:sz w:val="24"/>
          <w:szCs w:val="24"/>
        </w:rPr>
        <w:t>升压站运行</w:t>
      </w:r>
      <w:r>
        <w:rPr>
          <w:rFonts w:ascii="宋体" w:hAnsi="宋体" w:eastAsia="宋体" w:cs="宋体"/>
          <w:sz w:val="24"/>
          <w:szCs w:val="24"/>
        </w:rPr>
        <w:t xml:space="preserve"> </w:t>
      </w:r>
      <w:r>
        <w:rPr>
          <w:rFonts w:ascii="宋体" w:hAnsi="宋体" w:eastAsia="宋体" w:cs="宋体"/>
          <w:spacing w:val="35"/>
          <w:sz w:val="24"/>
          <w:szCs w:val="24"/>
        </w:rPr>
        <w:t>期产生的工频电场强度、工频磁感应强度可以满足《电磁环境控制限</w:t>
      </w:r>
    </w:p>
    <w:p w14:paraId="050589F7">
      <w:pPr>
        <w:spacing w:line="355" w:lineRule="auto"/>
        <w:rPr>
          <w:rFonts w:ascii="宋体" w:hAnsi="宋体" w:eastAsia="宋体" w:cs="宋体"/>
          <w:sz w:val="24"/>
          <w:szCs w:val="24"/>
        </w:rPr>
        <w:sectPr>
          <w:footerReference r:id="rId149" w:type="default"/>
          <w:pgSz w:w="11910" w:h="16830"/>
          <w:pgMar w:top="1398" w:right="1745" w:bottom="1033" w:left="1769" w:header="0" w:footer="871" w:gutter="0"/>
          <w:cols w:space="720" w:num="1"/>
        </w:sectPr>
      </w:pPr>
    </w:p>
    <w:p w14:paraId="26BBE908">
      <w:pPr>
        <w:spacing w:before="52" w:line="374" w:lineRule="auto"/>
        <w:ind w:right="51"/>
        <w:rPr>
          <w:rFonts w:ascii="宋体" w:hAnsi="宋体" w:eastAsia="宋体" w:cs="宋体"/>
          <w:sz w:val="24"/>
          <w:szCs w:val="24"/>
        </w:rPr>
      </w:pPr>
      <w:r>
        <w:rPr>
          <w:rFonts w:ascii="宋体" w:hAnsi="宋体" w:eastAsia="宋体" w:cs="宋体"/>
          <w:spacing w:val="-2"/>
          <w:sz w:val="24"/>
          <w:szCs w:val="24"/>
        </w:rPr>
        <w:t>值</w:t>
      </w:r>
      <w:r>
        <w:rPr>
          <w:rFonts w:ascii="宋体" w:hAnsi="宋体" w:eastAsia="宋体" w:cs="宋体"/>
          <w:spacing w:val="-28"/>
          <w:sz w:val="24"/>
          <w:szCs w:val="24"/>
        </w:rPr>
        <w:t xml:space="preserve"> </w:t>
      </w:r>
      <w:r>
        <w:rPr>
          <w:rFonts w:ascii="宋体" w:hAnsi="宋体" w:eastAsia="宋体" w:cs="宋体"/>
          <w:spacing w:val="-2"/>
          <w:sz w:val="24"/>
          <w:szCs w:val="24"/>
        </w:rPr>
        <w:t>》</w:t>
      </w:r>
      <w:r>
        <w:rPr>
          <w:rFonts w:ascii="宋体" w:hAnsi="宋体" w:eastAsia="宋体" w:cs="宋体"/>
          <w:spacing w:val="-40"/>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 xml:space="preserve">GB8702-2014)   </w:t>
      </w:r>
      <w:r>
        <w:rPr>
          <w:rFonts w:ascii="宋体" w:hAnsi="宋体" w:eastAsia="宋体" w:cs="宋体"/>
          <w:spacing w:val="-2"/>
          <w:sz w:val="24"/>
          <w:szCs w:val="24"/>
        </w:rPr>
        <w:t>中控制限值要求，对周边电磁环境影响可接受。本</w:t>
      </w:r>
      <w:r>
        <w:rPr>
          <w:rFonts w:ascii="宋体" w:hAnsi="宋体" w:eastAsia="宋体" w:cs="宋体"/>
          <w:spacing w:val="-3"/>
          <w:sz w:val="24"/>
          <w:szCs w:val="24"/>
        </w:rPr>
        <w:t>次评价</w:t>
      </w:r>
      <w:r>
        <w:rPr>
          <w:rFonts w:ascii="宋体" w:hAnsi="宋体" w:eastAsia="宋体" w:cs="宋体"/>
          <w:sz w:val="24"/>
          <w:szCs w:val="24"/>
        </w:rPr>
        <w:t xml:space="preserve"> </w:t>
      </w:r>
      <w:r>
        <w:rPr>
          <w:rFonts w:ascii="宋体" w:hAnsi="宋体" w:eastAsia="宋体" w:cs="宋体"/>
          <w:spacing w:val="-9"/>
          <w:sz w:val="24"/>
          <w:szCs w:val="24"/>
        </w:rPr>
        <w:t>不设置电磁环境防护距离。</w:t>
      </w:r>
    </w:p>
    <w:p w14:paraId="7FE52299">
      <w:pPr>
        <w:spacing w:before="2" w:line="220" w:lineRule="auto"/>
        <w:rPr>
          <w:rFonts w:ascii="宋体" w:hAnsi="宋体" w:eastAsia="宋体" w:cs="宋体"/>
          <w:sz w:val="28"/>
          <w:szCs w:val="28"/>
        </w:rPr>
      </w:pPr>
      <w:r>
        <w:rPr>
          <w:rFonts w:ascii="宋体" w:hAnsi="宋体" w:eastAsia="宋体" w:cs="宋体"/>
          <w:spacing w:val="-2"/>
          <w:sz w:val="28"/>
          <w:szCs w:val="28"/>
        </w:rPr>
        <w:t>5.2</w:t>
      </w:r>
      <w:r>
        <w:rPr>
          <w:rFonts w:ascii="宋体" w:hAnsi="宋体" w:eastAsia="宋体" w:cs="宋体"/>
          <w:b/>
          <w:bCs/>
          <w:spacing w:val="-2"/>
          <w:sz w:val="28"/>
          <w:szCs w:val="28"/>
        </w:rPr>
        <w:t>保护目标电磁影响分析</w:t>
      </w:r>
    </w:p>
    <w:p w14:paraId="67306798">
      <w:pPr>
        <w:spacing w:before="196" w:line="360" w:lineRule="auto"/>
        <w:ind w:right="66" w:firstLine="500"/>
        <w:jc w:val="both"/>
        <w:rPr>
          <w:rFonts w:ascii="宋体" w:hAnsi="宋体" w:eastAsia="宋体" w:cs="宋体"/>
          <w:sz w:val="24"/>
          <w:szCs w:val="24"/>
        </w:rPr>
      </w:pPr>
      <w:r>
        <w:rPr>
          <w:rFonts w:ascii="宋体" w:hAnsi="宋体" w:eastAsia="宋体" w:cs="宋体"/>
          <w:spacing w:val="-3"/>
          <w:sz w:val="24"/>
          <w:szCs w:val="24"/>
        </w:rPr>
        <w:t>本次评价对升压站工作人员进行类比分析。依据类比百花山风电场220</w:t>
      </w:r>
      <w:r>
        <w:rPr>
          <w:rFonts w:ascii="Times New Roman" w:hAnsi="Times New Roman" w:eastAsia="Times New Roman" w:cs="Times New Roman"/>
          <w:spacing w:val="-3"/>
          <w:sz w:val="24"/>
          <w:szCs w:val="24"/>
        </w:rPr>
        <w:t>kV</w:t>
      </w:r>
      <w:r>
        <w:rPr>
          <w:rFonts w:ascii="Times New Roman" w:hAnsi="Times New Roman" w:eastAsia="Times New Roman" w:cs="Times New Roman"/>
          <w:spacing w:val="-21"/>
          <w:sz w:val="24"/>
          <w:szCs w:val="24"/>
        </w:rPr>
        <w:t xml:space="preserve"> </w:t>
      </w:r>
      <w:r>
        <w:rPr>
          <w:rFonts w:ascii="宋体" w:hAnsi="宋体" w:eastAsia="宋体" w:cs="宋体"/>
          <w:spacing w:val="-3"/>
          <w:sz w:val="24"/>
          <w:szCs w:val="24"/>
        </w:rPr>
        <w:t>升</w:t>
      </w:r>
      <w:r>
        <w:rPr>
          <w:rFonts w:ascii="宋体" w:hAnsi="宋体" w:eastAsia="宋体" w:cs="宋体"/>
          <w:sz w:val="24"/>
          <w:szCs w:val="24"/>
        </w:rPr>
        <w:t xml:space="preserve"> </w:t>
      </w:r>
      <w:r>
        <w:rPr>
          <w:rFonts w:ascii="宋体" w:hAnsi="宋体" w:eastAsia="宋体" w:cs="宋体"/>
          <w:spacing w:val="1"/>
          <w:sz w:val="24"/>
          <w:szCs w:val="24"/>
        </w:rPr>
        <w:t>压站围墙外5</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处的监测结果显示，电场强度最大</w:t>
      </w:r>
      <w:r>
        <w:rPr>
          <w:rFonts w:ascii="宋体" w:hAnsi="宋体" w:eastAsia="宋体" w:cs="宋体"/>
          <w:sz w:val="24"/>
          <w:szCs w:val="24"/>
        </w:rPr>
        <w:t>为251</w:t>
      </w:r>
      <w:r>
        <w:rPr>
          <w:rFonts w:ascii="Times New Roman" w:hAnsi="Times New Roman" w:eastAsia="Times New Roman" w:cs="Times New Roman"/>
          <w:sz w:val="24"/>
          <w:szCs w:val="24"/>
        </w:rPr>
        <w:t xml:space="preserve">V/m,  </w:t>
      </w:r>
      <w:r>
        <w:rPr>
          <w:rFonts w:ascii="宋体" w:hAnsi="宋体" w:eastAsia="宋体" w:cs="宋体"/>
          <w:sz w:val="24"/>
          <w:szCs w:val="24"/>
        </w:rPr>
        <w:t xml:space="preserve">磁感应强度最大为 </w:t>
      </w:r>
      <w:r>
        <w:rPr>
          <w:rFonts w:ascii="宋体" w:hAnsi="宋体" w:eastAsia="宋体" w:cs="宋体"/>
          <w:spacing w:val="-5"/>
          <w:sz w:val="24"/>
          <w:szCs w:val="24"/>
        </w:rPr>
        <w:t>0.423μ</w:t>
      </w:r>
      <w:r>
        <w:rPr>
          <w:rFonts w:ascii="Times New Roman" w:hAnsi="Times New Roman" w:eastAsia="Times New Roman" w:cs="Times New Roman"/>
          <w:spacing w:val="-5"/>
          <w:sz w:val="24"/>
          <w:szCs w:val="24"/>
        </w:rPr>
        <w:t>T,</w:t>
      </w:r>
      <w:r>
        <w:rPr>
          <w:rFonts w:ascii="Times New Roman" w:hAnsi="Times New Roman" w:eastAsia="Times New Roman" w:cs="Times New Roman"/>
          <w:spacing w:val="18"/>
          <w:w w:val="101"/>
          <w:sz w:val="24"/>
          <w:szCs w:val="24"/>
        </w:rPr>
        <w:t xml:space="preserve">  </w:t>
      </w:r>
      <w:r>
        <w:rPr>
          <w:rFonts w:ascii="宋体" w:hAnsi="宋体" w:eastAsia="宋体" w:cs="宋体"/>
          <w:spacing w:val="-5"/>
          <w:sz w:val="24"/>
          <w:szCs w:val="24"/>
        </w:rPr>
        <w:t>均未超过《电磁环境控制限值》 (</w:t>
      </w:r>
      <w:r>
        <w:rPr>
          <w:rFonts w:ascii="Times New Roman" w:hAnsi="Times New Roman" w:eastAsia="Times New Roman" w:cs="Times New Roman"/>
          <w:spacing w:val="-5"/>
          <w:sz w:val="24"/>
          <w:szCs w:val="24"/>
        </w:rPr>
        <w:t xml:space="preserve">GB8702-2014)  </w:t>
      </w:r>
      <w:r>
        <w:rPr>
          <w:rFonts w:ascii="宋体" w:hAnsi="宋体" w:eastAsia="宋体" w:cs="宋体"/>
          <w:spacing w:val="-5"/>
          <w:sz w:val="24"/>
          <w:szCs w:val="24"/>
        </w:rPr>
        <w:t>规定，即工频电磁限</w:t>
      </w:r>
      <w:r>
        <w:rPr>
          <w:rFonts w:ascii="宋体" w:hAnsi="宋体" w:eastAsia="宋体" w:cs="宋体"/>
          <w:sz w:val="24"/>
          <w:szCs w:val="24"/>
        </w:rPr>
        <w:t xml:space="preserve"> </w:t>
      </w:r>
      <w:r>
        <w:rPr>
          <w:rFonts w:ascii="宋体" w:hAnsi="宋体" w:eastAsia="宋体" w:cs="宋体"/>
          <w:spacing w:val="-6"/>
          <w:sz w:val="24"/>
          <w:szCs w:val="24"/>
        </w:rPr>
        <w:t>值为4</w:t>
      </w:r>
      <w:r>
        <w:rPr>
          <w:rFonts w:ascii="Times New Roman" w:hAnsi="Times New Roman" w:eastAsia="Times New Roman" w:cs="Times New Roman"/>
          <w:spacing w:val="-6"/>
          <w:sz w:val="24"/>
          <w:szCs w:val="24"/>
        </w:rPr>
        <w:t>kV/m,</w:t>
      </w:r>
      <w:r>
        <w:rPr>
          <w:rFonts w:ascii="Times New Roman" w:hAnsi="Times New Roman" w:eastAsia="Times New Roman" w:cs="Times New Roman"/>
          <w:spacing w:val="26"/>
          <w:sz w:val="24"/>
          <w:szCs w:val="24"/>
        </w:rPr>
        <w:t xml:space="preserve">  </w:t>
      </w:r>
      <w:r>
        <w:rPr>
          <w:rFonts w:ascii="宋体" w:hAnsi="宋体" w:eastAsia="宋体" w:cs="宋体"/>
          <w:spacing w:val="-6"/>
          <w:sz w:val="24"/>
          <w:szCs w:val="24"/>
        </w:rPr>
        <w:t>工频磁场限值为100</w:t>
      </w:r>
      <w:r>
        <w:rPr>
          <w:rFonts w:ascii="宋体" w:hAnsi="宋体" w:eastAsia="宋体" w:cs="宋体"/>
          <w:spacing w:val="-52"/>
          <w:sz w:val="24"/>
          <w:szCs w:val="24"/>
        </w:rPr>
        <w:t xml:space="preserve"> </w:t>
      </w:r>
      <w:r>
        <w:rPr>
          <w:rFonts w:ascii="宋体" w:hAnsi="宋体" w:eastAsia="宋体" w:cs="宋体"/>
          <w:spacing w:val="-6"/>
          <w:sz w:val="24"/>
          <w:szCs w:val="24"/>
        </w:rPr>
        <w:t>μ</w:t>
      </w:r>
      <w:r>
        <w:rPr>
          <w:rFonts w:ascii="Times New Roman" w:hAnsi="Times New Roman" w:eastAsia="Times New Roman" w:cs="Times New Roman"/>
          <w:spacing w:val="-6"/>
          <w:sz w:val="24"/>
          <w:szCs w:val="24"/>
        </w:rPr>
        <w:t>T</w:t>
      </w:r>
      <w:r>
        <w:rPr>
          <w:rFonts w:ascii="宋体" w:hAnsi="宋体" w:eastAsia="宋体" w:cs="宋体"/>
          <w:spacing w:val="-6"/>
          <w:sz w:val="24"/>
          <w:szCs w:val="24"/>
        </w:rPr>
        <w:t>。</w:t>
      </w:r>
    </w:p>
    <w:p w14:paraId="069E3D87">
      <w:pPr>
        <w:spacing w:before="2" w:line="357" w:lineRule="auto"/>
        <w:ind w:right="65" w:firstLine="500"/>
        <w:jc w:val="both"/>
        <w:rPr>
          <w:rFonts w:ascii="宋体" w:hAnsi="宋体" w:eastAsia="宋体" w:cs="宋体"/>
          <w:sz w:val="24"/>
          <w:szCs w:val="24"/>
        </w:rPr>
      </w:pPr>
      <w:r>
        <w:rPr>
          <w:rFonts w:ascii="宋体" w:hAnsi="宋体" w:eastAsia="宋体" w:cs="宋体"/>
          <w:spacing w:val="1"/>
          <w:sz w:val="24"/>
          <w:szCs w:val="24"/>
        </w:rPr>
        <w:t>本项目升压站主变电距综合楼25</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6"/>
          <w:sz w:val="24"/>
          <w:szCs w:val="24"/>
        </w:rPr>
        <w:t xml:space="preserve"> </w:t>
      </w:r>
      <w:r>
        <w:rPr>
          <w:rFonts w:ascii="宋体" w:hAnsi="宋体" w:eastAsia="宋体" w:cs="宋体"/>
          <w:spacing w:val="1"/>
          <w:sz w:val="24"/>
          <w:szCs w:val="24"/>
        </w:rPr>
        <w:t>类比项</w:t>
      </w:r>
      <w:r>
        <w:rPr>
          <w:rFonts w:ascii="宋体" w:hAnsi="宋体" w:eastAsia="宋体" w:cs="宋体"/>
          <w:sz w:val="24"/>
          <w:szCs w:val="24"/>
        </w:rPr>
        <w:t>目升压站距厂界距离25~40</w:t>
      </w:r>
      <w:r>
        <w:rPr>
          <w:rFonts w:ascii="Times New Roman" w:hAnsi="Times New Roman" w:eastAsia="Times New Roman" w:cs="Times New Roman"/>
          <w:sz w:val="24"/>
          <w:szCs w:val="24"/>
        </w:rPr>
        <w:t xml:space="preserve">m, </w:t>
      </w:r>
      <w:r>
        <w:rPr>
          <w:rFonts w:ascii="宋体" w:hAnsi="宋体" w:eastAsia="宋体" w:cs="宋体"/>
          <w:sz w:val="24"/>
          <w:szCs w:val="24"/>
        </w:rPr>
        <w:t xml:space="preserve">根 </w:t>
      </w:r>
      <w:r>
        <w:rPr>
          <w:rFonts w:ascii="宋体" w:hAnsi="宋体" w:eastAsia="宋体" w:cs="宋体"/>
          <w:spacing w:val="-3"/>
          <w:sz w:val="24"/>
          <w:szCs w:val="24"/>
        </w:rPr>
        <w:t>据类比监测结果来看，升压站场界电场强度及磁感应强度远低于《</w:t>
      </w:r>
      <w:r>
        <w:rPr>
          <w:rFonts w:ascii="宋体" w:hAnsi="宋体" w:eastAsia="宋体" w:cs="宋体"/>
          <w:spacing w:val="-4"/>
          <w:sz w:val="24"/>
          <w:szCs w:val="24"/>
        </w:rPr>
        <w:t>电磁环境控制</w:t>
      </w:r>
      <w:r>
        <w:rPr>
          <w:rFonts w:ascii="宋体" w:hAnsi="宋体" w:eastAsia="宋体" w:cs="宋体"/>
          <w:sz w:val="24"/>
          <w:szCs w:val="24"/>
        </w:rPr>
        <w:t xml:space="preserve"> </w:t>
      </w:r>
      <w:r>
        <w:rPr>
          <w:rFonts w:ascii="宋体" w:hAnsi="宋体" w:eastAsia="宋体" w:cs="宋体"/>
          <w:spacing w:val="-11"/>
          <w:sz w:val="24"/>
          <w:szCs w:val="24"/>
        </w:rPr>
        <w:t>限值》</w:t>
      </w:r>
      <w:r>
        <w:rPr>
          <w:rFonts w:ascii="宋体" w:hAnsi="宋体" w:eastAsia="宋体" w:cs="宋体"/>
          <w:spacing w:val="-50"/>
          <w:sz w:val="24"/>
          <w:szCs w:val="24"/>
        </w:rPr>
        <w:t xml:space="preserve"> </w:t>
      </w:r>
      <w:r>
        <w:rPr>
          <w:rFonts w:ascii="宋体" w:hAnsi="宋体" w:eastAsia="宋体" w:cs="宋体"/>
          <w:spacing w:val="-11"/>
          <w:sz w:val="24"/>
          <w:szCs w:val="24"/>
        </w:rPr>
        <w:t>(</w:t>
      </w:r>
      <w:r>
        <w:rPr>
          <w:rFonts w:ascii="宋体" w:hAnsi="宋体" w:eastAsia="宋体" w:cs="宋体"/>
          <w:spacing w:val="-59"/>
          <w:sz w:val="24"/>
          <w:szCs w:val="24"/>
        </w:rPr>
        <w:t xml:space="preserve"> </w:t>
      </w:r>
      <w:r>
        <w:rPr>
          <w:rFonts w:ascii="Times New Roman" w:hAnsi="Times New Roman" w:eastAsia="Times New Roman" w:cs="Times New Roman"/>
          <w:spacing w:val="-11"/>
          <w:sz w:val="24"/>
          <w:szCs w:val="24"/>
        </w:rPr>
        <w:t>GB  8702-2014)</w:t>
      </w:r>
      <w:r>
        <w:rPr>
          <w:rFonts w:ascii="Times New Roman" w:hAnsi="Times New Roman" w:eastAsia="Times New Roman" w:cs="Times New Roman"/>
          <w:spacing w:val="21"/>
          <w:sz w:val="24"/>
          <w:szCs w:val="24"/>
        </w:rPr>
        <w:t xml:space="preserve"> </w:t>
      </w:r>
      <w:r>
        <w:rPr>
          <w:rFonts w:ascii="宋体" w:hAnsi="宋体" w:eastAsia="宋体" w:cs="宋体"/>
          <w:spacing w:val="-11"/>
          <w:sz w:val="24"/>
          <w:szCs w:val="24"/>
        </w:rPr>
        <w:t>的规定，</w:t>
      </w:r>
      <w:r>
        <w:rPr>
          <w:rFonts w:ascii="仿宋" w:hAnsi="仿宋" w:eastAsia="仿宋" w:cs="仿宋"/>
          <w:spacing w:val="-11"/>
          <w:sz w:val="24"/>
          <w:szCs w:val="24"/>
        </w:rPr>
        <w:t>预</w:t>
      </w:r>
      <w:r>
        <w:rPr>
          <w:rFonts w:ascii="仿宋" w:hAnsi="仿宋" w:eastAsia="仿宋" w:cs="仿宋"/>
          <w:spacing w:val="-44"/>
          <w:sz w:val="24"/>
          <w:szCs w:val="24"/>
        </w:rPr>
        <w:t xml:space="preserve"> </w:t>
      </w:r>
      <w:r>
        <w:rPr>
          <w:rFonts w:ascii="仿宋" w:hAnsi="仿宋" w:eastAsia="仿宋" w:cs="仿宋"/>
          <w:spacing w:val="-11"/>
          <w:sz w:val="24"/>
          <w:szCs w:val="24"/>
        </w:rPr>
        <w:t>计</w:t>
      </w:r>
      <w:r>
        <w:rPr>
          <w:rFonts w:ascii="仿宋" w:hAnsi="仿宋" w:eastAsia="仿宋" w:cs="仿宋"/>
          <w:spacing w:val="-41"/>
          <w:sz w:val="24"/>
          <w:szCs w:val="24"/>
        </w:rPr>
        <w:t xml:space="preserve"> </w:t>
      </w:r>
      <w:r>
        <w:rPr>
          <w:rFonts w:ascii="仿宋" w:hAnsi="仿宋" w:eastAsia="仿宋" w:cs="仿宋"/>
          <w:spacing w:val="-11"/>
          <w:sz w:val="24"/>
          <w:szCs w:val="24"/>
        </w:rPr>
        <w:t>综</w:t>
      </w:r>
      <w:r>
        <w:rPr>
          <w:rFonts w:ascii="仿宋" w:hAnsi="仿宋" w:eastAsia="仿宋" w:cs="仿宋"/>
          <w:spacing w:val="-37"/>
          <w:sz w:val="24"/>
          <w:szCs w:val="24"/>
        </w:rPr>
        <w:t xml:space="preserve"> </w:t>
      </w:r>
      <w:r>
        <w:rPr>
          <w:rFonts w:ascii="仿宋" w:hAnsi="仿宋" w:eastAsia="仿宋" w:cs="仿宋"/>
          <w:spacing w:val="-11"/>
          <w:sz w:val="24"/>
          <w:szCs w:val="24"/>
        </w:rPr>
        <w:t>合</w:t>
      </w:r>
      <w:r>
        <w:rPr>
          <w:rFonts w:ascii="仿宋" w:hAnsi="仿宋" w:eastAsia="仿宋" w:cs="仿宋"/>
          <w:spacing w:val="-44"/>
          <w:sz w:val="24"/>
          <w:szCs w:val="24"/>
        </w:rPr>
        <w:t xml:space="preserve"> </w:t>
      </w:r>
      <w:r>
        <w:rPr>
          <w:rFonts w:ascii="仿宋" w:hAnsi="仿宋" w:eastAsia="仿宋" w:cs="仿宋"/>
          <w:spacing w:val="-11"/>
          <w:sz w:val="24"/>
          <w:szCs w:val="24"/>
        </w:rPr>
        <w:t>楼</w:t>
      </w:r>
      <w:r>
        <w:rPr>
          <w:rFonts w:ascii="仿宋" w:hAnsi="仿宋" w:eastAsia="仿宋" w:cs="仿宋"/>
          <w:spacing w:val="-43"/>
          <w:sz w:val="24"/>
          <w:szCs w:val="24"/>
        </w:rPr>
        <w:t xml:space="preserve"> </w:t>
      </w:r>
      <w:r>
        <w:rPr>
          <w:rFonts w:ascii="仿宋" w:hAnsi="仿宋" w:eastAsia="仿宋" w:cs="仿宋"/>
          <w:spacing w:val="-11"/>
          <w:sz w:val="24"/>
          <w:szCs w:val="24"/>
        </w:rPr>
        <w:t>处 电</w:t>
      </w:r>
      <w:r>
        <w:rPr>
          <w:rFonts w:ascii="仿宋" w:hAnsi="仿宋" w:eastAsia="仿宋" w:cs="仿宋"/>
          <w:spacing w:val="-42"/>
          <w:sz w:val="24"/>
          <w:szCs w:val="24"/>
        </w:rPr>
        <w:t xml:space="preserve"> </w:t>
      </w:r>
      <w:r>
        <w:rPr>
          <w:rFonts w:ascii="仿宋" w:hAnsi="仿宋" w:eastAsia="仿宋" w:cs="仿宋"/>
          <w:spacing w:val="-11"/>
          <w:sz w:val="24"/>
          <w:szCs w:val="24"/>
        </w:rPr>
        <w:t>场</w:t>
      </w:r>
      <w:r>
        <w:rPr>
          <w:rFonts w:ascii="仿宋" w:hAnsi="仿宋" w:eastAsia="仿宋" w:cs="仿宋"/>
          <w:spacing w:val="-36"/>
          <w:sz w:val="24"/>
          <w:szCs w:val="24"/>
        </w:rPr>
        <w:t xml:space="preserve"> </w:t>
      </w:r>
      <w:r>
        <w:rPr>
          <w:rFonts w:ascii="仿宋" w:hAnsi="仿宋" w:eastAsia="仿宋" w:cs="仿宋"/>
          <w:spacing w:val="-11"/>
          <w:sz w:val="24"/>
          <w:szCs w:val="24"/>
        </w:rPr>
        <w:t>强</w:t>
      </w:r>
      <w:r>
        <w:rPr>
          <w:rFonts w:ascii="仿宋" w:hAnsi="仿宋" w:eastAsia="仿宋" w:cs="仿宋"/>
          <w:spacing w:val="-44"/>
          <w:sz w:val="24"/>
          <w:szCs w:val="24"/>
        </w:rPr>
        <w:t xml:space="preserve"> </w:t>
      </w:r>
      <w:r>
        <w:rPr>
          <w:rFonts w:ascii="仿宋" w:hAnsi="仿宋" w:eastAsia="仿宋" w:cs="仿宋"/>
          <w:spacing w:val="-11"/>
          <w:sz w:val="24"/>
          <w:szCs w:val="24"/>
        </w:rPr>
        <w:t>度</w:t>
      </w:r>
      <w:r>
        <w:rPr>
          <w:rFonts w:ascii="仿宋" w:hAnsi="仿宋" w:eastAsia="仿宋" w:cs="仿宋"/>
          <w:spacing w:val="-40"/>
          <w:sz w:val="24"/>
          <w:szCs w:val="24"/>
        </w:rPr>
        <w:t xml:space="preserve"> </w:t>
      </w:r>
      <w:r>
        <w:rPr>
          <w:rFonts w:ascii="仿宋" w:hAnsi="仿宋" w:eastAsia="仿宋" w:cs="仿宋"/>
          <w:spacing w:val="-11"/>
          <w:sz w:val="24"/>
          <w:szCs w:val="24"/>
        </w:rPr>
        <w:t>及</w:t>
      </w:r>
      <w:r>
        <w:rPr>
          <w:rFonts w:ascii="仿宋" w:hAnsi="仿宋" w:eastAsia="仿宋" w:cs="仿宋"/>
          <w:spacing w:val="-44"/>
          <w:sz w:val="24"/>
          <w:szCs w:val="24"/>
        </w:rPr>
        <w:t xml:space="preserve"> </w:t>
      </w:r>
      <w:r>
        <w:rPr>
          <w:rFonts w:ascii="仿宋" w:hAnsi="仿宋" w:eastAsia="仿宋" w:cs="仿宋"/>
          <w:spacing w:val="-11"/>
          <w:sz w:val="24"/>
          <w:szCs w:val="24"/>
        </w:rPr>
        <w:t>磁</w:t>
      </w:r>
      <w:r>
        <w:rPr>
          <w:rFonts w:ascii="仿宋" w:hAnsi="仿宋" w:eastAsia="仿宋" w:cs="仿宋"/>
          <w:spacing w:val="-39"/>
          <w:sz w:val="24"/>
          <w:szCs w:val="24"/>
        </w:rPr>
        <w:t xml:space="preserve"> </w:t>
      </w:r>
      <w:r>
        <w:rPr>
          <w:rFonts w:ascii="仿宋" w:hAnsi="仿宋" w:eastAsia="仿宋" w:cs="仿宋"/>
          <w:spacing w:val="-11"/>
          <w:sz w:val="24"/>
          <w:szCs w:val="24"/>
        </w:rPr>
        <w:t>感</w:t>
      </w:r>
      <w:r>
        <w:rPr>
          <w:rFonts w:ascii="仿宋" w:hAnsi="仿宋" w:eastAsia="仿宋" w:cs="仿宋"/>
          <w:spacing w:val="-43"/>
          <w:sz w:val="24"/>
          <w:szCs w:val="24"/>
        </w:rPr>
        <w:t xml:space="preserve"> </w:t>
      </w:r>
      <w:r>
        <w:rPr>
          <w:rFonts w:ascii="仿宋" w:hAnsi="仿宋" w:eastAsia="仿宋" w:cs="仿宋"/>
          <w:spacing w:val="-11"/>
          <w:sz w:val="24"/>
          <w:szCs w:val="24"/>
        </w:rPr>
        <w:t>应</w:t>
      </w:r>
      <w:r>
        <w:rPr>
          <w:rFonts w:ascii="仿宋" w:hAnsi="仿宋" w:eastAsia="仿宋" w:cs="仿宋"/>
          <w:spacing w:val="-36"/>
          <w:sz w:val="24"/>
          <w:szCs w:val="24"/>
        </w:rPr>
        <w:t xml:space="preserve"> </w:t>
      </w:r>
      <w:r>
        <w:rPr>
          <w:rFonts w:ascii="仿宋" w:hAnsi="仿宋" w:eastAsia="仿宋" w:cs="仿宋"/>
          <w:spacing w:val="-11"/>
          <w:sz w:val="24"/>
          <w:szCs w:val="24"/>
        </w:rPr>
        <w:t>强</w:t>
      </w:r>
      <w:r>
        <w:rPr>
          <w:rFonts w:ascii="仿宋" w:hAnsi="仿宋" w:eastAsia="仿宋" w:cs="仿宋"/>
          <w:spacing w:val="-44"/>
          <w:sz w:val="24"/>
          <w:szCs w:val="24"/>
        </w:rPr>
        <w:t xml:space="preserve"> </w:t>
      </w:r>
      <w:r>
        <w:rPr>
          <w:rFonts w:ascii="仿宋" w:hAnsi="仿宋" w:eastAsia="仿宋" w:cs="仿宋"/>
          <w:spacing w:val="-11"/>
          <w:sz w:val="24"/>
          <w:szCs w:val="24"/>
        </w:rPr>
        <w:t>度</w:t>
      </w:r>
      <w:r>
        <w:rPr>
          <w:rFonts w:ascii="仿宋" w:hAnsi="仿宋" w:eastAsia="仿宋" w:cs="仿宋"/>
          <w:sz w:val="24"/>
          <w:szCs w:val="24"/>
        </w:rPr>
        <w:t xml:space="preserve"> </w:t>
      </w:r>
      <w:r>
        <w:rPr>
          <w:rFonts w:ascii="仿宋" w:hAnsi="仿宋" w:eastAsia="仿宋" w:cs="仿宋"/>
          <w:spacing w:val="-9"/>
          <w:sz w:val="24"/>
          <w:szCs w:val="24"/>
        </w:rPr>
        <w:t>也 能</w:t>
      </w:r>
      <w:r>
        <w:rPr>
          <w:rFonts w:ascii="仿宋" w:hAnsi="仿宋" w:eastAsia="仿宋" w:cs="仿宋"/>
          <w:spacing w:val="-35"/>
          <w:sz w:val="24"/>
          <w:szCs w:val="24"/>
        </w:rPr>
        <w:t xml:space="preserve"> </w:t>
      </w:r>
      <w:r>
        <w:rPr>
          <w:rFonts w:ascii="仿宋" w:hAnsi="仿宋" w:eastAsia="仿宋" w:cs="仿宋"/>
          <w:spacing w:val="-9"/>
          <w:sz w:val="24"/>
          <w:szCs w:val="24"/>
        </w:rPr>
        <w:t>够</w:t>
      </w:r>
      <w:r>
        <w:rPr>
          <w:rFonts w:ascii="仿宋" w:hAnsi="仿宋" w:eastAsia="仿宋" w:cs="仿宋"/>
          <w:spacing w:val="-38"/>
          <w:sz w:val="24"/>
          <w:szCs w:val="24"/>
        </w:rPr>
        <w:t xml:space="preserve"> </w:t>
      </w:r>
      <w:r>
        <w:rPr>
          <w:rFonts w:ascii="仿宋" w:hAnsi="仿宋" w:eastAsia="仿宋" w:cs="仿宋"/>
          <w:spacing w:val="-9"/>
          <w:sz w:val="24"/>
          <w:szCs w:val="24"/>
        </w:rPr>
        <w:t>满</w:t>
      </w:r>
      <w:r>
        <w:rPr>
          <w:rFonts w:ascii="仿宋" w:hAnsi="仿宋" w:eastAsia="仿宋" w:cs="仿宋"/>
          <w:spacing w:val="-39"/>
          <w:sz w:val="24"/>
          <w:szCs w:val="24"/>
        </w:rPr>
        <w:t xml:space="preserve"> </w:t>
      </w:r>
      <w:r>
        <w:rPr>
          <w:rFonts w:ascii="仿宋" w:hAnsi="仿宋" w:eastAsia="仿宋" w:cs="仿宋"/>
          <w:spacing w:val="-9"/>
          <w:sz w:val="24"/>
          <w:szCs w:val="24"/>
        </w:rPr>
        <w:t>足</w:t>
      </w:r>
      <w:r>
        <w:rPr>
          <w:rFonts w:ascii="仿宋" w:hAnsi="仿宋" w:eastAsia="仿宋" w:cs="仿宋"/>
          <w:spacing w:val="-54"/>
          <w:sz w:val="24"/>
          <w:szCs w:val="24"/>
        </w:rPr>
        <w:t xml:space="preserve"> </w:t>
      </w:r>
      <w:r>
        <w:rPr>
          <w:rFonts w:ascii="仿宋" w:hAnsi="仿宋" w:eastAsia="仿宋" w:cs="仿宋"/>
          <w:spacing w:val="-9"/>
          <w:sz w:val="24"/>
          <w:szCs w:val="24"/>
        </w:rPr>
        <w:t>《 电</w:t>
      </w:r>
      <w:r>
        <w:rPr>
          <w:rFonts w:ascii="仿宋" w:hAnsi="仿宋" w:eastAsia="仿宋" w:cs="仿宋"/>
          <w:spacing w:val="-38"/>
          <w:sz w:val="24"/>
          <w:szCs w:val="24"/>
        </w:rPr>
        <w:t xml:space="preserve"> </w:t>
      </w:r>
      <w:r>
        <w:rPr>
          <w:rFonts w:ascii="仿宋" w:hAnsi="仿宋" w:eastAsia="仿宋" w:cs="仿宋"/>
          <w:spacing w:val="-9"/>
          <w:sz w:val="24"/>
          <w:szCs w:val="24"/>
        </w:rPr>
        <w:t>磁</w:t>
      </w:r>
      <w:r>
        <w:rPr>
          <w:rFonts w:ascii="仿宋" w:hAnsi="仿宋" w:eastAsia="仿宋" w:cs="仿宋"/>
          <w:spacing w:val="-38"/>
          <w:sz w:val="24"/>
          <w:szCs w:val="24"/>
        </w:rPr>
        <w:t xml:space="preserve"> </w:t>
      </w:r>
      <w:r>
        <w:rPr>
          <w:rFonts w:ascii="仿宋" w:hAnsi="仿宋" w:eastAsia="仿宋" w:cs="仿宋"/>
          <w:spacing w:val="-9"/>
          <w:sz w:val="24"/>
          <w:szCs w:val="24"/>
        </w:rPr>
        <w:t>环</w:t>
      </w:r>
      <w:r>
        <w:rPr>
          <w:rFonts w:ascii="仿宋" w:hAnsi="仿宋" w:eastAsia="仿宋" w:cs="仿宋"/>
          <w:spacing w:val="-35"/>
          <w:sz w:val="24"/>
          <w:szCs w:val="24"/>
        </w:rPr>
        <w:t xml:space="preserve"> </w:t>
      </w:r>
      <w:r>
        <w:rPr>
          <w:rFonts w:ascii="仿宋" w:hAnsi="仿宋" w:eastAsia="仿宋" w:cs="仿宋"/>
          <w:spacing w:val="-9"/>
          <w:sz w:val="24"/>
          <w:szCs w:val="24"/>
        </w:rPr>
        <w:t>境</w:t>
      </w:r>
      <w:r>
        <w:rPr>
          <w:rFonts w:ascii="仿宋" w:hAnsi="仿宋" w:eastAsia="仿宋" w:cs="仿宋"/>
          <w:spacing w:val="-38"/>
          <w:sz w:val="24"/>
          <w:szCs w:val="24"/>
        </w:rPr>
        <w:t xml:space="preserve"> </w:t>
      </w:r>
      <w:r>
        <w:rPr>
          <w:rFonts w:ascii="仿宋" w:hAnsi="仿宋" w:eastAsia="仿宋" w:cs="仿宋"/>
          <w:spacing w:val="-9"/>
          <w:sz w:val="24"/>
          <w:szCs w:val="24"/>
        </w:rPr>
        <w:t>控</w:t>
      </w:r>
      <w:r>
        <w:rPr>
          <w:rFonts w:ascii="仿宋" w:hAnsi="仿宋" w:eastAsia="仿宋" w:cs="仿宋"/>
          <w:spacing w:val="-37"/>
          <w:sz w:val="24"/>
          <w:szCs w:val="24"/>
        </w:rPr>
        <w:t xml:space="preserve"> </w:t>
      </w:r>
      <w:r>
        <w:rPr>
          <w:rFonts w:ascii="仿宋" w:hAnsi="仿宋" w:eastAsia="仿宋" w:cs="仿宋"/>
          <w:spacing w:val="-9"/>
          <w:sz w:val="24"/>
          <w:szCs w:val="24"/>
        </w:rPr>
        <w:t>制 限</w:t>
      </w:r>
      <w:r>
        <w:rPr>
          <w:rFonts w:ascii="仿宋" w:hAnsi="仿宋" w:eastAsia="仿宋" w:cs="仿宋"/>
          <w:spacing w:val="-39"/>
          <w:sz w:val="24"/>
          <w:szCs w:val="24"/>
        </w:rPr>
        <w:t xml:space="preserve"> </w:t>
      </w:r>
      <w:r>
        <w:rPr>
          <w:rFonts w:ascii="仿宋" w:hAnsi="仿宋" w:eastAsia="仿宋" w:cs="仿宋"/>
          <w:spacing w:val="-9"/>
          <w:sz w:val="24"/>
          <w:szCs w:val="24"/>
        </w:rPr>
        <w:t>值</w:t>
      </w:r>
      <w:r>
        <w:rPr>
          <w:rFonts w:ascii="仿宋" w:hAnsi="仿宋" w:eastAsia="仿宋" w:cs="仿宋"/>
          <w:spacing w:val="-31"/>
          <w:sz w:val="24"/>
          <w:szCs w:val="24"/>
        </w:rPr>
        <w:t xml:space="preserve"> </w:t>
      </w:r>
      <w:r>
        <w:rPr>
          <w:rFonts w:ascii="仿宋" w:hAnsi="仿宋" w:eastAsia="仿宋" w:cs="仿宋"/>
          <w:spacing w:val="-9"/>
          <w:sz w:val="24"/>
          <w:szCs w:val="24"/>
        </w:rPr>
        <w:t>》</w:t>
      </w:r>
      <w:r>
        <w:rPr>
          <w:rFonts w:ascii="仿宋" w:hAnsi="仿宋" w:eastAsia="仿宋" w:cs="仿宋"/>
          <w:spacing w:val="30"/>
          <w:sz w:val="24"/>
          <w:szCs w:val="24"/>
        </w:rPr>
        <w:t xml:space="preserve"> </w:t>
      </w:r>
      <w:r>
        <w:rPr>
          <w:rFonts w:ascii="仿宋" w:hAnsi="仿宋" w:eastAsia="仿宋" w:cs="仿宋"/>
          <w:spacing w:val="-9"/>
          <w:sz w:val="24"/>
          <w:szCs w:val="24"/>
        </w:rPr>
        <w:t>(</w:t>
      </w:r>
      <w:r>
        <w:rPr>
          <w:rFonts w:ascii="Times New Roman" w:hAnsi="Times New Roman" w:eastAsia="Times New Roman" w:cs="Times New Roman"/>
          <w:spacing w:val="-9"/>
          <w:sz w:val="24"/>
          <w:szCs w:val="24"/>
        </w:rPr>
        <w:t xml:space="preserve">GB8702-2014)   </w:t>
      </w:r>
      <w:r>
        <w:rPr>
          <w:rFonts w:ascii="宋体" w:hAnsi="宋体" w:eastAsia="宋体" w:cs="宋体"/>
          <w:spacing w:val="-9"/>
          <w:sz w:val="24"/>
          <w:szCs w:val="24"/>
        </w:rPr>
        <w:t>的要求，升压站产</w:t>
      </w:r>
      <w:r>
        <w:rPr>
          <w:rFonts w:ascii="宋体" w:hAnsi="宋体" w:eastAsia="宋体" w:cs="宋体"/>
          <w:sz w:val="24"/>
          <w:szCs w:val="24"/>
        </w:rPr>
        <w:t xml:space="preserve"> </w:t>
      </w:r>
      <w:r>
        <w:rPr>
          <w:rFonts w:ascii="宋体" w:hAnsi="宋体" w:eastAsia="宋体" w:cs="宋体"/>
          <w:spacing w:val="-5"/>
          <w:sz w:val="24"/>
          <w:szCs w:val="24"/>
        </w:rPr>
        <w:t>生的工频电场和工频磁场对综合楼内工作人员的影响可接受。</w:t>
      </w:r>
    </w:p>
    <w:p w14:paraId="69F5BB9D">
      <w:pPr>
        <w:spacing w:before="44" w:line="220" w:lineRule="auto"/>
        <w:ind w:left="4"/>
        <w:rPr>
          <w:rFonts w:ascii="宋体" w:hAnsi="宋体" w:eastAsia="宋体" w:cs="宋体"/>
          <w:sz w:val="28"/>
          <w:szCs w:val="28"/>
        </w:rPr>
      </w:pPr>
      <w:r>
        <w:rPr>
          <w:rFonts w:ascii="宋体" w:hAnsi="宋体" w:eastAsia="宋体" w:cs="宋体"/>
          <w:b/>
          <w:bCs/>
          <w:spacing w:val="-3"/>
          <w:sz w:val="28"/>
          <w:szCs w:val="28"/>
        </w:rPr>
        <w:t>5.3电磁环境达标控制要求</w:t>
      </w:r>
    </w:p>
    <w:p w14:paraId="56FD4718">
      <w:pPr>
        <w:spacing w:before="247" w:line="355" w:lineRule="auto"/>
        <w:ind w:firstLine="500"/>
        <w:jc w:val="both"/>
        <w:rPr>
          <w:rFonts w:ascii="宋体" w:hAnsi="宋体" w:eastAsia="宋体" w:cs="宋体"/>
          <w:sz w:val="24"/>
          <w:szCs w:val="24"/>
        </w:rPr>
      </w:pPr>
      <w:r>
        <w:rPr>
          <w:rFonts w:ascii="宋体" w:hAnsi="宋体" w:eastAsia="宋体" w:cs="宋体"/>
          <w:spacing w:val="-7"/>
          <w:sz w:val="24"/>
          <w:szCs w:val="24"/>
        </w:rPr>
        <w:t>根据《云南省电力设施保护条例》第十七条规定的变电站围墙外延伸3</w:t>
      </w:r>
      <w:r>
        <w:rPr>
          <w:rFonts w:ascii="Times New Roman" w:hAnsi="Times New Roman" w:eastAsia="Times New Roman" w:cs="Times New Roman"/>
          <w:spacing w:val="-7"/>
          <w:sz w:val="24"/>
          <w:szCs w:val="24"/>
        </w:rPr>
        <w:t>m</w:t>
      </w:r>
      <w:r>
        <w:rPr>
          <w:rFonts w:ascii="Times New Roman" w:hAnsi="Times New Roman" w:eastAsia="Times New Roman" w:cs="Times New Roman"/>
          <w:spacing w:val="-9"/>
          <w:sz w:val="24"/>
          <w:szCs w:val="24"/>
        </w:rPr>
        <w:t xml:space="preserve"> </w:t>
      </w:r>
      <w:r>
        <w:rPr>
          <w:rFonts w:ascii="宋体" w:hAnsi="宋体" w:eastAsia="宋体" w:cs="宋体"/>
          <w:spacing w:val="-7"/>
          <w:sz w:val="24"/>
          <w:szCs w:val="24"/>
        </w:rPr>
        <w:t>所形</w:t>
      </w:r>
      <w:r>
        <w:rPr>
          <w:rFonts w:ascii="宋体" w:hAnsi="宋体" w:eastAsia="宋体" w:cs="宋体"/>
          <w:sz w:val="24"/>
          <w:szCs w:val="24"/>
        </w:rPr>
        <w:t xml:space="preserve"> </w:t>
      </w:r>
      <w:r>
        <w:rPr>
          <w:rFonts w:ascii="宋体" w:hAnsi="宋体" w:eastAsia="宋体" w:cs="宋体"/>
          <w:spacing w:val="-6"/>
          <w:sz w:val="24"/>
          <w:szCs w:val="24"/>
        </w:rPr>
        <w:t>成的区域划分为其他电力设施保护区，经现场勘查，本项目</w:t>
      </w:r>
      <w:r>
        <w:rPr>
          <w:rFonts w:ascii="宋体" w:hAnsi="宋体" w:eastAsia="宋体" w:cs="宋体"/>
          <w:spacing w:val="-7"/>
          <w:sz w:val="24"/>
          <w:szCs w:val="24"/>
        </w:rPr>
        <w:t>220</w:t>
      </w:r>
      <w:r>
        <w:rPr>
          <w:rFonts w:ascii="Times New Roman" w:hAnsi="Times New Roman" w:eastAsia="Times New Roman" w:cs="Times New Roman"/>
          <w:spacing w:val="-7"/>
          <w:sz w:val="24"/>
          <w:szCs w:val="24"/>
        </w:rPr>
        <w:t>kV</w:t>
      </w:r>
      <w:r>
        <w:rPr>
          <w:rFonts w:ascii="宋体" w:hAnsi="宋体" w:eastAsia="宋体" w:cs="宋体"/>
          <w:spacing w:val="-7"/>
          <w:sz w:val="24"/>
          <w:szCs w:val="24"/>
        </w:rPr>
        <w:t>升压站界外40</w:t>
      </w:r>
      <w:r>
        <w:rPr>
          <w:rFonts w:ascii="Times New Roman" w:hAnsi="Times New Roman" w:eastAsia="Times New Roman" w:cs="Times New Roman"/>
          <w:spacing w:val="-7"/>
          <w:sz w:val="24"/>
          <w:szCs w:val="24"/>
        </w:rPr>
        <w:t>m</w:t>
      </w:r>
      <w:r>
        <w:rPr>
          <w:rFonts w:ascii="Times New Roman" w:hAnsi="Times New Roman" w:eastAsia="Times New Roman" w:cs="Times New Roman"/>
          <w:sz w:val="24"/>
          <w:szCs w:val="24"/>
        </w:rPr>
        <w:t xml:space="preserve">  </w:t>
      </w:r>
      <w:r>
        <w:rPr>
          <w:rFonts w:ascii="宋体" w:hAnsi="宋体" w:eastAsia="宋体" w:cs="宋体"/>
          <w:spacing w:val="-8"/>
          <w:sz w:val="24"/>
          <w:szCs w:val="24"/>
        </w:rPr>
        <w:t>范围内无住宅、学校、医院、办公楼、工厂等有公众居住、工作或学习的建筑物。</w:t>
      </w:r>
      <w:r>
        <w:rPr>
          <w:rFonts w:ascii="宋体" w:hAnsi="宋体" w:eastAsia="宋体" w:cs="宋体"/>
          <w:spacing w:val="17"/>
          <w:sz w:val="24"/>
          <w:szCs w:val="24"/>
        </w:rPr>
        <w:t xml:space="preserve"> </w:t>
      </w:r>
      <w:r>
        <w:rPr>
          <w:rFonts w:ascii="宋体" w:hAnsi="宋体" w:eastAsia="宋体" w:cs="宋体"/>
          <w:spacing w:val="-7"/>
          <w:sz w:val="24"/>
          <w:szCs w:val="24"/>
        </w:rPr>
        <w:t>满足《云南省电力设施保护条例》中的电力保护要求。</w:t>
      </w:r>
    </w:p>
    <w:p w14:paraId="533E30CB">
      <w:pPr>
        <w:spacing w:before="54" w:line="359" w:lineRule="auto"/>
        <w:ind w:right="65" w:firstLine="500"/>
        <w:jc w:val="both"/>
        <w:rPr>
          <w:rFonts w:ascii="宋体" w:hAnsi="宋体" w:eastAsia="宋体" w:cs="宋体"/>
          <w:sz w:val="24"/>
          <w:szCs w:val="24"/>
        </w:rPr>
      </w:pPr>
      <w:r>
        <w:rPr>
          <w:rFonts w:ascii="宋体" w:hAnsi="宋体" w:eastAsia="宋体" w:cs="宋体"/>
          <w:spacing w:val="-3"/>
          <w:sz w:val="24"/>
          <w:szCs w:val="24"/>
        </w:rPr>
        <w:t>根据电磁环境影响预测分析结果，本项目220</w:t>
      </w:r>
      <w:r>
        <w:rPr>
          <w:rFonts w:ascii="Times New Roman" w:hAnsi="Times New Roman" w:eastAsia="Times New Roman" w:cs="Times New Roman"/>
          <w:spacing w:val="-3"/>
          <w:sz w:val="24"/>
          <w:szCs w:val="24"/>
        </w:rPr>
        <w:t>kV</w:t>
      </w:r>
      <w:r>
        <w:rPr>
          <w:rFonts w:ascii="Times New Roman" w:hAnsi="Times New Roman" w:eastAsia="Times New Roman" w:cs="Times New Roman"/>
          <w:spacing w:val="-5"/>
          <w:sz w:val="24"/>
          <w:szCs w:val="24"/>
        </w:rPr>
        <w:t xml:space="preserve"> </w:t>
      </w:r>
      <w:r>
        <w:rPr>
          <w:rFonts w:ascii="宋体" w:hAnsi="宋体" w:eastAsia="宋体" w:cs="宋体"/>
          <w:spacing w:val="-3"/>
          <w:sz w:val="24"/>
          <w:szCs w:val="24"/>
        </w:rPr>
        <w:t>变电站运行产生的工频电场</w:t>
      </w:r>
      <w:r>
        <w:rPr>
          <w:rFonts w:ascii="宋体" w:hAnsi="宋体" w:eastAsia="宋体" w:cs="宋体"/>
          <w:sz w:val="24"/>
          <w:szCs w:val="24"/>
        </w:rPr>
        <w:t xml:space="preserve"> </w:t>
      </w:r>
      <w:r>
        <w:rPr>
          <w:rFonts w:ascii="宋体" w:hAnsi="宋体" w:eastAsia="宋体" w:cs="宋体"/>
          <w:spacing w:val="-1"/>
          <w:sz w:val="24"/>
          <w:szCs w:val="24"/>
        </w:rPr>
        <w:t>强度、工频磁感应强度均满足《电磁环境控制限值》(</w:t>
      </w:r>
      <w:r>
        <w:rPr>
          <w:rFonts w:ascii="Times New Roman" w:hAnsi="Times New Roman" w:eastAsia="Times New Roman" w:cs="Times New Roman"/>
          <w:spacing w:val="-1"/>
          <w:sz w:val="24"/>
          <w:szCs w:val="24"/>
        </w:rPr>
        <w:t>GB</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pacing w:val="-1"/>
          <w:sz w:val="24"/>
          <w:szCs w:val="24"/>
        </w:rPr>
        <w:t>8702-2014)</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中公众曝</w:t>
      </w:r>
      <w:r>
        <w:rPr>
          <w:rFonts w:ascii="宋体" w:hAnsi="宋体" w:eastAsia="宋体" w:cs="宋体"/>
          <w:sz w:val="24"/>
          <w:szCs w:val="24"/>
        </w:rPr>
        <w:t xml:space="preserve"> </w:t>
      </w:r>
      <w:r>
        <w:rPr>
          <w:rFonts w:ascii="宋体" w:hAnsi="宋体" w:eastAsia="宋体" w:cs="宋体"/>
          <w:spacing w:val="-4"/>
          <w:sz w:val="24"/>
          <w:szCs w:val="24"/>
        </w:rPr>
        <w:t>露控制限值4000</w:t>
      </w:r>
      <w:r>
        <w:rPr>
          <w:rFonts w:ascii="Times New Roman" w:hAnsi="Times New Roman" w:eastAsia="Times New Roman" w:cs="Times New Roman"/>
          <w:spacing w:val="-4"/>
          <w:sz w:val="24"/>
          <w:szCs w:val="24"/>
        </w:rPr>
        <w:t>V/m</w:t>
      </w:r>
      <w:r>
        <w:rPr>
          <w:rFonts w:ascii="宋体" w:hAnsi="宋体" w:eastAsia="宋体" w:cs="宋体"/>
          <w:spacing w:val="-4"/>
          <w:sz w:val="24"/>
          <w:szCs w:val="24"/>
        </w:rPr>
        <w:t>和100μ</w:t>
      </w:r>
      <w:r>
        <w:rPr>
          <w:rFonts w:ascii="Times New Roman" w:hAnsi="Times New Roman" w:eastAsia="Times New Roman" w:cs="Times New Roman"/>
          <w:spacing w:val="-4"/>
          <w:sz w:val="24"/>
          <w:szCs w:val="24"/>
        </w:rPr>
        <w:t xml:space="preserve">T </w:t>
      </w:r>
      <w:r>
        <w:rPr>
          <w:rFonts w:ascii="宋体" w:hAnsi="宋体" w:eastAsia="宋体" w:cs="宋体"/>
          <w:spacing w:val="-4"/>
          <w:sz w:val="24"/>
          <w:szCs w:val="24"/>
        </w:rPr>
        <w:t>的要求，本项目不设电磁环境防护距离。</w:t>
      </w:r>
    </w:p>
    <w:p w14:paraId="72AD1265">
      <w:pPr>
        <w:spacing w:line="220" w:lineRule="auto"/>
        <w:ind w:left="4"/>
        <w:rPr>
          <w:rFonts w:ascii="宋体" w:hAnsi="宋体" w:eastAsia="宋体" w:cs="宋体"/>
          <w:sz w:val="31"/>
          <w:szCs w:val="31"/>
        </w:rPr>
      </w:pPr>
      <w:r>
        <w:rPr>
          <w:rFonts w:ascii="宋体" w:hAnsi="宋体" w:eastAsia="宋体" w:cs="宋体"/>
          <w:b/>
          <w:bCs/>
          <w:spacing w:val="-18"/>
          <w:sz w:val="31"/>
          <w:szCs w:val="31"/>
        </w:rPr>
        <w:t>6.电磁环境保护措施</w:t>
      </w:r>
    </w:p>
    <w:p w14:paraId="0F408C02">
      <w:pPr>
        <w:spacing w:before="211" w:line="326" w:lineRule="auto"/>
        <w:ind w:right="48" w:firstLine="620"/>
        <w:rPr>
          <w:rFonts w:ascii="宋体" w:hAnsi="宋体" w:eastAsia="宋体" w:cs="宋体"/>
          <w:sz w:val="24"/>
          <w:szCs w:val="24"/>
        </w:rPr>
      </w:pPr>
      <w:r>
        <w:rPr>
          <w:rFonts w:ascii="宋体" w:hAnsi="宋体" w:eastAsia="宋体" w:cs="宋体"/>
          <w:spacing w:val="4"/>
          <w:sz w:val="24"/>
          <w:szCs w:val="24"/>
        </w:rPr>
        <w:t>(1)升压站内电气设备应采取集中布置方式，在设计中应按有关规程采取</w:t>
      </w:r>
      <w:r>
        <w:rPr>
          <w:rFonts w:ascii="宋体" w:hAnsi="宋体" w:eastAsia="宋体" w:cs="宋体"/>
          <w:spacing w:val="8"/>
          <w:sz w:val="24"/>
          <w:szCs w:val="24"/>
        </w:rPr>
        <w:t xml:space="preserve"> </w:t>
      </w:r>
      <w:r>
        <w:rPr>
          <w:rFonts w:ascii="宋体" w:hAnsi="宋体" w:eastAsia="宋体" w:cs="宋体"/>
          <w:spacing w:val="-3"/>
          <w:sz w:val="24"/>
          <w:szCs w:val="24"/>
        </w:rPr>
        <w:t>系列的控制过电压、电磁感应场强水平的措施，如保证导体和电气设备之间的电</w:t>
      </w:r>
      <w:r>
        <w:rPr>
          <w:rFonts w:ascii="宋体" w:hAnsi="宋体" w:eastAsia="宋体" w:cs="宋体"/>
          <w:spacing w:val="8"/>
          <w:sz w:val="24"/>
          <w:szCs w:val="24"/>
        </w:rPr>
        <w:t xml:space="preserve"> </w:t>
      </w:r>
      <w:r>
        <w:rPr>
          <w:rFonts w:ascii="宋体" w:hAnsi="宋体" w:eastAsia="宋体" w:cs="宋体"/>
          <w:spacing w:val="-3"/>
          <w:sz w:val="24"/>
          <w:szCs w:val="24"/>
        </w:rPr>
        <w:t>气安全距离，选用具有低辐射、抗干扰能力的设备，设置防雷接地保护装置，选</w:t>
      </w:r>
      <w:r>
        <w:rPr>
          <w:rFonts w:ascii="宋体" w:hAnsi="宋体" w:eastAsia="宋体" w:cs="宋体"/>
          <w:spacing w:val="3"/>
          <w:sz w:val="24"/>
          <w:szCs w:val="24"/>
        </w:rPr>
        <w:t xml:space="preserve"> </w:t>
      </w:r>
      <w:r>
        <w:rPr>
          <w:rFonts w:ascii="宋体" w:hAnsi="宋体" w:eastAsia="宋体" w:cs="宋体"/>
          <w:spacing w:val="-2"/>
          <w:sz w:val="24"/>
          <w:szCs w:val="24"/>
        </w:rPr>
        <w:t>用带屏蔽层的电缆、屏蔽层接地等，将可以有效的降低电磁环境影响。</w:t>
      </w:r>
    </w:p>
    <w:p w14:paraId="48A6978E">
      <w:pPr>
        <w:spacing w:before="165" w:line="309" w:lineRule="auto"/>
        <w:ind w:right="70" w:firstLine="620"/>
        <w:rPr>
          <w:rFonts w:ascii="宋体" w:hAnsi="宋体" w:eastAsia="宋体" w:cs="宋体"/>
          <w:sz w:val="24"/>
          <w:szCs w:val="24"/>
        </w:rPr>
      </w:pPr>
      <w:r>
        <w:rPr>
          <w:rFonts w:ascii="宋体" w:hAnsi="宋体" w:eastAsia="宋体" w:cs="宋体"/>
          <w:spacing w:val="6"/>
          <w:sz w:val="24"/>
          <w:szCs w:val="24"/>
        </w:rPr>
        <w:t>(2)电器设备选型中应合理选用电气设备及金属配件(如保护环、垫片、</w:t>
      </w:r>
      <w:r>
        <w:rPr>
          <w:rFonts w:ascii="宋体" w:hAnsi="宋体" w:eastAsia="宋体" w:cs="宋体"/>
          <w:spacing w:val="10"/>
          <w:sz w:val="24"/>
          <w:szCs w:val="24"/>
        </w:rPr>
        <w:t xml:space="preserve"> </w:t>
      </w:r>
      <w:r>
        <w:rPr>
          <w:rFonts w:ascii="宋体" w:hAnsi="宋体" w:eastAsia="宋体" w:cs="宋体"/>
          <w:spacing w:val="4"/>
          <w:sz w:val="24"/>
          <w:szCs w:val="24"/>
        </w:rPr>
        <w:t>接头等),选用具有低辐射、抗干扰能力的设备，设置防雷接地保护装置，</w:t>
      </w:r>
      <w:r>
        <w:rPr>
          <w:rFonts w:ascii="宋体" w:hAnsi="宋体" w:eastAsia="宋体" w:cs="宋体"/>
          <w:spacing w:val="3"/>
          <w:sz w:val="24"/>
          <w:szCs w:val="24"/>
        </w:rPr>
        <w:t>选用</w:t>
      </w:r>
      <w:r>
        <w:rPr>
          <w:rFonts w:ascii="宋体" w:hAnsi="宋体" w:eastAsia="宋体" w:cs="宋体"/>
          <w:sz w:val="24"/>
          <w:szCs w:val="24"/>
        </w:rPr>
        <w:t xml:space="preserve"> </w:t>
      </w:r>
      <w:r>
        <w:rPr>
          <w:rFonts w:ascii="宋体" w:hAnsi="宋体" w:eastAsia="宋体" w:cs="宋体"/>
          <w:spacing w:val="-2"/>
          <w:sz w:val="24"/>
          <w:szCs w:val="24"/>
        </w:rPr>
        <w:t>带屏蔽层的电缆、屏蔽层接地。</w:t>
      </w:r>
    </w:p>
    <w:p w14:paraId="64C27C79">
      <w:pPr>
        <w:spacing w:before="205" w:line="219" w:lineRule="auto"/>
        <w:ind w:left="620"/>
        <w:rPr>
          <w:rFonts w:ascii="宋体" w:hAnsi="宋体" w:eastAsia="宋体" w:cs="宋体"/>
          <w:sz w:val="24"/>
          <w:szCs w:val="24"/>
        </w:rPr>
      </w:pPr>
      <w:r>
        <w:rPr>
          <w:rFonts w:ascii="宋体" w:hAnsi="宋体" w:eastAsia="宋体" w:cs="宋体"/>
          <w:spacing w:val="4"/>
          <w:sz w:val="24"/>
          <w:szCs w:val="24"/>
        </w:rPr>
        <w:t>(3)使用合理、优良的绝缘子来减少绝缘子的表</w:t>
      </w:r>
      <w:r>
        <w:rPr>
          <w:rFonts w:ascii="宋体" w:hAnsi="宋体" w:eastAsia="宋体" w:cs="宋体"/>
          <w:spacing w:val="3"/>
          <w:sz w:val="24"/>
          <w:szCs w:val="24"/>
        </w:rPr>
        <w:t>面放电，尽量使用能改善</w:t>
      </w:r>
    </w:p>
    <w:p w14:paraId="33CE8C2C">
      <w:pPr>
        <w:spacing w:line="219" w:lineRule="auto"/>
        <w:rPr>
          <w:rFonts w:ascii="宋体" w:hAnsi="宋体" w:eastAsia="宋体" w:cs="宋体"/>
          <w:sz w:val="24"/>
          <w:szCs w:val="24"/>
        </w:rPr>
        <w:sectPr>
          <w:footerReference r:id="rId150" w:type="default"/>
          <w:pgSz w:w="11910" w:h="16830"/>
          <w:pgMar w:top="1381" w:right="1770" w:bottom="1035" w:left="1769" w:header="0" w:footer="873" w:gutter="0"/>
          <w:cols w:space="720" w:num="1"/>
        </w:sectPr>
      </w:pPr>
    </w:p>
    <w:p w14:paraId="5B2D7BCA">
      <w:pPr>
        <w:spacing w:before="47" w:line="219" w:lineRule="auto"/>
        <w:ind w:left="94"/>
        <w:rPr>
          <w:rFonts w:ascii="宋体" w:hAnsi="宋体" w:eastAsia="宋体" w:cs="宋体"/>
          <w:sz w:val="24"/>
          <w:szCs w:val="24"/>
        </w:rPr>
      </w:pPr>
      <w:r>
        <w:rPr>
          <w:rFonts w:ascii="宋体" w:hAnsi="宋体" w:eastAsia="宋体" w:cs="宋体"/>
          <w:spacing w:val="-4"/>
          <w:sz w:val="24"/>
          <w:szCs w:val="24"/>
        </w:rPr>
        <w:t>绝缘子表面或沿绝缘子串电压分布的保护装置；</w:t>
      </w:r>
    </w:p>
    <w:p w14:paraId="49BDC259">
      <w:pPr>
        <w:spacing w:before="185" w:line="290" w:lineRule="auto"/>
        <w:ind w:left="94" w:right="116" w:firstLine="630"/>
        <w:rPr>
          <w:rFonts w:ascii="宋体" w:hAnsi="宋体" w:eastAsia="宋体" w:cs="宋体"/>
          <w:sz w:val="24"/>
          <w:szCs w:val="24"/>
        </w:rPr>
      </w:pPr>
      <w:r>
        <w:rPr>
          <w:rFonts w:ascii="宋体" w:hAnsi="宋体" w:eastAsia="宋体" w:cs="宋体"/>
          <w:spacing w:val="4"/>
          <w:sz w:val="24"/>
          <w:szCs w:val="24"/>
        </w:rPr>
        <w:t>(4)密封机箱的孔、口、门缝的连接处；控制箱、断路器端子</w:t>
      </w:r>
      <w:r>
        <w:rPr>
          <w:rFonts w:ascii="宋体" w:hAnsi="宋体" w:eastAsia="宋体" w:cs="宋体"/>
          <w:spacing w:val="3"/>
          <w:sz w:val="24"/>
          <w:szCs w:val="24"/>
        </w:rPr>
        <w:t>箱、设备的</w:t>
      </w:r>
      <w:r>
        <w:rPr>
          <w:rFonts w:ascii="宋体" w:hAnsi="宋体" w:eastAsia="宋体" w:cs="宋体"/>
          <w:sz w:val="24"/>
          <w:szCs w:val="24"/>
        </w:rPr>
        <w:t xml:space="preserve"> </w:t>
      </w:r>
      <w:r>
        <w:rPr>
          <w:rFonts w:ascii="宋体" w:hAnsi="宋体" w:eastAsia="宋体" w:cs="宋体"/>
          <w:spacing w:val="-1"/>
          <w:sz w:val="24"/>
          <w:szCs w:val="24"/>
        </w:rPr>
        <w:t>放油阀门及分接开关尽量布置在较低场强区，以便于运行和检修人员接近。</w:t>
      </w:r>
    </w:p>
    <w:p w14:paraId="64FEB590">
      <w:pPr>
        <w:spacing w:before="176" w:line="291" w:lineRule="auto"/>
        <w:ind w:left="94" w:right="123" w:firstLine="620"/>
        <w:rPr>
          <w:rFonts w:ascii="宋体" w:hAnsi="宋体" w:eastAsia="宋体" w:cs="宋体"/>
          <w:sz w:val="24"/>
          <w:szCs w:val="24"/>
        </w:rPr>
      </w:pPr>
      <w:r>
        <w:rPr>
          <w:rFonts w:ascii="宋体" w:hAnsi="宋体" w:eastAsia="宋体" w:cs="宋体"/>
          <w:spacing w:val="4"/>
          <w:sz w:val="24"/>
          <w:szCs w:val="24"/>
        </w:rPr>
        <w:t>(5)在危险区域设立相应的警示标志，并做好警示宣传工作，醒目位</w:t>
      </w:r>
      <w:r>
        <w:rPr>
          <w:rFonts w:ascii="宋体" w:hAnsi="宋体" w:eastAsia="宋体" w:cs="宋体"/>
          <w:spacing w:val="3"/>
          <w:sz w:val="24"/>
          <w:szCs w:val="24"/>
        </w:rPr>
        <w:t>置设</w:t>
      </w:r>
      <w:r>
        <w:rPr>
          <w:rFonts w:ascii="宋体" w:hAnsi="宋体" w:eastAsia="宋体" w:cs="宋体"/>
          <w:sz w:val="24"/>
          <w:szCs w:val="24"/>
        </w:rPr>
        <w:t xml:space="preserve"> </w:t>
      </w:r>
      <w:r>
        <w:rPr>
          <w:rFonts w:ascii="宋体" w:hAnsi="宋体" w:eastAsia="宋体" w:cs="宋体"/>
          <w:spacing w:val="-4"/>
          <w:sz w:val="24"/>
          <w:szCs w:val="24"/>
        </w:rPr>
        <w:t>置安全警示图文标志。</w:t>
      </w:r>
    </w:p>
    <w:p w14:paraId="0F1F3766">
      <w:pPr>
        <w:spacing w:before="168" w:line="220" w:lineRule="auto"/>
        <w:ind w:left="94"/>
        <w:rPr>
          <w:rFonts w:ascii="宋体" w:hAnsi="宋体" w:eastAsia="宋体" w:cs="宋体"/>
          <w:sz w:val="33"/>
          <w:szCs w:val="33"/>
        </w:rPr>
      </w:pPr>
      <w:r>
        <w:rPr>
          <w:rFonts w:ascii="宋体" w:hAnsi="宋体" w:eastAsia="宋体" w:cs="宋体"/>
          <w:spacing w:val="-16"/>
          <w:sz w:val="33"/>
          <w:szCs w:val="33"/>
        </w:rPr>
        <w:t>7电磁环境监测计划</w:t>
      </w:r>
    </w:p>
    <w:p w14:paraId="530C7059">
      <w:pPr>
        <w:spacing w:before="201" w:line="356" w:lineRule="auto"/>
        <w:ind w:left="94" w:right="116" w:firstLine="490"/>
        <w:jc w:val="both"/>
        <w:rPr>
          <w:rFonts w:ascii="宋体" w:hAnsi="宋体" w:eastAsia="宋体" w:cs="宋体"/>
          <w:sz w:val="24"/>
          <w:szCs w:val="24"/>
        </w:rPr>
      </w:pPr>
      <w:r>
        <w:rPr>
          <w:rFonts w:ascii="宋体" w:hAnsi="宋体" w:eastAsia="宋体" w:cs="宋体"/>
          <w:spacing w:val="-3"/>
          <w:sz w:val="24"/>
          <w:szCs w:val="24"/>
        </w:rPr>
        <w:t>根据项目的环境影响和环境管理要求，制定环境监测计划，环境监测计划的</w:t>
      </w:r>
      <w:r>
        <w:rPr>
          <w:rFonts w:ascii="宋体" w:hAnsi="宋体" w:eastAsia="宋体" w:cs="宋体"/>
          <w:spacing w:val="6"/>
          <w:sz w:val="24"/>
          <w:szCs w:val="24"/>
        </w:rPr>
        <w:t xml:space="preserve"> </w:t>
      </w:r>
      <w:r>
        <w:rPr>
          <w:rFonts w:ascii="宋体" w:hAnsi="宋体" w:eastAsia="宋体" w:cs="宋体"/>
          <w:spacing w:val="-3"/>
          <w:sz w:val="24"/>
          <w:szCs w:val="24"/>
        </w:rPr>
        <w:t>职责主要是测试、收集环境状况基本资料，整理、统计分析监测结果，上报本项</w:t>
      </w:r>
      <w:r>
        <w:rPr>
          <w:rFonts w:ascii="宋体" w:hAnsi="宋体" w:eastAsia="宋体" w:cs="宋体"/>
          <w:spacing w:val="18"/>
          <w:sz w:val="24"/>
          <w:szCs w:val="24"/>
        </w:rPr>
        <w:t xml:space="preserve"> </w:t>
      </w:r>
      <w:r>
        <w:rPr>
          <w:rFonts w:ascii="宋体" w:hAnsi="宋体" w:eastAsia="宋体" w:cs="宋体"/>
          <w:spacing w:val="-4"/>
          <w:sz w:val="24"/>
          <w:szCs w:val="24"/>
        </w:rPr>
        <w:t>目所在的县级至省级生态环境行政主管部门。由建设单位委托有资质的环境监测</w:t>
      </w:r>
      <w:r>
        <w:rPr>
          <w:rFonts w:ascii="宋体" w:hAnsi="宋体" w:eastAsia="宋体" w:cs="宋体"/>
          <w:spacing w:val="8"/>
          <w:sz w:val="24"/>
          <w:szCs w:val="24"/>
        </w:rPr>
        <w:t xml:space="preserve"> </w:t>
      </w:r>
      <w:r>
        <w:rPr>
          <w:rFonts w:ascii="宋体" w:hAnsi="宋体" w:eastAsia="宋体" w:cs="宋体"/>
          <w:spacing w:val="4"/>
          <w:sz w:val="24"/>
          <w:szCs w:val="24"/>
        </w:rPr>
        <w:t>单位进行监测，具体的环境监测计划见表7-1,计划监</w:t>
      </w:r>
      <w:r>
        <w:rPr>
          <w:rFonts w:ascii="宋体" w:hAnsi="宋体" w:eastAsia="宋体" w:cs="宋体"/>
          <w:spacing w:val="3"/>
          <w:sz w:val="24"/>
          <w:szCs w:val="24"/>
        </w:rPr>
        <w:t>测点位示意图如图7-1。</w:t>
      </w:r>
    </w:p>
    <w:p w14:paraId="4528C093">
      <w:pPr>
        <w:spacing w:before="17" w:line="190" w:lineRule="auto"/>
        <w:ind w:left="2198"/>
        <w:rPr>
          <w:rFonts w:ascii="宋体" w:hAnsi="宋体" w:eastAsia="宋体" w:cs="宋体"/>
          <w:sz w:val="27"/>
          <w:szCs w:val="27"/>
        </w:rPr>
      </w:pPr>
      <w:r>
        <w:rPr>
          <w:rFonts w:ascii="宋体" w:hAnsi="宋体" w:eastAsia="宋体" w:cs="宋体"/>
          <w:b/>
          <w:bCs/>
          <w:spacing w:val="-4"/>
          <w:sz w:val="27"/>
          <w:szCs w:val="27"/>
        </w:rPr>
        <w:t>表7-1电磁辐射监测计划即监测内容</w:t>
      </w:r>
    </w:p>
    <w:tbl>
      <w:tblPr>
        <w:tblStyle w:val="5"/>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4"/>
        <w:gridCol w:w="1358"/>
        <w:gridCol w:w="2826"/>
        <w:gridCol w:w="1708"/>
        <w:gridCol w:w="1703"/>
      </w:tblGrid>
      <w:tr w14:paraId="08844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924" w:type="dxa"/>
            <w:vAlign w:val="top"/>
          </w:tcPr>
          <w:p w14:paraId="0738EE75">
            <w:pPr>
              <w:pStyle w:val="6"/>
              <w:spacing w:before="44" w:line="202" w:lineRule="auto"/>
              <w:ind w:left="244"/>
              <w:rPr>
                <w:sz w:val="21"/>
                <w:szCs w:val="21"/>
              </w:rPr>
            </w:pPr>
            <w:r>
              <w:rPr>
                <w:spacing w:val="-6"/>
                <w:sz w:val="21"/>
                <w:szCs w:val="21"/>
              </w:rPr>
              <w:t>项 目</w:t>
            </w:r>
          </w:p>
        </w:tc>
        <w:tc>
          <w:tcPr>
            <w:tcW w:w="1358" w:type="dxa"/>
            <w:vAlign w:val="top"/>
          </w:tcPr>
          <w:p w14:paraId="3B5D7A94">
            <w:pPr>
              <w:pStyle w:val="6"/>
              <w:spacing w:before="44" w:line="202" w:lineRule="auto"/>
              <w:ind w:left="250"/>
              <w:rPr>
                <w:sz w:val="21"/>
                <w:szCs w:val="21"/>
              </w:rPr>
            </w:pPr>
            <w:r>
              <w:rPr>
                <w:spacing w:val="-2"/>
                <w:sz w:val="21"/>
                <w:szCs w:val="21"/>
              </w:rPr>
              <w:t>监测因子</w:t>
            </w:r>
          </w:p>
        </w:tc>
        <w:tc>
          <w:tcPr>
            <w:tcW w:w="2826" w:type="dxa"/>
            <w:vAlign w:val="top"/>
          </w:tcPr>
          <w:p w14:paraId="6F92EC10">
            <w:pPr>
              <w:pStyle w:val="6"/>
              <w:spacing w:before="43" w:line="203" w:lineRule="auto"/>
              <w:ind w:left="672"/>
              <w:rPr>
                <w:sz w:val="21"/>
                <w:szCs w:val="21"/>
              </w:rPr>
            </w:pPr>
            <w:r>
              <w:rPr>
                <w:spacing w:val="-2"/>
                <w:sz w:val="21"/>
                <w:szCs w:val="21"/>
              </w:rPr>
              <w:t>监测点位及数量</w:t>
            </w:r>
          </w:p>
        </w:tc>
        <w:tc>
          <w:tcPr>
            <w:tcW w:w="1708" w:type="dxa"/>
            <w:vAlign w:val="top"/>
          </w:tcPr>
          <w:p w14:paraId="02707163">
            <w:pPr>
              <w:pStyle w:val="6"/>
              <w:spacing w:before="45" w:line="201" w:lineRule="auto"/>
              <w:ind w:left="426"/>
              <w:rPr>
                <w:sz w:val="21"/>
                <w:szCs w:val="21"/>
              </w:rPr>
            </w:pPr>
            <w:r>
              <w:rPr>
                <w:spacing w:val="-2"/>
                <w:sz w:val="21"/>
                <w:szCs w:val="21"/>
              </w:rPr>
              <w:t>监测方法</w:t>
            </w:r>
          </w:p>
        </w:tc>
        <w:tc>
          <w:tcPr>
            <w:tcW w:w="1703" w:type="dxa"/>
            <w:vAlign w:val="top"/>
          </w:tcPr>
          <w:p w14:paraId="3D7ED5B6">
            <w:pPr>
              <w:pStyle w:val="6"/>
              <w:spacing w:before="43" w:line="203" w:lineRule="auto"/>
              <w:ind w:left="428"/>
              <w:rPr>
                <w:sz w:val="21"/>
                <w:szCs w:val="21"/>
              </w:rPr>
            </w:pPr>
            <w:r>
              <w:rPr>
                <w:spacing w:val="-2"/>
                <w:sz w:val="21"/>
                <w:szCs w:val="21"/>
              </w:rPr>
              <w:t>监测频次</w:t>
            </w:r>
          </w:p>
        </w:tc>
      </w:tr>
      <w:tr w14:paraId="48E50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6" w:hRule="atLeast"/>
        </w:trPr>
        <w:tc>
          <w:tcPr>
            <w:tcW w:w="924" w:type="dxa"/>
            <w:vAlign w:val="top"/>
          </w:tcPr>
          <w:p w14:paraId="6539D205">
            <w:pPr>
              <w:spacing w:line="255" w:lineRule="auto"/>
              <w:rPr>
                <w:rFonts w:ascii="Arial"/>
                <w:sz w:val="21"/>
              </w:rPr>
            </w:pPr>
          </w:p>
          <w:p w14:paraId="3292B632">
            <w:pPr>
              <w:spacing w:line="256" w:lineRule="auto"/>
              <w:rPr>
                <w:rFonts w:ascii="Arial"/>
                <w:sz w:val="21"/>
              </w:rPr>
            </w:pPr>
          </w:p>
          <w:p w14:paraId="026A1F32">
            <w:pPr>
              <w:pStyle w:val="6"/>
              <w:spacing w:before="68" w:line="221" w:lineRule="auto"/>
              <w:ind w:left="134"/>
              <w:rPr>
                <w:sz w:val="21"/>
                <w:szCs w:val="21"/>
              </w:rPr>
            </w:pPr>
            <w:r>
              <w:rPr>
                <w:spacing w:val="4"/>
                <w:sz w:val="21"/>
                <w:szCs w:val="21"/>
              </w:rPr>
              <w:t>工频电</w:t>
            </w:r>
          </w:p>
          <w:p w14:paraId="6D5A3631">
            <w:pPr>
              <w:pStyle w:val="6"/>
              <w:spacing w:before="6" w:line="220" w:lineRule="auto"/>
              <w:ind w:left="134"/>
              <w:rPr>
                <w:sz w:val="21"/>
                <w:szCs w:val="21"/>
              </w:rPr>
            </w:pPr>
            <w:r>
              <w:rPr>
                <w:spacing w:val="-2"/>
                <w:sz w:val="21"/>
                <w:szCs w:val="21"/>
              </w:rPr>
              <w:t>场工频</w:t>
            </w:r>
          </w:p>
          <w:p w14:paraId="2F7DB1C4">
            <w:pPr>
              <w:pStyle w:val="6"/>
              <w:spacing w:before="21" w:line="221" w:lineRule="auto"/>
              <w:ind w:left="134"/>
              <w:rPr>
                <w:sz w:val="21"/>
                <w:szCs w:val="21"/>
              </w:rPr>
            </w:pPr>
            <w:r>
              <w:rPr>
                <w:spacing w:val="-2"/>
                <w:sz w:val="21"/>
                <w:szCs w:val="21"/>
              </w:rPr>
              <w:t>磁感应</w:t>
            </w:r>
          </w:p>
          <w:p w14:paraId="09C574BC">
            <w:pPr>
              <w:pStyle w:val="6"/>
              <w:spacing w:before="26" w:line="220" w:lineRule="auto"/>
              <w:ind w:left="244"/>
              <w:rPr>
                <w:sz w:val="21"/>
                <w:szCs w:val="21"/>
              </w:rPr>
            </w:pPr>
            <w:r>
              <w:rPr>
                <w:spacing w:val="6"/>
                <w:sz w:val="21"/>
                <w:szCs w:val="21"/>
              </w:rPr>
              <w:t>强度</w:t>
            </w:r>
          </w:p>
        </w:tc>
        <w:tc>
          <w:tcPr>
            <w:tcW w:w="1358" w:type="dxa"/>
            <w:vAlign w:val="top"/>
          </w:tcPr>
          <w:p w14:paraId="432AB7F7">
            <w:pPr>
              <w:spacing w:line="253" w:lineRule="auto"/>
              <w:rPr>
                <w:rFonts w:ascii="Arial"/>
                <w:sz w:val="21"/>
              </w:rPr>
            </w:pPr>
          </w:p>
          <w:p w14:paraId="218C3BF3">
            <w:pPr>
              <w:spacing w:line="253" w:lineRule="auto"/>
              <w:rPr>
                <w:rFonts w:ascii="Arial"/>
                <w:sz w:val="21"/>
              </w:rPr>
            </w:pPr>
          </w:p>
          <w:p w14:paraId="65D8BDBC">
            <w:pPr>
              <w:pStyle w:val="6"/>
              <w:spacing w:before="68" w:line="242" w:lineRule="auto"/>
              <w:ind w:left="140" w:right="146"/>
              <w:jc w:val="both"/>
              <w:rPr>
                <w:sz w:val="21"/>
                <w:szCs w:val="21"/>
              </w:rPr>
            </w:pPr>
            <w:r>
              <w:rPr>
                <w:spacing w:val="2"/>
                <w:sz w:val="21"/>
                <w:szCs w:val="21"/>
              </w:rPr>
              <w:t>工频电场强</w:t>
            </w:r>
            <w:r>
              <w:rPr>
                <w:sz w:val="21"/>
                <w:szCs w:val="21"/>
              </w:rPr>
              <w:t xml:space="preserve"> </w:t>
            </w:r>
            <w:r>
              <w:rPr>
                <w:spacing w:val="6"/>
                <w:sz w:val="21"/>
                <w:szCs w:val="21"/>
              </w:rPr>
              <w:t>度，</w:t>
            </w:r>
            <w:r>
              <w:rPr>
                <w:spacing w:val="-37"/>
                <w:sz w:val="21"/>
                <w:szCs w:val="21"/>
              </w:rPr>
              <w:t xml:space="preserve"> </w:t>
            </w:r>
            <w:r>
              <w:rPr>
                <w:sz w:val="21"/>
                <w:szCs w:val="21"/>
              </w:rPr>
              <w:t>kV</w:t>
            </w:r>
            <w:r>
              <w:rPr>
                <w:spacing w:val="6"/>
                <w:sz w:val="21"/>
                <w:szCs w:val="21"/>
              </w:rPr>
              <w:t>/m;</w:t>
            </w:r>
            <w:r>
              <w:rPr>
                <w:sz w:val="21"/>
                <w:szCs w:val="21"/>
              </w:rPr>
              <w:t xml:space="preserve"> </w:t>
            </w:r>
            <w:r>
              <w:rPr>
                <w:spacing w:val="-3"/>
                <w:sz w:val="21"/>
                <w:szCs w:val="21"/>
              </w:rPr>
              <w:t>工频磁感应</w:t>
            </w:r>
            <w:r>
              <w:rPr>
                <w:spacing w:val="3"/>
                <w:sz w:val="21"/>
                <w:szCs w:val="21"/>
              </w:rPr>
              <w:t xml:space="preserve"> </w:t>
            </w:r>
            <w:r>
              <w:rPr>
                <w:spacing w:val="12"/>
                <w:sz w:val="21"/>
                <w:szCs w:val="21"/>
              </w:rPr>
              <w:t>强度，μT</w:t>
            </w:r>
          </w:p>
        </w:tc>
        <w:tc>
          <w:tcPr>
            <w:tcW w:w="2826" w:type="dxa"/>
            <w:vAlign w:val="top"/>
          </w:tcPr>
          <w:p w14:paraId="5F5CB628">
            <w:pPr>
              <w:pStyle w:val="6"/>
              <w:spacing w:before="36" w:line="225" w:lineRule="auto"/>
              <w:ind w:left="183" w:right="189" w:firstLine="10"/>
              <w:rPr>
                <w:sz w:val="21"/>
                <w:szCs w:val="21"/>
              </w:rPr>
            </w:pPr>
            <w:r>
              <w:rPr>
                <w:spacing w:val="1"/>
                <w:sz w:val="21"/>
                <w:szCs w:val="21"/>
              </w:rPr>
              <w:t>①220</w:t>
            </w:r>
            <w:r>
              <w:rPr>
                <w:sz w:val="21"/>
                <w:szCs w:val="21"/>
              </w:rPr>
              <w:t>kV</w:t>
            </w:r>
            <w:r>
              <w:rPr>
                <w:spacing w:val="1"/>
                <w:sz w:val="21"/>
                <w:szCs w:val="21"/>
              </w:rPr>
              <w:t>升压站四周围墙外</w:t>
            </w:r>
            <w:r>
              <w:rPr>
                <w:spacing w:val="5"/>
                <w:sz w:val="21"/>
                <w:szCs w:val="21"/>
              </w:rPr>
              <w:t xml:space="preserve"> </w:t>
            </w:r>
            <w:r>
              <w:rPr>
                <w:spacing w:val="8"/>
                <w:sz w:val="21"/>
                <w:szCs w:val="21"/>
              </w:rPr>
              <w:t>5m处各设1个监测点位；</w:t>
            </w:r>
          </w:p>
          <w:p w14:paraId="01654A4D">
            <w:pPr>
              <w:pStyle w:val="6"/>
              <w:spacing w:before="28" w:line="233" w:lineRule="auto"/>
              <w:ind w:left="42" w:firstLine="99"/>
              <w:rPr>
                <w:sz w:val="21"/>
                <w:szCs w:val="21"/>
              </w:rPr>
            </w:pPr>
            <w:r>
              <w:rPr>
                <w:spacing w:val="-1"/>
                <w:sz w:val="21"/>
                <w:szCs w:val="21"/>
              </w:rPr>
              <w:t>②厂界电磁衰减断面以升压</w:t>
            </w:r>
            <w:r>
              <w:rPr>
                <w:spacing w:val="1"/>
                <w:sz w:val="21"/>
                <w:szCs w:val="21"/>
              </w:rPr>
              <w:t xml:space="preserve">  </w:t>
            </w:r>
            <w:r>
              <w:rPr>
                <w:spacing w:val="-1"/>
                <w:sz w:val="21"/>
                <w:szCs w:val="21"/>
              </w:rPr>
              <w:t>站围墙周围的工频电场、工频</w:t>
            </w:r>
            <w:r>
              <w:rPr>
                <w:spacing w:val="1"/>
                <w:sz w:val="21"/>
                <w:szCs w:val="21"/>
              </w:rPr>
              <w:t xml:space="preserve"> </w:t>
            </w:r>
            <w:r>
              <w:rPr>
                <w:spacing w:val="3"/>
                <w:sz w:val="21"/>
                <w:szCs w:val="21"/>
              </w:rPr>
              <w:t>磁感应强度最大值处为起点， 在垂直于围墙的方向上布设，</w:t>
            </w:r>
          </w:p>
          <w:p w14:paraId="7BF848C6">
            <w:pPr>
              <w:pStyle w:val="6"/>
              <w:spacing w:before="39" w:line="206" w:lineRule="auto"/>
              <w:ind w:left="332" w:right="192" w:hanging="139"/>
              <w:rPr>
                <w:sz w:val="21"/>
                <w:szCs w:val="21"/>
              </w:rPr>
            </w:pPr>
            <w:r>
              <w:rPr>
                <w:spacing w:val="1"/>
                <w:sz w:val="21"/>
                <w:szCs w:val="21"/>
              </w:rPr>
              <w:t xml:space="preserve">监测点间距为5m,顺序测至 </w:t>
            </w:r>
            <w:r>
              <w:rPr>
                <w:sz w:val="21"/>
                <w:szCs w:val="21"/>
              </w:rPr>
              <w:t>距离围墙50m处为止。</w:t>
            </w:r>
          </w:p>
        </w:tc>
        <w:tc>
          <w:tcPr>
            <w:tcW w:w="1708" w:type="dxa"/>
            <w:vAlign w:val="top"/>
          </w:tcPr>
          <w:p w14:paraId="036DCCE9">
            <w:pPr>
              <w:spacing w:line="253" w:lineRule="auto"/>
              <w:rPr>
                <w:rFonts w:ascii="Arial"/>
                <w:sz w:val="21"/>
              </w:rPr>
            </w:pPr>
          </w:p>
          <w:p w14:paraId="475304F2">
            <w:pPr>
              <w:spacing w:line="253" w:lineRule="auto"/>
              <w:rPr>
                <w:rFonts w:ascii="Arial"/>
                <w:sz w:val="21"/>
              </w:rPr>
            </w:pPr>
          </w:p>
          <w:p w14:paraId="5C49EDC7">
            <w:pPr>
              <w:pStyle w:val="6"/>
              <w:spacing w:before="68" w:line="238" w:lineRule="auto"/>
              <w:ind w:left="115" w:right="46" w:hanging="54"/>
              <w:jc w:val="both"/>
              <w:rPr>
                <w:sz w:val="21"/>
                <w:szCs w:val="21"/>
              </w:rPr>
            </w:pPr>
            <w:r>
              <w:rPr>
                <w:spacing w:val="-3"/>
                <w:sz w:val="21"/>
                <w:szCs w:val="21"/>
              </w:rPr>
              <w:t>《交流输变电工</w:t>
            </w:r>
            <w:r>
              <w:rPr>
                <w:sz w:val="21"/>
                <w:szCs w:val="21"/>
              </w:rPr>
              <w:t xml:space="preserve">  </w:t>
            </w:r>
            <w:r>
              <w:rPr>
                <w:spacing w:val="2"/>
                <w:sz w:val="21"/>
                <w:szCs w:val="21"/>
              </w:rPr>
              <w:t xml:space="preserve">程电磁环境监测 </w:t>
            </w:r>
            <w:r>
              <w:rPr>
                <w:spacing w:val="39"/>
                <w:sz w:val="21"/>
                <w:szCs w:val="21"/>
              </w:rPr>
              <w:t>方法(试行)》</w:t>
            </w:r>
            <w:r>
              <w:rPr>
                <w:sz w:val="21"/>
                <w:szCs w:val="21"/>
              </w:rPr>
              <w:t xml:space="preserve"> </w:t>
            </w:r>
            <w:r>
              <w:rPr>
                <w:spacing w:val="5"/>
                <w:sz w:val="21"/>
                <w:szCs w:val="21"/>
              </w:rPr>
              <w:t>(</w:t>
            </w:r>
            <w:r>
              <w:rPr>
                <w:sz w:val="21"/>
                <w:szCs w:val="21"/>
              </w:rPr>
              <w:t>HJ</w:t>
            </w:r>
            <w:r>
              <w:rPr>
                <w:spacing w:val="5"/>
                <w:sz w:val="21"/>
                <w:szCs w:val="21"/>
              </w:rPr>
              <w:t>681-2013)</w:t>
            </w:r>
          </w:p>
        </w:tc>
        <w:tc>
          <w:tcPr>
            <w:tcW w:w="1703" w:type="dxa"/>
            <w:vAlign w:val="top"/>
          </w:tcPr>
          <w:p w14:paraId="6B567E1C">
            <w:pPr>
              <w:spacing w:line="323" w:lineRule="auto"/>
              <w:rPr>
                <w:rFonts w:ascii="Arial"/>
                <w:sz w:val="21"/>
              </w:rPr>
            </w:pPr>
          </w:p>
          <w:p w14:paraId="45E7A41A">
            <w:pPr>
              <w:spacing w:line="324" w:lineRule="auto"/>
              <w:rPr>
                <w:rFonts w:ascii="Arial"/>
                <w:sz w:val="21"/>
              </w:rPr>
            </w:pPr>
          </w:p>
          <w:p w14:paraId="7D8A9EC3">
            <w:pPr>
              <w:pStyle w:val="6"/>
              <w:spacing w:before="68" w:line="219" w:lineRule="auto"/>
              <w:ind w:left="108"/>
              <w:rPr>
                <w:sz w:val="21"/>
                <w:szCs w:val="21"/>
              </w:rPr>
            </w:pPr>
            <w:r>
              <w:rPr>
                <w:spacing w:val="-2"/>
                <w:sz w:val="21"/>
                <w:szCs w:val="21"/>
              </w:rPr>
              <w:t>竣工环境保护验</w:t>
            </w:r>
          </w:p>
          <w:p w14:paraId="2F1E740A">
            <w:pPr>
              <w:pStyle w:val="6"/>
              <w:spacing w:before="10" w:line="219" w:lineRule="auto"/>
              <w:ind w:left="158"/>
              <w:rPr>
                <w:sz w:val="21"/>
                <w:szCs w:val="21"/>
              </w:rPr>
            </w:pPr>
            <w:r>
              <w:rPr>
                <w:spacing w:val="2"/>
                <w:sz w:val="21"/>
                <w:szCs w:val="21"/>
              </w:rPr>
              <w:t>收1次，后期管</w:t>
            </w:r>
          </w:p>
          <w:p w14:paraId="0E5B871E">
            <w:pPr>
              <w:pStyle w:val="6"/>
              <w:spacing w:before="31" w:line="220" w:lineRule="auto"/>
              <w:ind w:left="318"/>
              <w:rPr>
                <w:sz w:val="21"/>
                <w:szCs w:val="21"/>
              </w:rPr>
            </w:pPr>
            <w:r>
              <w:rPr>
                <w:spacing w:val="2"/>
                <w:sz w:val="21"/>
                <w:szCs w:val="21"/>
              </w:rPr>
              <w:t>理不作要求</w:t>
            </w:r>
          </w:p>
        </w:tc>
      </w:tr>
    </w:tbl>
    <w:p w14:paraId="04E5D65D">
      <w:pPr>
        <w:spacing w:before="70" w:line="218" w:lineRule="auto"/>
        <w:ind w:left="118"/>
        <w:rPr>
          <w:rFonts w:ascii="宋体" w:hAnsi="宋体" w:eastAsia="宋体" w:cs="宋体"/>
          <w:sz w:val="27"/>
          <w:szCs w:val="27"/>
        </w:rPr>
      </w:pPr>
      <w:r>
        <w:rPr>
          <w:rFonts w:ascii="宋体" w:hAnsi="宋体" w:eastAsia="宋体" w:cs="宋体"/>
          <w:b/>
          <w:bCs/>
          <w:spacing w:val="-5"/>
          <w:sz w:val="27"/>
          <w:szCs w:val="27"/>
        </w:rPr>
        <w:t>8.评价结论</w:t>
      </w:r>
    </w:p>
    <w:p w14:paraId="4FBE41D5">
      <w:pPr>
        <w:spacing w:before="239" w:line="353" w:lineRule="auto"/>
        <w:ind w:left="94" w:right="119" w:firstLine="480"/>
        <w:jc w:val="both"/>
        <w:rPr>
          <w:rFonts w:ascii="宋体" w:hAnsi="宋体" w:eastAsia="宋体" w:cs="宋体"/>
          <w:sz w:val="24"/>
          <w:szCs w:val="24"/>
        </w:rPr>
      </w:pPr>
      <w:r>
        <w:rPr>
          <w:rFonts w:ascii="宋体" w:hAnsi="宋体" w:eastAsia="宋体" w:cs="宋体"/>
          <w:spacing w:val="5"/>
          <w:sz w:val="24"/>
          <w:szCs w:val="24"/>
        </w:rPr>
        <w:t>根据现状监测结果，本项目拟建220</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 xml:space="preserve"> </w:t>
      </w:r>
      <w:r>
        <w:rPr>
          <w:rFonts w:ascii="宋体" w:hAnsi="宋体" w:eastAsia="宋体" w:cs="宋体"/>
          <w:spacing w:val="5"/>
          <w:sz w:val="24"/>
          <w:szCs w:val="24"/>
        </w:rPr>
        <w:t>升压站站址区域工频电场、工频磁</w:t>
      </w:r>
      <w:r>
        <w:rPr>
          <w:rFonts w:ascii="宋体" w:hAnsi="宋体" w:eastAsia="宋体" w:cs="宋体"/>
          <w:sz w:val="24"/>
          <w:szCs w:val="24"/>
        </w:rPr>
        <w:t xml:space="preserve"> </w:t>
      </w:r>
      <w:r>
        <w:rPr>
          <w:rFonts w:ascii="宋体" w:hAnsi="宋体" w:eastAsia="宋体" w:cs="宋体"/>
          <w:spacing w:val="-2"/>
          <w:sz w:val="24"/>
          <w:szCs w:val="24"/>
        </w:rPr>
        <w:t>感应强度均能满足《电磁环境控制限值》</w:t>
      </w:r>
      <w:r>
        <w:rPr>
          <w:rFonts w:ascii="宋体" w:hAnsi="宋体" w:eastAsia="宋体" w:cs="宋体"/>
          <w:spacing w:val="-32"/>
          <w:sz w:val="24"/>
          <w:szCs w:val="24"/>
        </w:rPr>
        <w:t xml:space="preserve"> </w:t>
      </w:r>
      <w:r>
        <w:rPr>
          <w:rFonts w:ascii="宋体" w:hAnsi="宋体" w:eastAsia="宋体" w:cs="宋体"/>
          <w:spacing w:val="-2"/>
          <w:sz w:val="24"/>
          <w:szCs w:val="24"/>
        </w:rPr>
        <w:t>(</w:t>
      </w:r>
      <w:r>
        <w:rPr>
          <w:rFonts w:ascii="宋体" w:hAnsi="宋体" w:eastAsia="宋体" w:cs="宋体"/>
          <w:spacing w:val="-69"/>
          <w:sz w:val="24"/>
          <w:szCs w:val="24"/>
        </w:rPr>
        <w:t xml:space="preserve"> </w:t>
      </w:r>
      <w:r>
        <w:rPr>
          <w:rFonts w:ascii="Times New Roman" w:hAnsi="Times New Roman" w:eastAsia="Times New Roman" w:cs="Times New Roman"/>
          <w:spacing w:val="-2"/>
          <w:sz w:val="24"/>
          <w:szCs w:val="24"/>
        </w:rPr>
        <w:t>GB8702-2014)</w:t>
      </w:r>
      <w:r>
        <w:rPr>
          <w:rFonts w:ascii="Times New Roman" w:hAnsi="Times New Roman" w:eastAsia="Times New Roman" w:cs="Times New Roman"/>
          <w:spacing w:val="23"/>
          <w:sz w:val="24"/>
          <w:szCs w:val="24"/>
        </w:rPr>
        <w:t xml:space="preserve">  </w:t>
      </w:r>
      <w:r>
        <w:rPr>
          <w:rFonts w:ascii="宋体" w:hAnsi="宋体" w:eastAsia="宋体" w:cs="宋体"/>
          <w:spacing w:val="-2"/>
          <w:sz w:val="24"/>
          <w:szCs w:val="24"/>
        </w:rPr>
        <w:t>中工频电场强度公众</w:t>
      </w:r>
      <w:r>
        <w:rPr>
          <w:rFonts w:ascii="宋体" w:hAnsi="宋体" w:eastAsia="宋体" w:cs="宋体"/>
          <w:sz w:val="24"/>
          <w:szCs w:val="24"/>
        </w:rPr>
        <w:t xml:space="preserve"> </w:t>
      </w:r>
      <w:r>
        <w:rPr>
          <w:rFonts w:ascii="宋体" w:hAnsi="宋体" w:eastAsia="宋体" w:cs="宋体"/>
          <w:spacing w:val="1"/>
          <w:sz w:val="24"/>
          <w:szCs w:val="24"/>
        </w:rPr>
        <w:t>曝露控制限值4</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1"/>
          <w:sz w:val="24"/>
          <w:szCs w:val="24"/>
        </w:rPr>
        <w:t xml:space="preserve"> </w:t>
      </w:r>
      <w:r>
        <w:rPr>
          <w:rFonts w:ascii="宋体" w:hAnsi="宋体" w:eastAsia="宋体" w:cs="宋体"/>
          <w:spacing w:val="1"/>
          <w:sz w:val="24"/>
          <w:szCs w:val="24"/>
        </w:rPr>
        <w:t>和工频磁感应强度公众曝露控制限值100μ</w:t>
      </w:r>
      <w:r>
        <w:rPr>
          <w:rFonts w:ascii="Times New Roman" w:hAnsi="Times New Roman" w:eastAsia="Times New Roman" w:cs="Times New Roman"/>
          <w:spacing w:val="1"/>
          <w:sz w:val="24"/>
          <w:szCs w:val="24"/>
        </w:rPr>
        <w:t xml:space="preserve">T </w:t>
      </w:r>
      <w:r>
        <w:rPr>
          <w:rFonts w:ascii="宋体" w:hAnsi="宋体" w:eastAsia="宋体" w:cs="宋体"/>
          <w:spacing w:val="1"/>
          <w:sz w:val="24"/>
          <w:szCs w:val="24"/>
        </w:rPr>
        <w:t>的要求，在严</w:t>
      </w:r>
      <w:r>
        <w:rPr>
          <w:rFonts w:ascii="宋体" w:hAnsi="宋体" w:eastAsia="宋体" w:cs="宋体"/>
          <w:sz w:val="24"/>
          <w:szCs w:val="24"/>
        </w:rPr>
        <w:t xml:space="preserve"> </w:t>
      </w:r>
      <w:r>
        <w:rPr>
          <w:rFonts w:ascii="宋体" w:hAnsi="宋体" w:eastAsia="宋体" w:cs="宋体"/>
          <w:spacing w:val="-1"/>
          <w:sz w:val="24"/>
          <w:szCs w:val="24"/>
        </w:rPr>
        <w:t>格执行《架空送电线路运行规程》(</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DL/T741-2001)</w:t>
      </w:r>
      <w:r>
        <w:rPr>
          <w:rFonts w:ascii="宋体" w:hAnsi="宋体" w:eastAsia="宋体" w:cs="宋体"/>
          <w:spacing w:val="-1"/>
          <w:sz w:val="24"/>
          <w:szCs w:val="24"/>
        </w:rPr>
        <w:t>、《 电力设施保护条</w:t>
      </w:r>
      <w:r>
        <w:rPr>
          <w:rFonts w:ascii="宋体" w:hAnsi="宋体" w:eastAsia="宋体" w:cs="宋体"/>
          <w:spacing w:val="-2"/>
          <w:sz w:val="24"/>
          <w:szCs w:val="24"/>
        </w:rPr>
        <w:t>例实施</w:t>
      </w:r>
      <w:r>
        <w:rPr>
          <w:rFonts w:ascii="宋体" w:hAnsi="宋体" w:eastAsia="宋体" w:cs="宋体"/>
          <w:sz w:val="24"/>
          <w:szCs w:val="24"/>
        </w:rPr>
        <w:t xml:space="preserve"> 细则》、《城市电力规划规范》 (</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GB/T50293-1999)   </w:t>
      </w:r>
      <w:r>
        <w:rPr>
          <w:rFonts w:ascii="宋体" w:hAnsi="宋体" w:eastAsia="宋体" w:cs="宋体"/>
          <w:sz w:val="24"/>
          <w:szCs w:val="24"/>
        </w:rPr>
        <w:t>及《110~750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rFonts w:ascii="宋体" w:hAnsi="宋体" w:eastAsia="宋体" w:cs="宋体"/>
          <w:sz w:val="24"/>
          <w:szCs w:val="24"/>
        </w:rPr>
        <w:t xml:space="preserve">架空输电 </w:t>
      </w:r>
      <w:r>
        <w:rPr>
          <w:rFonts w:ascii="宋体" w:hAnsi="宋体" w:eastAsia="宋体" w:cs="宋体"/>
          <w:spacing w:val="2"/>
          <w:sz w:val="24"/>
          <w:szCs w:val="24"/>
        </w:rPr>
        <w:t>线路设计技术规定程》 (</w:t>
      </w:r>
      <w:r>
        <w:rPr>
          <w:rFonts w:ascii="Times New Roman" w:hAnsi="Times New Roman" w:eastAsia="Times New Roman" w:cs="Times New Roman"/>
          <w:spacing w:val="2"/>
          <w:sz w:val="24"/>
          <w:szCs w:val="24"/>
        </w:rPr>
        <w:t>Q/</w:t>
      </w:r>
      <w:r>
        <w:rPr>
          <w:rFonts w:ascii="Times New Roman" w:hAnsi="Times New Roman" w:eastAsia="Times New Roman" w:cs="Times New Roman"/>
          <w:sz w:val="24"/>
          <w:szCs w:val="24"/>
        </w:rPr>
        <w:t>GDW</w:t>
      </w:r>
      <w:r>
        <w:rPr>
          <w:rFonts w:ascii="Times New Roman" w:hAnsi="Times New Roman" w:eastAsia="Times New Roman" w:cs="Times New Roman"/>
          <w:spacing w:val="2"/>
          <w:sz w:val="24"/>
          <w:szCs w:val="24"/>
        </w:rPr>
        <w:t xml:space="preserve">179-2008)   </w:t>
      </w:r>
      <w:r>
        <w:rPr>
          <w:rFonts w:ascii="宋体" w:hAnsi="宋体" w:eastAsia="宋体" w:cs="宋体"/>
          <w:spacing w:val="2"/>
          <w:sz w:val="24"/>
          <w:szCs w:val="24"/>
        </w:rPr>
        <w:t>等相关要求后，项目的建设对项目</w:t>
      </w:r>
      <w:r>
        <w:rPr>
          <w:rFonts w:ascii="宋体" w:hAnsi="宋体" w:eastAsia="宋体" w:cs="宋体"/>
          <w:sz w:val="24"/>
          <w:szCs w:val="24"/>
        </w:rPr>
        <w:t xml:space="preserve"> </w:t>
      </w:r>
      <w:r>
        <w:rPr>
          <w:rFonts w:ascii="宋体" w:hAnsi="宋体" w:eastAsia="宋体" w:cs="宋体"/>
          <w:spacing w:val="-3"/>
          <w:sz w:val="24"/>
          <w:szCs w:val="24"/>
        </w:rPr>
        <w:t>最近敏感点及周边电磁环境影响较小。</w:t>
      </w:r>
    </w:p>
    <w:sectPr>
      <w:footerReference r:id="rId151" w:type="default"/>
      <w:pgSz w:w="11910" w:h="16830"/>
      <w:pgMar w:top="1410" w:right="1705" w:bottom="1033" w:left="1675" w:header="0" w:footer="87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1C04">
    <w:pPr>
      <w:pStyle w:val="2"/>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3849C">
    <w:pPr>
      <w:spacing w:line="174" w:lineRule="auto"/>
      <w:ind w:left="4385"/>
      <w:rPr>
        <w:rFonts w:ascii="Times New Roman" w:hAnsi="Times New Roman" w:eastAsia="Times New Roman" w:cs="Times New Roman"/>
        <w:sz w:val="15"/>
        <w:szCs w:val="15"/>
      </w:rPr>
    </w:pPr>
    <w:r>
      <w:rPr>
        <w:rFonts w:ascii="Times New Roman" w:hAnsi="Times New Roman" w:eastAsia="Times New Roman" w:cs="Times New Roman"/>
        <w:sz w:val="15"/>
        <w:szCs w:val="15"/>
      </w:rPr>
      <w:t>9</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790A">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99</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C2886">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8225A">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101</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1C04">
    <w:pPr>
      <w:pStyle w:val="2"/>
      <w:spacing w:line="14" w:lineRule="auto"/>
      <w:rPr>
        <w:sz w:val="2"/>
      </w:rP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2C506">
    <w:pPr>
      <w:spacing w:line="176" w:lineRule="auto"/>
      <w:ind w:left="434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103</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FB59">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104</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8850E">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105</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7AC79">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106</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AB3C2">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107</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46F4C">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B343">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DB4DE">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109</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DC311">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110</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7C898">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111</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A4E60">
    <w:pPr>
      <w:spacing w:line="176" w:lineRule="auto"/>
      <w:ind w:left="437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112</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11A29">
    <w:pPr>
      <w:spacing w:line="177" w:lineRule="auto"/>
      <w:ind w:left="437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113</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E70AA">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114</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7F309">
    <w:pPr>
      <w:spacing w:line="176" w:lineRule="auto"/>
      <w:ind w:left="437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115</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629AA">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116</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15CD1">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117</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B4BEF">
    <w:pPr>
      <w:spacing w:line="176" w:lineRule="auto"/>
      <w:ind w:left="4374"/>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118</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79775">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29845">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119</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6D91F">
    <w:pPr>
      <w:spacing w:line="177" w:lineRule="auto"/>
      <w:ind w:left="4365"/>
      <w:rPr>
        <w:rFonts w:ascii="Times New Roman" w:hAnsi="Times New Roman" w:eastAsia="Times New Roman" w:cs="Times New Roman"/>
        <w:sz w:val="19"/>
        <w:szCs w:val="19"/>
      </w:rPr>
    </w:pPr>
    <w:r>
      <w:rPr>
        <w:rFonts w:ascii="Times New Roman" w:hAnsi="Times New Roman" w:eastAsia="Times New Roman" w:cs="Times New Roman"/>
        <w:spacing w:val="-5"/>
        <w:sz w:val="19"/>
        <w:szCs w:val="19"/>
      </w:rPr>
      <w:t>120</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AE096">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121</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D97EB">
    <w:pPr>
      <w:spacing w:line="177" w:lineRule="auto"/>
      <w:ind w:left="435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122</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10A6">
    <w:pPr>
      <w:spacing w:line="177" w:lineRule="auto"/>
      <w:ind w:left="435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123</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38447">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124</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36A0">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125</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73721">
    <w:pPr>
      <w:spacing w:line="177" w:lineRule="auto"/>
      <w:ind w:left="437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126</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00A00">
    <w:pPr>
      <w:spacing w:line="177" w:lineRule="auto"/>
      <w:ind w:left="436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127</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8D20D">
    <w:pPr>
      <w:spacing w:line="176" w:lineRule="auto"/>
      <w:ind w:left="439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128</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B9C82">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12</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98E71">
    <w:pPr>
      <w:spacing w:line="177" w:lineRule="auto"/>
      <w:ind w:left="440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129</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E6736">
    <w:pPr>
      <w:spacing w:line="177" w:lineRule="auto"/>
      <w:ind w:left="440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130</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3E7C8">
    <w:pPr>
      <w:spacing w:line="177" w:lineRule="auto"/>
      <w:ind w:left="440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131</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1C04">
    <w:pPr>
      <w:pStyle w:val="2"/>
      <w:spacing w:line="14" w:lineRule="auto"/>
      <w:rPr>
        <w:sz w:val="2"/>
      </w:rPr>
    </w:pP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B10EB">
    <w:pPr>
      <w:spacing w:line="174" w:lineRule="auto"/>
      <w:ind w:left="4140"/>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C905E">
    <w:pPr>
      <w:spacing w:line="233" w:lineRule="auto"/>
      <w:ind w:left="4204"/>
      <w:rPr>
        <w:rFonts w:ascii="宋体" w:hAnsi="宋体" w:eastAsia="宋体" w:cs="宋体"/>
        <w:sz w:val="24"/>
        <w:szCs w:val="24"/>
      </w:rPr>
    </w:pPr>
    <w:r>
      <w:rPr>
        <w:rFonts w:ascii="宋体" w:hAnsi="宋体" w:eastAsia="宋体" w:cs="宋体"/>
        <w:sz w:val="24"/>
        <w:szCs w:val="24"/>
      </w:rPr>
      <w:t>2</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582D5">
    <w:pPr>
      <w:spacing w:line="176" w:lineRule="auto"/>
      <w:ind w:left="4204"/>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DD9DB">
    <w:pPr>
      <w:spacing w:line="228" w:lineRule="auto"/>
      <w:ind w:left="4194"/>
      <w:rPr>
        <w:rFonts w:ascii="宋体" w:hAnsi="宋体" w:eastAsia="宋体" w:cs="宋体"/>
        <w:sz w:val="15"/>
        <w:szCs w:val="15"/>
      </w:rPr>
    </w:pPr>
    <w:r>
      <w:rPr>
        <w:rFonts w:ascii="宋体" w:hAnsi="宋体" w:eastAsia="宋体" w:cs="宋体"/>
        <w:sz w:val="15"/>
        <w:szCs w:val="15"/>
      </w:rPr>
      <w:t>4</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1C04">
    <w:pPr>
      <w:pStyle w:val="2"/>
      <w:spacing w:line="14" w:lineRule="auto"/>
      <w:rPr>
        <w:sz w:val="2"/>
      </w:rPr>
    </w:pP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96B3E">
    <w:pPr>
      <w:spacing w:line="176" w:lineRule="auto"/>
      <w:ind w:left="4194"/>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1720B">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13</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BEB47">
    <w:pPr>
      <w:spacing w:line="173" w:lineRule="auto"/>
      <w:ind w:left="4204"/>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BC890">
    <w:pPr>
      <w:spacing w:line="174" w:lineRule="auto"/>
      <w:ind w:left="4110"/>
      <w:rPr>
        <w:rFonts w:ascii="Times New Roman" w:hAnsi="Times New Roman" w:eastAsia="Times New Roman" w:cs="Times New Roman"/>
        <w:sz w:val="15"/>
        <w:szCs w:val="15"/>
      </w:rPr>
    </w:pPr>
    <w:r>
      <w:rPr>
        <w:rFonts w:ascii="Times New Roman" w:hAnsi="Times New Roman" w:eastAsia="Times New Roman" w:cs="Times New Roman"/>
        <w:sz w:val="15"/>
        <w:szCs w:val="15"/>
      </w:rPr>
      <w:t>8</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E70FE">
    <w:pPr>
      <w:spacing w:line="176" w:lineRule="auto"/>
      <w:ind w:left="4204"/>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6040B">
    <w:pPr>
      <w:spacing w:line="176" w:lineRule="auto"/>
      <w:ind w:left="4174"/>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8EB66">
    <w:pPr>
      <w:spacing w:line="176" w:lineRule="auto"/>
      <w:ind w:left="4184"/>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D3484">
    <w:pPr>
      <w:spacing w:line="176" w:lineRule="auto"/>
      <w:ind w:left="409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12</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1CC8D">
    <w:pPr>
      <w:spacing w:line="176" w:lineRule="auto"/>
      <w:ind w:left="409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13</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5128E">
    <w:pPr>
      <w:spacing w:line="176" w:lineRule="auto"/>
      <w:ind w:left="4184"/>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E87E">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9357">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15</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CCC43">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AA9DB">
    <w:pPr>
      <w:pStyle w:val="2"/>
      <w:spacing w:line="184" w:lineRule="auto"/>
      <w:ind w:left="4365"/>
      <w:rPr>
        <w:sz w:val="18"/>
        <w:szCs w:val="18"/>
      </w:rPr>
    </w:pPr>
    <w:r>
      <w:rPr>
        <w:spacing w:val="-5"/>
        <w:sz w:val="18"/>
        <w:szCs w:val="18"/>
      </w:rPr>
      <w:t>17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6DD79">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0F37B">
    <w:pPr>
      <w:spacing w:line="172" w:lineRule="auto"/>
      <w:ind w:left="4415"/>
      <w:rPr>
        <w:rFonts w:ascii="Times New Roman" w:hAnsi="Times New Roman" w:eastAsia="Times New Roman" w:cs="Times New Roman"/>
        <w:sz w:val="13"/>
        <w:szCs w:val="13"/>
      </w:rPr>
    </w:pPr>
    <w:r>
      <w:rPr>
        <w:rFonts w:ascii="Times New Roman" w:hAnsi="Times New Roman" w:eastAsia="Times New Roman" w:cs="Times New Roman"/>
        <w:sz w:val="13"/>
        <w:szCs w:val="13"/>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B5A6A">
    <w:pPr>
      <w:spacing w:line="174" w:lineRule="auto"/>
      <w:ind w:left="4355"/>
      <w:rPr>
        <w:rFonts w:ascii="Times New Roman" w:hAnsi="Times New Roman" w:eastAsia="Times New Roman" w:cs="Times New Roman"/>
        <w:sz w:val="15"/>
        <w:szCs w:val="15"/>
      </w:rPr>
    </w:pPr>
    <w:r>
      <w:rPr>
        <w:rFonts w:ascii="Times New Roman" w:hAnsi="Times New Roman" w:eastAsia="Times New Roman" w:cs="Times New Roman"/>
        <w:spacing w:val="-5"/>
        <w:sz w:val="15"/>
        <w:szCs w:val="15"/>
      </w:rPr>
      <w:t>19</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2CB96">
    <w:pPr>
      <w:spacing w:line="177" w:lineRule="auto"/>
      <w:ind w:left="433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F9A0A">
    <w:pPr>
      <w:spacing w:line="177" w:lineRule="auto"/>
      <w:ind w:left="433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1F871">
    <w:pPr>
      <w:spacing w:line="177" w:lineRule="auto"/>
      <w:ind w:left="43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C4901">
    <w:pPr>
      <w:spacing w:line="177" w:lineRule="auto"/>
      <w:ind w:left="43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72EE0">
    <w:pPr>
      <w:spacing w:line="176" w:lineRule="auto"/>
      <w:ind w:left="43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F2F04">
    <w:pPr>
      <w:spacing w:line="177" w:lineRule="auto"/>
      <w:ind w:left="43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9EA12">
    <w:pPr>
      <w:spacing w:line="177" w:lineRule="auto"/>
      <w:ind w:left="433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9E60C">
    <w:pPr>
      <w:spacing w:line="177" w:lineRule="auto"/>
      <w:ind w:left="434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C6D47">
    <w:pPr>
      <w:spacing w:line="176" w:lineRule="auto"/>
      <w:ind w:left="43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219AF">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6A938">
    <w:pPr>
      <w:spacing w:line="176" w:lineRule="auto"/>
      <w:ind w:left="43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66F5A">
    <w:pPr>
      <w:spacing w:line="177" w:lineRule="auto"/>
      <w:ind w:left="434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51BC4">
    <w:pPr>
      <w:spacing w:line="176" w:lineRule="auto"/>
      <w:ind w:left="433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A92A0">
    <w:pPr>
      <w:spacing w:line="177" w:lineRule="auto"/>
      <w:ind w:left="44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B4E0F">
    <w:pPr>
      <w:spacing w:line="177" w:lineRule="auto"/>
      <w:ind w:left="44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EE90A">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34</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EED2D">
    <w:pPr>
      <w:spacing w:line="177" w:lineRule="auto"/>
      <w:ind w:left="44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160B8">
    <w:pPr>
      <w:spacing w:line="177" w:lineRule="auto"/>
      <w:ind w:left="44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03432">
    <w:pPr>
      <w:spacing w:line="177" w:lineRule="auto"/>
      <w:ind w:left="4434"/>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37</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ED3EE">
    <w:pPr>
      <w:spacing w:line="177" w:lineRule="auto"/>
      <w:ind w:left="44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8953F">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7B688">
    <w:pPr>
      <w:spacing w:line="177" w:lineRule="auto"/>
      <w:ind w:left="44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0CE33">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7534D">
    <w:pPr>
      <w:spacing w:line="176" w:lineRule="auto"/>
      <w:ind w:left="404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945D4">
    <w:pPr>
      <w:pStyle w:val="2"/>
      <w:spacing w:line="185" w:lineRule="auto"/>
      <w:ind w:left="4414"/>
      <w:rPr>
        <w:sz w:val="19"/>
        <w:szCs w:val="19"/>
      </w:rPr>
    </w:pPr>
    <w:r>
      <w:rPr>
        <w:spacing w:val="-1"/>
        <w:sz w:val="19"/>
        <w:szCs w:val="19"/>
      </w:rPr>
      <w:t>42</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00786">
    <w:pPr>
      <w:spacing w:line="177" w:lineRule="auto"/>
      <w:ind w:left="441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43</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1F4A8">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71E4A">
    <w:pPr>
      <w:spacing w:line="176" w:lineRule="auto"/>
      <w:ind w:left="441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3DF94">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D246C">
    <w:pPr>
      <w:pStyle w:val="2"/>
      <w:spacing w:line="184" w:lineRule="auto"/>
      <w:ind w:left="4414"/>
      <w:rPr>
        <w:sz w:val="19"/>
        <w:szCs w:val="19"/>
      </w:rPr>
    </w:pPr>
    <w:r>
      <w:rPr>
        <w:spacing w:val="-1"/>
        <w:sz w:val="19"/>
        <w:szCs w:val="19"/>
      </w:rPr>
      <w:t>47</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B959C">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06E8">
    <w:pPr>
      <w:pStyle w:val="2"/>
      <w:spacing w:line="182" w:lineRule="auto"/>
      <w:ind w:left="4385"/>
      <w:rPr>
        <w:sz w:val="15"/>
        <w:szCs w:val="15"/>
      </w:rPr>
    </w:pPr>
    <w:r>
      <w:rPr>
        <w:sz w:val="15"/>
        <w:szCs w:val="15"/>
      </w:rPr>
      <w:t>4</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354D1">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2201B">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2258C">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51</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878B">
    <w:pPr>
      <w:spacing w:line="177" w:lineRule="auto"/>
      <w:ind w:left="44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52</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4EF88">
    <w:pPr>
      <w:spacing w:line="177" w:lineRule="auto"/>
      <w:ind w:left="443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53</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F8472">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54</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8EFAC">
    <w:pPr>
      <w:spacing w:line="173" w:lineRule="auto"/>
      <w:ind w:left="4434"/>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55</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22CCE">
    <w:pPr>
      <w:spacing w:line="176" w:lineRule="auto"/>
      <w:ind w:left="440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56</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95D04">
    <w:pPr>
      <w:spacing w:line="174" w:lineRule="auto"/>
      <w:ind w:left="4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57</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84616">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51427">
    <w:pPr>
      <w:spacing w:line="171" w:lineRule="auto"/>
      <w:ind w:left="4385"/>
      <w:rPr>
        <w:rFonts w:ascii="Times New Roman" w:hAnsi="Times New Roman" w:eastAsia="Times New Roman" w:cs="Times New Roman"/>
        <w:sz w:val="15"/>
        <w:szCs w:val="15"/>
      </w:rPr>
    </w:pPr>
    <w:r>
      <w:rPr>
        <w:rFonts w:ascii="Times New Roman" w:hAnsi="Times New Roman" w:eastAsia="Times New Roman" w:cs="Times New Roman"/>
        <w:sz w:val="15"/>
        <w:szCs w:val="15"/>
      </w:rPr>
      <w:t>5</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E07C1">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59</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8E7CA">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60</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5C3D0">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61</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485C2">
    <w:pPr>
      <w:spacing w:line="176" w:lineRule="auto"/>
      <w:ind w:left="443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62</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4F434">
    <w:pPr>
      <w:spacing w:line="176" w:lineRule="auto"/>
      <w:ind w:left="443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63</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061C8">
    <w:pPr>
      <w:spacing w:line="174" w:lineRule="auto"/>
      <w:ind w:left="4424"/>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64</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5D0FB">
    <w:pPr>
      <w:spacing w:line="174" w:lineRule="auto"/>
      <w:ind w:left="4434"/>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65</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7EA51">
    <w:pPr>
      <w:spacing w:line="176" w:lineRule="auto"/>
      <w:ind w:left="444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66</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AE7C">
    <w:pPr>
      <w:spacing w:line="176" w:lineRule="auto"/>
      <w:ind w:left="443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67</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7AAD6">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99B8C">
    <w:pPr>
      <w:pStyle w:val="2"/>
      <w:spacing w:line="221" w:lineRule="exact"/>
      <w:ind w:left="4385"/>
      <w:rPr>
        <w:sz w:val="17"/>
        <w:szCs w:val="17"/>
      </w:rPr>
    </w:pPr>
    <w:r>
      <w:rPr>
        <w:position w:val="1"/>
        <w:sz w:val="17"/>
        <w:szCs w:val="17"/>
      </w:rPr>
      <w:t>6</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A80CF">
    <w:pPr>
      <w:spacing w:line="174" w:lineRule="auto"/>
      <w:ind w:left="4424"/>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69</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5E12C">
    <w:pPr>
      <w:spacing w:line="176" w:lineRule="auto"/>
      <w:ind w:left="444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029A2">
    <w:pPr>
      <w:spacing w:line="176" w:lineRule="auto"/>
      <w:ind w:left="442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71</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737D">
    <w:pPr>
      <w:spacing w:line="177" w:lineRule="auto"/>
      <w:ind w:left="443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72</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E40C">
    <w:pPr>
      <w:spacing w:line="177" w:lineRule="auto"/>
      <w:ind w:left="44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73</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6F55">
    <w:pPr>
      <w:spacing w:line="175" w:lineRule="auto"/>
      <w:ind w:left="4424"/>
      <w:rPr>
        <w:rFonts w:ascii="Times New Roman" w:hAnsi="Times New Roman" w:eastAsia="Times New Roman" w:cs="Times New Roman"/>
        <w:sz w:val="16"/>
        <w:szCs w:val="16"/>
      </w:rPr>
    </w:pPr>
    <w:r>
      <w:rPr>
        <w:rFonts w:ascii="Times New Roman" w:hAnsi="Times New Roman" w:eastAsia="Times New Roman" w:cs="Times New Roman"/>
        <w:spacing w:val="-2"/>
        <w:sz w:val="16"/>
        <w:szCs w:val="16"/>
      </w:rPr>
      <w:t>74</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034D0">
    <w:pPr>
      <w:spacing w:line="174" w:lineRule="auto"/>
      <w:ind w:left="43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75</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8F355">
    <w:pPr>
      <w:spacing w:line="175" w:lineRule="auto"/>
      <w:ind w:left="4384"/>
      <w:rPr>
        <w:rFonts w:ascii="Times New Roman" w:hAnsi="Times New Roman" w:eastAsia="Times New Roman" w:cs="Times New Roman"/>
        <w:sz w:val="16"/>
        <w:szCs w:val="16"/>
      </w:rPr>
    </w:pPr>
    <w:r>
      <w:rPr>
        <w:rFonts w:ascii="Times New Roman" w:hAnsi="Times New Roman" w:eastAsia="Times New Roman" w:cs="Times New Roman"/>
        <w:spacing w:val="-2"/>
        <w:sz w:val="16"/>
        <w:szCs w:val="16"/>
      </w:rPr>
      <w:t>76</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6C9A1">
    <w:pPr>
      <w:spacing w:line="174" w:lineRule="auto"/>
      <w:ind w:left="43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2F953">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3B8A4">
    <w:pPr>
      <w:spacing w:line="173" w:lineRule="auto"/>
      <w:ind w:left="438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20B7">
    <w:pPr>
      <w:spacing w:line="175" w:lineRule="auto"/>
      <w:ind w:left="4384"/>
      <w:rPr>
        <w:rFonts w:ascii="Times New Roman" w:hAnsi="Times New Roman" w:eastAsia="Times New Roman" w:cs="Times New Roman"/>
        <w:sz w:val="16"/>
        <w:szCs w:val="16"/>
      </w:rPr>
    </w:pPr>
    <w:r>
      <w:rPr>
        <w:rFonts w:ascii="Times New Roman" w:hAnsi="Times New Roman" w:eastAsia="Times New Roman" w:cs="Times New Roman"/>
        <w:spacing w:val="-2"/>
        <w:sz w:val="16"/>
        <w:szCs w:val="16"/>
      </w:rPr>
      <w:t>79</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E00ED">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80</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E5575">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81</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509FD">
    <w:pPr>
      <w:spacing w:line="176" w:lineRule="auto"/>
      <w:ind w:left="439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82</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CBAF8">
    <w:pPr>
      <w:spacing w:line="176" w:lineRule="auto"/>
      <w:ind w:left="439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83</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B84F3">
    <w:pPr>
      <w:spacing w:line="174" w:lineRule="auto"/>
      <w:ind w:left="4384"/>
      <w:rPr>
        <w:rFonts w:ascii="Times New Roman" w:hAnsi="Times New Roman" w:eastAsia="Times New Roman" w:cs="Times New Roman"/>
        <w:sz w:val="15"/>
        <w:szCs w:val="15"/>
      </w:rPr>
    </w:pPr>
    <w:r>
      <w:rPr>
        <w:rFonts w:ascii="Times New Roman" w:hAnsi="Times New Roman" w:eastAsia="Times New Roman" w:cs="Times New Roman"/>
        <w:spacing w:val="-3"/>
        <w:sz w:val="15"/>
        <w:szCs w:val="15"/>
      </w:rPr>
      <w:t>84</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1486A">
    <w:pPr>
      <w:spacing w:line="176" w:lineRule="auto"/>
      <w:ind w:left="442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85</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1FAE3">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86</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F8C30">
    <w:pPr>
      <w:spacing w:line="176" w:lineRule="auto"/>
      <w:ind w:left="442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87</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B5F34">
    <w:pPr>
      <w:spacing w:line="229" w:lineRule="auto"/>
      <w:ind w:left="4374"/>
      <w:rPr>
        <w:rFonts w:ascii="宋体" w:hAnsi="宋体" w:eastAsia="宋体" w:cs="宋体"/>
        <w:sz w:val="18"/>
        <w:szCs w:val="18"/>
      </w:rPr>
    </w:pPr>
    <w:r>
      <w:rPr>
        <w:rFonts w:ascii="宋体" w:hAnsi="宋体" w:eastAsia="宋体" w:cs="宋体"/>
        <w:spacing w:val="-2"/>
        <w:sz w:val="18"/>
        <w:szCs w:val="18"/>
      </w:rPr>
      <w:t>88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2C3BF">
    <w:pPr>
      <w:spacing w:line="176" w:lineRule="auto"/>
      <w:ind w:left="4385"/>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BA41E">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89</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F16A5">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90</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CE7BA">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91</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37309">
    <w:pPr>
      <w:spacing w:line="177" w:lineRule="auto"/>
      <w:ind w:left="437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92</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BB2B">
    <w:pPr>
      <w:spacing w:line="177" w:lineRule="auto"/>
      <w:ind w:left="43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93</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CD645">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94</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BC729">
    <w:pPr>
      <w:spacing w:line="229" w:lineRule="auto"/>
      <w:ind w:left="4394"/>
      <w:rPr>
        <w:rFonts w:ascii="宋体" w:hAnsi="宋体" w:eastAsia="宋体" w:cs="宋体"/>
        <w:sz w:val="18"/>
        <w:szCs w:val="18"/>
      </w:rPr>
    </w:pPr>
    <w:r>
      <w:rPr>
        <w:rFonts w:ascii="宋体" w:hAnsi="宋体" w:eastAsia="宋体" w:cs="宋体"/>
        <w:spacing w:val="-2"/>
        <w:sz w:val="18"/>
        <w:szCs w:val="18"/>
      </w:rPr>
      <w:t>95</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E08CE">
    <w:pPr>
      <w:spacing w:line="177" w:lineRule="auto"/>
      <w:ind w:left="44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96</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DBDA">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97</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30AC6">
    <w:pPr>
      <w:spacing w:line="176" w:lineRule="auto"/>
      <w:ind w:left="438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B581E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7" Type="http://schemas.openxmlformats.org/officeDocument/2006/relationships/fontTable" Target="fontTable.xml"/><Relationship Id="rId206" Type="http://schemas.openxmlformats.org/officeDocument/2006/relationships/customXml" Target="../customXml/item1.xml"/><Relationship Id="rId205" Type="http://schemas.openxmlformats.org/officeDocument/2006/relationships/image" Target="media/image53.jpeg"/><Relationship Id="rId204" Type="http://schemas.openxmlformats.org/officeDocument/2006/relationships/image" Target="media/image52.png"/><Relationship Id="rId203" Type="http://schemas.openxmlformats.org/officeDocument/2006/relationships/image" Target="media/image51.png"/><Relationship Id="rId202" Type="http://schemas.openxmlformats.org/officeDocument/2006/relationships/image" Target="media/image50.png"/><Relationship Id="rId201" Type="http://schemas.openxmlformats.org/officeDocument/2006/relationships/image" Target="media/image49.jpeg"/><Relationship Id="rId200" Type="http://schemas.openxmlformats.org/officeDocument/2006/relationships/image" Target="media/image48.png"/><Relationship Id="rId20" Type="http://schemas.openxmlformats.org/officeDocument/2006/relationships/footer" Target="footer16.xml"/><Relationship Id="rId2" Type="http://schemas.openxmlformats.org/officeDocument/2006/relationships/settings" Target="settings.xml"/><Relationship Id="rId199" Type="http://schemas.openxmlformats.org/officeDocument/2006/relationships/image" Target="media/image47.png"/><Relationship Id="rId198" Type="http://schemas.openxmlformats.org/officeDocument/2006/relationships/image" Target="media/image46.png"/><Relationship Id="rId197" Type="http://schemas.openxmlformats.org/officeDocument/2006/relationships/image" Target="media/image45.jpeg"/><Relationship Id="rId196" Type="http://schemas.openxmlformats.org/officeDocument/2006/relationships/image" Target="media/image44.jpeg"/><Relationship Id="rId195" Type="http://schemas.openxmlformats.org/officeDocument/2006/relationships/image" Target="media/image43.jpeg"/><Relationship Id="rId194" Type="http://schemas.openxmlformats.org/officeDocument/2006/relationships/image" Target="media/image42.jpeg"/><Relationship Id="rId193" Type="http://schemas.openxmlformats.org/officeDocument/2006/relationships/image" Target="media/image41.jpeg"/><Relationship Id="rId192" Type="http://schemas.openxmlformats.org/officeDocument/2006/relationships/image" Target="media/image40.jpeg"/><Relationship Id="rId191" Type="http://schemas.openxmlformats.org/officeDocument/2006/relationships/image" Target="media/image39.jpeg"/><Relationship Id="rId190" Type="http://schemas.openxmlformats.org/officeDocument/2006/relationships/image" Target="media/image38.png"/><Relationship Id="rId19" Type="http://schemas.openxmlformats.org/officeDocument/2006/relationships/footer" Target="footer15.xml"/><Relationship Id="rId189" Type="http://schemas.openxmlformats.org/officeDocument/2006/relationships/image" Target="media/image37.png"/><Relationship Id="rId188" Type="http://schemas.openxmlformats.org/officeDocument/2006/relationships/image" Target="media/image36.png"/><Relationship Id="rId187" Type="http://schemas.openxmlformats.org/officeDocument/2006/relationships/image" Target="media/image35.png"/><Relationship Id="rId186" Type="http://schemas.openxmlformats.org/officeDocument/2006/relationships/image" Target="media/image34.png"/><Relationship Id="rId185" Type="http://schemas.openxmlformats.org/officeDocument/2006/relationships/image" Target="media/image33.jpeg"/><Relationship Id="rId184" Type="http://schemas.openxmlformats.org/officeDocument/2006/relationships/image" Target="media/image32.png"/><Relationship Id="rId183" Type="http://schemas.openxmlformats.org/officeDocument/2006/relationships/image" Target="media/image31.png"/><Relationship Id="rId182" Type="http://schemas.openxmlformats.org/officeDocument/2006/relationships/image" Target="media/image30.png"/><Relationship Id="rId181" Type="http://schemas.openxmlformats.org/officeDocument/2006/relationships/image" Target="media/image29.png"/><Relationship Id="rId180" Type="http://schemas.openxmlformats.org/officeDocument/2006/relationships/image" Target="media/image28.png"/><Relationship Id="rId18" Type="http://schemas.openxmlformats.org/officeDocument/2006/relationships/footer" Target="footer14.xml"/><Relationship Id="rId179" Type="http://schemas.openxmlformats.org/officeDocument/2006/relationships/image" Target="media/image27.png"/><Relationship Id="rId178" Type="http://schemas.openxmlformats.org/officeDocument/2006/relationships/image" Target="media/image26.png"/><Relationship Id="rId177" Type="http://schemas.openxmlformats.org/officeDocument/2006/relationships/image" Target="media/image25.png"/><Relationship Id="rId176" Type="http://schemas.openxmlformats.org/officeDocument/2006/relationships/image" Target="media/image24.png"/><Relationship Id="rId175" Type="http://schemas.openxmlformats.org/officeDocument/2006/relationships/image" Target="media/image23.jpeg"/><Relationship Id="rId174" Type="http://schemas.openxmlformats.org/officeDocument/2006/relationships/image" Target="media/image22.png"/><Relationship Id="rId173" Type="http://schemas.openxmlformats.org/officeDocument/2006/relationships/image" Target="media/image21.png"/><Relationship Id="rId172" Type="http://schemas.openxmlformats.org/officeDocument/2006/relationships/image" Target="media/image20.png"/><Relationship Id="rId171" Type="http://schemas.openxmlformats.org/officeDocument/2006/relationships/image" Target="media/image19.png"/><Relationship Id="rId170" Type="http://schemas.openxmlformats.org/officeDocument/2006/relationships/image" Target="media/image18.png"/><Relationship Id="rId17" Type="http://schemas.openxmlformats.org/officeDocument/2006/relationships/footer" Target="footer13.xml"/><Relationship Id="rId169" Type="http://schemas.openxmlformats.org/officeDocument/2006/relationships/image" Target="media/image17.png"/><Relationship Id="rId168" Type="http://schemas.openxmlformats.org/officeDocument/2006/relationships/image" Target="media/image16.png"/><Relationship Id="rId167" Type="http://schemas.openxmlformats.org/officeDocument/2006/relationships/image" Target="media/image15.png"/><Relationship Id="rId166" Type="http://schemas.openxmlformats.org/officeDocument/2006/relationships/image" Target="media/image14.jpeg"/><Relationship Id="rId165" Type="http://schemas.openxmlformats.org/officeDocument/2006/relationships/image" Target="media/image13.png"/><Relationship Id="rId164" Type="http://schemas.openxmlformats.org/officeDocument/2006/relationships/image" Target="media/image12.png"/><Relationship Id="rId163" Type="http://schemas.openxmlformats.org/officeDocument/2006/relationships/image" Target="media/image11.jpeg"/><Relationship Id="rId162" Type="http://schemas.openxmlformats.org/officeDocument/2006/relationships/image" Target="media/image10.png"/><Relationship Id="rId161" Type="http://schemas.openxmlformats.org/officeDocument/2006/relationships/image" Target="media/image9.png"/><Relationship Id="rId160" Type="http://schemas.openxmlformats.org/officeDocument/2006/relationships/image" Target="media/image8.png"/><Relationship Id="rId16" Type="http://schemas.openxmlformats.org/officeDocument/2006/relationships/footer" Target="footer12.xml"/><Relationship Id="rId159" Type="http://schemas.openxmlformats.org/officeDocument/2006/relationships/image" Target="media/image7.png"/><Relationship Id="rId158" Type="http://schemas.openxmlformats.org/officeDocument/2006/relationships/image" Target="media/image6.png"/><Relationship Id="rId157" Type="http://schemas.openxmlformats.org/officeDocument/2006/relationships/image" Target="media/image5.png"/><Relationship Id="rId156" Type="http://schemas.openxmlformats.org/officeDocument/2006/relationships/image" Target="media/image4.png"/><Relationship Id="rId155" Type="http://schemas.openxmlformats.org/officeDocument/2006/relationships/image" Target="media/image3.png"/><Relationship Id="rId154" Type="http://schemas.openxmlformats.org/officeDocument/2006/relationships/image" Target="media/image2.jpeg"/><Relationship Id="rId153" Type="http://schemas.openxmlformats.org/officeDocument/2006/relationships/image" Target="media/image1.png"/><Relationship Id="rId152" Type="http://schemas.openxmlformats.org/officeDocument/2006/relationships/theme" Target="theme/theme1.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1.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0.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9.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textRotate="1"/>
    <customShpInfo spid="_x0000_s1030"/>
    <customShpInfo spid="_x0000_s1031"/>
    <customShpInfo spid="_x0000_s1029"/>
    <customShpInfo spid="_x0000_s1033"/>
    <customShpInfo spid="_x0000_s1034"/>
    <customShpInfo spid="_x0000_s1032"/>
    <customShpInfo spid="_x0000_s1036"/>
    <customShpInfo spid="_x0000_s1037"/>
    <customShpInfo spid="_x0000_s1035"/>
    <customShpInfo spid="_x0000_s1039"/>
    <customShpInfo spid="_x0000_s1040"/>
    <customShpInfo spid="_x0000_s1038"/>
    <customShpInfo spid="_x0000_s1042"/>
    <customShpInfo spid="_x0000_s1043"/>
    <customShpInfo spid="_x0000_s1041"/>
    <customShpInfo spid="_x0000_s1044"/>
    <customShpInfo spid="_x0000_s1045"/>
    <customShpInfo spid="_x0000_s1047"/>
    <customShpInfo spid="_x0000_s1048"/>
    <customShpInfo spid="_x0000_s1049"/>
    <customShpInfo spid="_x0000_s1046"/>
    <customShpInfo spid="_x0000_s1050"/>
    <customShpInfo spid="_x0000_s1051"/>
    <customShpInfo spid="_x0000_s1052"/>
    <customShpInfo spid="_x0000_s1054"/>
    <customShpInfo spid="_x0000_s1055"/>
    <customShpInfo spid="_x0000_s1056"/>
    <customShpInfo spid="_x0000_s1057"/>
    <customShpInfo spid="_x0000_s1058"/>
    <customShpInfo spid="_x0000_s1059"/>
    <customShpInfo spid="_x0000_s1060"/>
    <customShpInfo spid="_x0000_s1061"/>
    <customShpInfo spid="_x0000_s1053"/>
    <customShpInfo spid="_x0000_s1062"/>
    <customShpInfo spid="_x0000_s1063"/>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64"/>
    <customShpInfo spid="_x0000_s1074"/>
    <customShpInfo spid="_x0000_s1075"/>
    <customShpInfo spid="_x0000_s1077"/>
    <customShpInfo spid="_x0000_s1078"/>
    <customShpInfo spid="_x0000_s1076"/>
    <customShpInfo spid="_x0000_s107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156</Pages>
  <Words>3734</Words>
  <Characters>4266</Characters>
  <TotalTime>0</TotalTime>
  <ScaleCrop>false</ScaleCrop>
  <LinksUpToDate>false</LinksUpToDate>
  <CharactersWithSpaces>4507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2026-08-04T17:25:00Z</dcterms:created>
  <dc:creator>QJ</dc:creator>
  <cp:lastModifiedBy>郭丽娜</cp:lastModifiedBy>
  <dcterms:modified xsi:type="dcterms:W3CDTF">2026-08-04T09:26:44Z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2026-08-04T17:25:43Z</vt:filetime>
  </property>
  <property fmtid="{D5CDD505-2E9C-101B-9397-08002B2CF9AE}" pid="4" name="UsrData">
    <vt:lpwstr>6a71afebdb9e38001f549734wl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2052-12.1.0.28043</vt:lpwstr>
  </property>
  <property fmtid="{D5CDD505-2E9C-101B-9397-08002B2CF9AE}" pid="7" name="ICV">
    <vt:lpwstr>4B8BF78F53FD438598B6DD371B298C63_13</vt:lpwstr>
  </property>
</Properties>
</file>