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C5208">
      <w:pPr>
        <w:keepNext w:val="0"/>
        <w:keepLines w:val="0"/>
        <w:pageBreakBefore w:val="0"/>
        <w:widowControl w:val="0"/>
        <w:kinsoku/>
        <w:wordWrap w:val="0"/>
        <w:overflowPunct/>
        <w:topLinePunct w:val="0"/>
        <w:autoSpaceDE/>
        <w:autoSpaceDN/>
        <w:bidi w:val="0"/>
        <w:adjustRightInd/>
        <w:snapToGrid/>
        <w:spacing w:line="64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rPr>
        <w:t>曲靖市生态环境局关</w:t>
      </w:r>
      <w:r>
        <w:rPr>
          <w:rFonts w:hint="eastAsia" w:ascii="方正小标宋_GBK" w:hAnsi="仿宋" w:eastAsia="方正小标宋_GBK" w:cs="Times New Roman"/>
          <w:color w:val="auto"/>
          <w:sz w:val="44"/>
          <w:szCs w:val="44"/>
        </w:rPr>
        <w:t>于</w:t>
      </w:r>
      <w:r>
        <w:rPr>
          <w:rFonts w:hint="eastAsia" w:ascii="方正小标宋_GBK" w:hAnsi="仿宋" w:eastAsia="方正小标宋_GBK"/>
          <w:color w:val="auto"/>
          <w:sz w:val="44"/>
          <w:szCs w:val="44"/>
          <w:lang w:eastAsia="zh-CN"/>
        </w:rPr>
        <w:t>富源县智博经贸有限</w:t>
      </w:r>
    </w:p>
    <w:p w14:paraId="685149FC">
      <w:pPr>
        <w:keepNext w:val="0"/>
        <w:keepLines w:val="0"/>
        <w:pageBreakBefore w:val="0"/>
        <w:widowControl w:val="0"/>
        <w:kinsoku/>
        <w:wordWrap w:val="0"/>
        <w:overflowPunct/>
        <w:topLinePunct w:val="0"/>
        <w:autoSpaceDE/>
        <w:autoSpaceDN/>
        <w:bidi w:val="0"/>
        <w:adjustRightInd/>
        <w:snapToGrid/>
        <w:spacing w:line="64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lang w:eastAsia="zh-CN"/>
        </w:rPr>
        <w:t>公司建筑垃圾回收和散料利用项目</w:t>
      </w:r>
    </w:p>
    <w:p w14:paraId="3B46912C">
      <w:pPr>
        <w:keepNext w:val="0"/>
        <w:keepLines w:val="0"/>
        <w:pageBreakBefore w:val="0"/>
        <w:widowControl w:val="0"/>
        <w:kinsoku/>
        <w:wordWrap/>
        <w:overflowPunct/>
        <w:topLinePunct w:val="0"/>
        <w:autoSpaceDE/>
        <w:autoSpaceDN/>
        <w:bidi w:val="0"/>
        <w:adjustRightInd/>
        <w:snapToGrid/>
        <w:spacing w:line="640" w:lineRule="exact"/>
        <w:jc w:val="center"/>
        <w:textAlignment w:val="auto"/>
      </w:pPr>
      <w:r>
        <w:rPr>
          <w:rFonts w:hint="eastAsia" w:ascii="方正小标宋_GBK" w:hAnsi="仿宋" w:eastAsia="方正小标宋_GBK"/>
          <w:color w:val="auto"/>
          <w:sz w:val="44"/>
          <w:szCs w:val="44"/>
        </w:rPr>
        <w:t>环境影响报告表的批复</w:t>
      </w:r>
    </w:p>
    <w:p w14:paraId="1CC0BF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wordWrap/>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8-7号</w:t>
      </w:r>
    </w:p>
    <w:p w14:paraId="2F2DA61D">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eastAsia" w:ascii="Times New Roman" w:hAnsi="Times New Roman" w:eastAsia="方正仿宋_GBK" w:cs="Times New Roman"/>
          <w:color w:val="auto"/>
          <w:lang w:val="en-US" w:eastAsia="zh-CN"/>
        </w:rPr>
      </w:pPr>
    </w:p>
    <w:p w14:paraId="6CDE3126">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color w:val="auto"/>
          <w:kern w:val="21"/>
          <w:sz w:val="32"/>
          <w:lang w:val="en-US" w:eastAsia="zh-CN"/>
        </w:rPr>
      </w:pPr>
      <w:r>
        <w:rPr>
          <w:rFonts w:hint="eastAsia" w:cs="Times New Roman"/>
          <w:color w:val="auto"/>
          <w:kern w:val="21"/>
          <w:sz w:val="32"/>
          <w:lang w:val="en-US" w:eastAsia="zh-CN"/>
        </w:rPr>
        <w:t>富源县智博经贸有限公司</w:t>
      </w:r>
      <w:r>
        <w:rPr>
          <w:rFonts w:hint="default" w:ascii="Times New Roman" w:hAnsi="Times New Roman" w:eastAsia="方正仿宋_GBK" w:cs="Times New Roman"/>
          <w:color w:val="auto"/>
          <w:kern w:val="21"/>
          <w:sz w:val="32"/>
          <w:lang w:val="en-US" w:eastAsia="zh-CN"/>
        </w:rPr>
        <w:t>：</w:t>
      </w:r>
    </w:p>
    <w:p w14:paraId="3892C19A">
      <w:pPr>
        <w:keepNext w:val="0"/>
        <w:keepLines w:val="0"/>
        <w:pageBreakBefore w:val="0"/>
        <w:widowControl w:val="0"/>
        <w:suppressLineNumbers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eastAsia" w:cs="Times New Roman"/>
          <w:color w:val="auto"/>
          <w:sz w:val="32"/>
          <w:lang w:val="en-US" w:eastAsia="zh-CN"/>
        </w:rPr>
        <w:t>富源县智博经贸有限公司建筑垃圾回收和散料利用项目环境影响报告表（报批稿）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74E262F0">
      <w:pPr>
        <w:keepNext w:val="0"/>
        <w:keepLines w:val="0"/>
        <w:pageBreakBefore w:val="0"/>
        <w:widowControl w:val="0"/>
        <w:suppressLineNumbers w:val="0"/>
        <w:kinsoku/>
        <w:wordWrap/>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w:t>
      </w:r>
      <w:r>
        <w:rPr>
          <w:rFonts w:hint="eastAsia" w:cs="Times New Roman"/>
          <w:color w:val="auto"/>
          <w:kern w:val="21"/>
          <w:sz w:val="32"/>
          <w:lang w:val="en-US" w:eastAsia="zh-CN"/>
        </w:rPr>
        <w:t>该项目位于富源县胜境街道海田社区小村组小长坡，地理坐标：东经104度12分55.637秒，北纬25度42分47.409秒。建设内容及规模为：项目占地面积约19027m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，建设一座600万吨弃土消纳场、建筑垃圾回收利用生产线、一条800t/h水稳料生产线、一条240m</w:t>
      </w:r>
      <w:r>
        <w:rPr>
          <w:rFonts w:hint="eastAsia" w:cs="Times New Roman"/>
          <w:color w:val="auto"/>
          <w:kern w:val="21"/>
          <w:sz w:val="32"/>
          <w:vertAlign w:val="superscript"/>
          <w:lang w:val="en-US" w:eastAsia="zh-CN"/>
        </w:rPr>
        <w:t>3</w:t>
      </w:r>
      <w:r>
        <w:rPr>
          <w:rFonts w:hint="eastAsia" w:cs="Times New Roman"/>
          <w:color w:val="auto"/>
          <w:kern w:val="21"/>
          <w:sz w:val="32"/>
          <w:lang w:val="en-US" w:eastAsia="zh-CN"/>
        </w:rPr>
        <w:t>/h商品混凝土生产线、一条水泥制品生产线及相关配套设施，建成后年生产商品混凝土20万m</w:t>
      </w:r>
      <w:r>
        <w:rPr>
          <w:rFonts w:hint="eastAsia" w:cs="Times New Roman"/>
          <w:color w:val="auto"/>
          <w:kern w:val="21"/>
          <w:sz w:val="32"/>
          <w:vertAlign w:val="superscript"/>
          <w:lang w:val="en-US" w:eastAsia="zh-CN"/>
        </w:rPr>
        <w:t>3</w:t>
      </w:r>
      <w:r>
        <w:rPr>
          <w:rFonts w:hint="eastAsia" w:cs="Times New Roman"/>
          <w:color w:val="auto"/>
          <w:kern w:val="21"/>
          <w:sz w:val="32"/>
          <w:lang w:val="en-US" w:eastAsia="zh-CN"/>
        </w:rPr>
        <w:t>、水稳混合料30万吨、水泥制品（免烧砖约826.96万块，轨枕约20万根）。建筑垃圾进入项目需符合入场要求，禁止其他工业固废或生活垃圾进入项目弃土场。项目总投资4000万元，其中环保投资143.61万元。</w:t>
      </w:r>
    </w:p>
    <w:p w14:paraId="17A2301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eastAsia"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eastAsia"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eastAsia"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eastAsia" w:cs="Times New Roman"/>
          <w:color w:val="auto"/>
          <w:kern w:val="21"/>
          <w:sz w:val="32"/>
          <w:szCs w:val="32"/>
          <w:lang w:eastAsia="zh-CN"/>
        </w:rPr>
        <w:t>。</w:t>
      </w:r>
    </w:p>
    <w:p w14:paraId="109B5CE6">
      <w:pPr>
        <w:keepNext w:val="0"/>
        <w:keepLines w:val="0"/>
        <w:pageBreakBefore w:val="0"/>
        <w:widowControl w:val="0"/>
        <w:suppressLineNumbers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（一）加强施工期环境管理。</w:t>
      </w:r>
      <w:r>
        <w:rPr>
          <w:rFonts w:hint="default" w:ascii="Times New Roman" w:hAnsi="Times New Roman" w:eastAsia="方正仿宋_GBK" w:cs="Times New Roman"/>
          <w:color w:val="auto"/>
          <w:kern w:val="21"/>
          <w:sz w:val="32"/>
          <w:lang w:val="en-US" w:eastAsia="zh-CN"/>
        </w:rPr>
        <w:t>采用洒水抑尘、物料遮盖、施工场地四周设置围挡、车辆密闭运输、运输车辆冲洗后出场、路面硬化等防尘措施，减少扬尘对周围环境的污染。施工前优先建设厂界截排水沟，阻止厂界外雨水进入施工场地；施工场地优先建设170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的初期雨水收集池，初期雨水经收集沉淀后回用于洒水降尘不外排；施工期优先建设100m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三级沉淀池，施工废水、施工人员洗手废水经收集处理后回用厂区洒水降尘，不外排。加强施工管理、规范操作、合理安排施工时间，确保施工场界噪声排放达到《建筑施工噪声排放标准》（GB12523-2025）。建筑垃圾由建设单位统一收集后，可回收利用部分回收利用或外售，不可回收利用部分及时按照当地政府部门要求处置；土石方集中堆放全部回填，不产生永久弃方；生活垃圾经垃圾收集桶收集后定期清运至集中收集点，由环卫部门统一清运处置。</w:t>
      </w:r>
    </w:p>
    <w:p w14:paraId="32333A9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（二）严格落实水环境保护措施。</w:t>
      </w:r>
      <w:r>
        <w:rPr>
          <w:rFonts w:hint="default" w:ascii="Times New Roman" w:hAnsi="Times New Roman" w:eastAsia="方正仿宋_GBK" w:cs="Times New Roman"/>
          <w:color w:val="auto"/>
          <w:kern w:val="21"/>
          <w:sz w:val="32"/>
          <w:lang w:val="en-US" w:eastAsia="zh-CN"/>
        </w:rPr>
        <w:t>实行雨污分流排水体制，弃土场周围设置截排水沟，</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建筑垃圾的回收加工再利用</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厂区北侧设置截水沟，阻止项目区外雨水进入项目区内；设置容积为170m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的初期雨水收集池，配套设置雨水收集沟、弃流装置及雨水排放口，初期雨水收集沉淀处理后回用于项目生产，后期洁净雨水通过雨水排放口外排。</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弃土场</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设置不小于453m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的淋溶水收集池，淋溶水经截水沟收集进入淋溶水收集池处理后回用于填土区洒水降尘，不外排。设置100m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三级沉淀池，搅拌机、车辆清洗废水、实验室废水、地坪冲洗废水经三级沉淀池收集处理，满足《混凝土用水标准》（JGJ63-2006）表3.1.1要求后，抽至生产线回用。设置1座处理能力为1m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/d的一体化生活污水处理设施，生活污水经5m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化粪池预处理后进入一体化处理设施处理达到《污水综合排放标准》（GB8978-1996）限值要求，不外排，回用于道路清扫时水质应同时满足《城市污水再生利用城市杂用水水质》（GB/T18920-2020）限值要求。厂区出入口设置车辆冲洗装置，配套建设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的清水池向车辆冲洗装置供水，车辆清洗废水经三级沉淀池收集沉淀后回用于项目生产，不外排。</w:t>
      </w:r>
    </w:p>
    <w:p w14:paraId="66859A0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eastAsia="方正仿宋_GBK" w:cs="Times New Roman"/>
          <w:color w:val="auto"/>
          <w:kern w:val="21"/>
          <w:sz w:val="32"/>
          <w:lang w:val="en-US" w:eastAsia="zh-CN"/>
        </w:rPr>
        <w:t>（三）</w:t>
      </w:r>
      <w:r>
        <w:rPr>
          <w:rFonts w:hint="eastAsia" w:ascii="Times New Roman" w:hAnsi="Times New Roman" w:eastAsia="方正仿宋_GBK" w:cs="Times New Roman"/>
          <w:color w:val="auto"/>
          <w:kern w:val="21"/>
          <w:sz w:val="32"/>
          <w:lang w:val="en-US" w:eastAsia="zh-CN"/>
        </w:rPr>
        <w:t>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危废暂存间、外加剂储罐区为重点防渗区，防渗要求参照《危险废物贮存污染控制标准》（GB18597-2023）执行；初期雨水收集池、三级沉淀池、化粪池、一体化污水处理设施区域、淋溶水收集池、一般固废暂存间为一般防渗区，防渗层按等效黏土防渗层厚度不小于1.5m，渗透系数不大于1×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cm/s，或参考《生活垃圾填埋场污染控制标准》（GB16889-2024）要求进行防渗；其他区域为简单防渗区，进行一般地面硬化防渗。</w:t>
      </w:r>
    </w:p>
    <w:p w14:paraId="5A744F35">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eastAsia="方正仿宋_GBK" w:cs="Times New Roman"/>
          <w:color w:val="auto"/>
          <w:kern w:val="21"/>
          <w:sz w:val="32"/>
          <w:szCs w:val="32"/>
          <w:highlight w:val="none"/>
          <w:lang w:val="en-US" w:eastAsia="zh-CN"/>
        </w:rPr>
      </w:pP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lang w:val="en-US" w:eastAsia="zh-CN"/>
        </w:rPr>
        <w:t>四</w:t>
      </w: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rPr>
        <w:t>落实大气污染防治措施。</w:t>
      </w:r>
      <w:r>
        <w:rPr>
          <w:rFonts w:hint="eastAsia" w:eastAsia="方正仿宋_GBK" w:cs="Times New Roman"/>
          <w:color w:val="auto"/>
          <w:kern w:val="21"/>
          <w:sz w:val="32"/>
          <w:szCs w:val="32"/>
          <w:highlight w:val="none"/>
          <w:lang w:val="en-US" w:eastAsia="zh-CN"/>
        </w:rPr>
        <w:t>1.建筑垃圾回收利用生产线废气：原料棚设置封闭式钢架棚结构，物料铺盖编织网，大棚内设置喷头喷雾降尘；破碎机、筛分机设置在封闭厂房内，破碎机与筛分机接口密闭，破碎机、筛分机进出料口设置洒水喷雾装置，破碎机进料口、筛分机出料口上方设置集气罩，粉尘经集气罩收集进入布袋除尘器处理后经15m高排气筒（DA001）达标排放。2.混凝土生产线和水稳料生产线废气：原料棚设置封闭式钢架棚结构，封闭大棚仅留出入口，原料大棚内设置喷头喷雾降尘；皮带输送机设置封闭输送廊道，计量、卸投料过程均为封闭式作业；粉尘进入物料筒仓仓顶自带脉冲除尘器处理后经18m高筒仓的仓顶呼吸孔（DA002~DA005）排放；商品混凝土和水稳料搅拌机设置在密闭主机楼内（钢结构），搅拌机下料口及搅拌机处设置脉冲布袋除尘器，收集的粉尘进入搅拌机搅拌，未收集的在封闭层内无组织沉降和排放。3.水泥制品生产线废气：原料大棚内设置喷头喷雾降尘，粉尘进入物料筒仓自带仓顶脉冲除尘器处理后通过18m高筒仓的仓顶呼吸孔（DA006）排放；搅拌机设置在封闭厂房内，采取湿式搅拌（边加水边搅拌）。4.弃土场粉尘：安排专人利用雾炮机定期对消纳场进行洒水抑尘；弃土场四周设置围挡。项目所有原料运输车辆密闭运输（车辆顶部遮盖篷布），厂内运输道路路面硬化，出入口处设置车辆冲洗平台。通过以上措施，确保建筑垃圾回收利用生产线破碎、筛分颗粒物有组织排放浓度满足《大气污染物综合排放标准》（GB16297-1996）排放标准；筒仓粉尘满足《水泥工业大气污染物排放标准》（GB4915-2013）排放标准；厂界无组织粉尘排放满足《水泥工业大气污染物排放标准》（GB4915-2013）表3无组织颗粒物浓度限值。</w:t>
      </w:r>
    </w:p>
    <w:p w14:paraId="62430612">
      <w:pPr>
        <w:keepNext w:val="0"/>
        <w:keepLines w:val="0"/>
        <w:pageBreakBefore w:val="0"/>
        <w:widowControl w:val="0"/>
        <w:kinsoku/>
        <w:wordWrap/>
        <w:overflowPunct/>
        <w:topLinePunct w:val="0"/>
        <w:autoSpaceDE/>
        <w:autoSpaceDN/>
        <w:bidi w:val="0"/>
        <w:adjustRightInd/>
        <w:snapToGrid/>
        <w:spacing w:line="240" w:lineRule="auto"/>
        <w:ind w:firstLine="412" w:firstLineChars="200"/>
        <w:jc w:val="both"/>
        <w:textAlignment w:val="auto"/>
        <w:rPr>
          <w:rFonts w:hint="default" w:ascii="Times New Roman" w:hAnsi="Times New Roman" w:eastAsia="方正仿宋_GBK" w:cs="Times New Roman"/>
          <w:color w:val="auto"/>
          <w:kern w:val="21"/>
          <w:sz w:val="32"/>
        </w:rPr>
      </w:pPr>
      <w:r>
        <w:t>（五）落实固体废物的贮存、处理和处置措施。项目产生的废布袋由相关单位回收综合利用；布袋除尘灰收集后作为生产原料回用；水泥制品生产线产生的废砖坯、废轨枕收集后返回破碎、筛分工序处理后，作为原料使用；实验室检验的不合格实验样块统一收集后回用于项目生产；建筑垃圾中分选出的渣土，回填于项目弃土场；三级沉淀池沉渣清掏后返回破碎、筛分工序，作为原料使用；初期雨水收集池污泥清掏后回用于项目生产；淋溶水收集池污泥清掏后堆填于项目弃土场；化粪池污泥委托周边村民清掏用作农肥；设置生活垃圾桶，生活垃圾经收集后送至当地环卫部门指定地点处置。设置50m2的一般固废暂存间，建筑垃圾中分选出的废金属、废塑料、废玻璃、废织物、废木材暂存于一般固废暂存间，委托相关单位回收利用，收集、暂存及转运过程中的管理应严格按照《一般工业固体废物贮存和填埋污染控制标准》（GB18599-2020）规定执行。规范设置10m2的危废暂存间，设置标识标牌，废机油经专用容器收集后暂存至危废暂存间，优先回用于机械设备润滑，剩余部分委托有资质单位清运处置，收集、暂存及转运过程中的管理应严格按照《危险废物贮存污染控制标准》（GB18597-2023）和《危险废物转移管理办法》（</w:t>
      </w:r>
      <w:r>
        <w:rPr>
          <w:rFonts w:hint="eastAsia"/>
        </w:rPr>
        <w:t>生态环境部公安部交通运输部令第23号</w:t>
      </w:r>
      <w:bookmarkStart w:id="0" w:name="_GoBack"/>
      <w:bookmarkEnd w:id="0"/>
      <w:r>
        <w:t>）等规定执行，并做好台账记录。</w:t>
      </w:r>
    </w:p>
    <w:p w14:paraId="27DA9F3F">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szCs w:val="24"/>
          <w:lang w:val="en-US" w:eastAsia="zh-CN" w:bidi="ar-SA"/>
        </w:rPr>
        <w:t>（六）落实噪声污染防治</w:t>
      </w:r>
      <w:r>
        <w:rPr>
          <w:rFonts w:hint="eastAsia" w:ascii="Times New Roman" w:hAnsi="Times New Roman" w:eastAsia="方正仿宋_GBK" w:cs="Times New Roman"/>
          <w:color w:val="auto"/>
          <w:kern w:val="21"/>
          <w:sz w:val="32"/>
          <w:lang w:val="en-US" w:eastAsia="zh-CN"/>
        </w:rPr>
        <w:t>措施。产噪设备设置在封闭厂房内（厂房为钢结构）；选用低噪声设备，合理布置产噪设备，噪声设备设置在厂区北部，与厂界保持一定距离；靠近南、北侧声环境保护目标厂界处，设置隔声屏障（长约80m，高不低于2.5m）。通过以上措施，确保厂界东、南、北侧噪声达到《工业企业厂界环境噪声排放标准》（GB12348-2008）2类标准，厂界西侧噪声达到《工业企业厂界环境噪声排放标准》（GB12348-2008）4类标准；确保项目所在东、南、北区域声环境质量达到《声环境质量标准》（GB3096-2008）中2类标准要求，紧邻公路的区域达到《声环境质量标准》（GB3096-2008）中4a类标准要求。</w:t>
      </w:r>
    </w:p>
    <w:p w14:paraId="763FC080">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rPr>
        <w:t>（</w:t>
      </w:r>
      <w:r>
        <w:rPr>
          <w:rFonts w:hint="eastAsia" w:ascii="Times New Roman" w:hAnsi="Times New Roman" w:eastAsia="方正仿宋_GBK" w:cs="Times New Roman"/>
          <w:color w:val="auto"/>
          <w:kern w:val="21"/>
          <w:sz w:val="32"/>
          <w:szCs w:val="32"/>
          <w:lang w:val="en-US" w:eastAsia="zh-CN"/>
        </w:rPr>
        <w:t>七</w:t>
      </w:r>
      <w:r>
        <w:rPr>
          <w:rFonts w:hint="eastAsia" w:ascii="Times New Roman" w:hAnsi="Times New Roman" w:eastAsia="方正仿宋_GBK" w:cs="Times New Roman"/>
          <w:color w:val="auto"/>
          <w:kern w:val="21"/>
          <w:sz w:val="32"/>
          <w:szCs w:val="32"/>
        </w:rPr>
        <w:t>）加强应急处置。</w:t>
      </w:r>
      <w:r>
        <w:rPr>
          <w:rFonts w:hint="default" w:ascii="Times New Roman" w:hAnsi="Times New Roman" w:eastAsia="方正仿宋_GBK" w:cs="Times New Roman"/>
          <w:color w:val="auto"/>
          <w:kern w:val="21"/>
          <w:sz w:val="32"/>
          <w:szCs w:val="32"/>
        </w:rPr>
        <w:t>制定和完善环境风险及突发环境事件应急预案，并报市生态环境局富源分局备案。按照</w:t>
      </w:r>
      <w:r>
        <w:rPr>
          <w:rFonts w:hint="eastAsia"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预防为主</w:t>
      </w:r>
      <w:r>
        <w:rPr>
          <w:rFonts w:hint="eastAsia"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的原则，做好日常环境管理工作，认真落实环境风险事故防范措施及应急措施。</w:t>
      </w:r>
    </w:p>
    <w:p w14:paraId="3BC76D3E">
      <w:pPr>
        <w:keepNext w:val="0"/>
        <w:keepLines w:val="0"/>
        <w:pageBreakBefore w:val="0"/>
        <w:widowControl w:val="0"/>
        <w:kinsoku/>
        <w:wordWrap/>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三</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keepNext w:val="0"/>
        <w:keepLines w:val="0"/>
        <w:pageBreakBefore w:val="0"/>
        <w:widowControl w:val="0"/>
        <w:kinsoku/>
        <w:wordWrap/>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r>
        <w:rPr>
          <w:rFonts w:hint="default" w:ascii="Times New Roman" w:hAnsi="Times New Roman" w:eastAsia="方正仿宋_GBK" w:cs="Times New Roman"/>
          <w:color w:val="000000"/>
          <w:kern w:val="2"/>
          <w:sz w:val="32"/>
          <w:szCs w:val="32"/>
          <w:lang w:val="en-US" w:eastAsia="zh-CN" w:bidi="ar"/>
        </w:rPr>
        <w:t>，并按《排污许可管理条例》《排污许可管理办法》要求，在项目建成投产前办理排污许可相关手续</w:t>
      </w:r>
      <w:r>
        <w:rPr>
          <w:rFonts w:hint="default" w:ascii="Times New Roman" w:hAnsi="Times New Roman" w:eastAsia="方正仿宋_GBK" w:cs="Times New Roman"/>
          <w:color w:val="auto"/>
          <w:kern w:val="21"/>
          <w:sz w:val="32"/>
          <w:szCs w:val="32"/>
        </w:rPr>
        <w:t>。</w:t>
      </w:r>
    </w:p>
    <w:p w14:paraId="6CBCA45A">
      <w:pPr>
        <w:keepNext w:val="0"/>
        <w:keepLines w:val="0"/>
        <w:pageBreakBefore w:val="0"/>
        <w:widowControl w:val="0"/>
        <w:kinsoku/>
        <w:wordWrap/>
        <w:overflowPunct/>
        <w:topLinePunct w:val="0"/>
        <w:autoSpaceDE/>
        <w:autoSpaceDN/>
        <w:bidi w:val="0"/>
        <w:adjustRightInd/>
        <w:snapToGrid/>
        <w:spacing w:line="240" w:lineRule="auto"/>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eastAsia" w:eastAsia="方正仿宋_GBK" w:cs="Times New Roman"/>
          <w:color w:val="auto"/>
          <w:kern w:val="21"/>
          <w:sz w:val="32"/>
          <w:szCs w:val="32"/>
          <w:lang w:val="en-US" w:eastAsia="zh-CN"/>
        </w:rPr>
        <w:t>我</w:t>
      </w:r>
      <w:r>
        <w:rPr>
          <w:rFonts w:hint="default" w:ascii="Times New Roman" w:hAnsi="Times New Roman" w:eastAsia="方正仿宋_GBK" w:cs="Times New Roman"/>
          <w:color w:val="auto"/>
          <w:kern w:val="21"/>
          <w:sz w:val="32"/>
          <w:szCs w:val="32"/>
          <w:lang w:val="en-US" w:eastAsia="zh-CN"/>
        </w:rPr>
        <w:t>局</w:t>
      </w:r>
      <w:r>
        <w:rPr>
          <w:rFonts w:hint="default" w:ascii="Times New Roman" w:hAnsi="Times New Roman" w:eastAsia="方正仿宋_GBK" w:cs="Times New Roman"/>
          <w:color w:val="auto"/>
          <w:kern w:val="21"/>
          <w:sz w:val="32"/>
          <w:szCs w:val="32"/>
        </w:rPr>
        <w:t>重新审核。</w:t>
      </w:r>
    </w:p>
    <w:p w14:paraId="133FD252">
      <w:pPr>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eastAsia" w:eastAsia="仿宋" w:cs="Times New Roman"/>
          <w:kern w:val="21"/>
          <w:sz w:val="32"/>
          <w:szCs w:val="32"/>
          <w:lang w:eastAsia="zh-CN"/>
        </w:rPr>
        <w:t>六</w:t>
      </w:r>
      <w:r>
        <w:rPr>
          <w:rFonts w:hint="default" w:ascii="Times New Roman" w:hAnsi="Times New Roman" w:eastAsia="仿宋"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分局负责该项目的环境执法监察和监督管理，请市生态环境保护综合行政执法支队加强监督检查。</w:t>
      </w:r>
    </w:p>
    <w:p w14:paraId="10DED572">
      <w:pPr>
        <w:keepNext w:val="0"/>
        <w:keepLines w:val="0"/>
        <w:pageBreakBefore w:val="0"/>
        <w:widowControl w:val="0"/>
        <w:kinsoku/>
        <w:wordWrap/>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01EE2256">
      <w:pPr>
        <w:keepNext w:val="0"/>
        <w:keepLines w:val="0"/>
        <w:pageBreakBefore w:val="0"/>
        <w:widowControl w:val="0"/>
        <w:kinsoku/>
        <w:wordWrap/>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3F3C09C1">
      <w:pPr>
        <w:keepNext w:val="0"/>
        <w:keepLines w:val="0"/>
        <w:pageBreakBefore w:val="0"/>
        <w:widowControl w:val="0"/>
        <w:kinsoku/>
        <w:wordWrap/>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曲靖市生态环境局</w:t>
      </w:r>
    </w:p>
    <w:p w14:paraId="76B15C9D">
      <w:pPr>
        <w:keepNext w:val="0"/>
        <w:keepLines w:val="0"/>
        <w:pageBreakBefore w:val="0"/>
        <w:widowControl w:val="0"/>
        <w:kinsoku/>
        <w:wordWrap/>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202</w:t>
      </w:r>
      <w:r>
        <w:rPr>
          <w:rFonts w:hint="eastAsia"/>
          <w:kern w:val="21"/>
          <w:sz w:val="32"/>
          <w:lang w:val="en-US" w:eastAsia="zh-CN"/>
        </w:rPr>
        <w:t>6</w:t>
      </w:r>
      <w:r>
        <w:rPr>
          <w:rFonts w:hint="default"/>
          <w:kern w:val="21"/>
          <w:sz w:val="32"/>
        </w:rPr>
        <w:t>年</w:t>
      </w:r>
      <w:r>
        <w:rPr>
          <w:rFonts w:hint="eastAsia"/>
          <w:kern w:val="21"/>
          <w:sz w:val="32"/>
          <w:lang w:val="en-US" w:eastAsia="zh-CN"/>
        </w:rPr>
        <w:t>6</w:t>
      </w:r>
      <w:r>
        <w:rPr>
          <w:rFonts w:hint="default"/>
          <w:kern w:val="21"/>
          <w:sz w:val="32"/>
        </w:rPr>
        <w:t>月</w:t>
      </w:r>
      <w:r>
        <w:rPr>
          <w:rFonts w:hint="eastAsia"/>
          <w:kern w:val="21"/>
          <w:sz w:val="32"/>
          <w:lang w:val="en-US" w:eastAsia="zh-CN"/>
        </w:rPr>
        <w:t>4</w:t>
      </w:r>
      <w:r>
        <w:rPr>
          <w:rFonts w:hint="default"/>
          <w:kern w:val="21"/>
          <w:sz w:val="32"/>
        </w:rPr>
        <w:t>日</w:t>
      </w:r>
    </w:p>
    <w:p w14:paraId="5A4A7A5C">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default"/>
          <w:lang w:eastAsia="zh-CN"/>
        </w:rPr>
      </w:pPr>
      <w:r>
        <w:rPr>
          <w:rFonts w:hint="default" w:ascii="Times New Roman" w:hAnsi="Times New Roman" w:eastAsia="方正仿宋_GBK" w:cs="Times New Roman"/>
          <w:color w:val="auto"/>
          <w:kern w:val="21"/>
          <w:sz w:val="32"/>
          <w:szCs w:val="32"/>
          <w:lang w:eastAsia="zh-CN"/>
        </w:rPr>
        <w:t>（此件公开发布）</w:t>
      </w:r>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E50C8"/>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86DAE"/>
    <w:rsid w:val="7C6022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3536</Words>
  <Characters>3843</Characters>
  <TotalTime>0</TotalTime>
  <ScaleCrop>false</ScaleCrop>
  <LinksUpToDate>false</LinksUpToDate>
  <CharactersWithSpaces>3843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2026-08-04T06:44:33Z</dcterms:created>
  <dc:creator>QJ</dc:creator>
  <cp:lastModifiedBy>郭丽娜</cp:lastModifiedBy>
  <dcterms:modified xsi:type="dcterms:W3CDTF">2026-08-04T06:45:07Z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eyJoZGlkIjoiYTA0OTFiNTllN2E3YTc2MDc5ZTIwYTg0ZjFlZjFlMWQiLCJ1c2VySWQiOiIzNzMyMDUyODEifQ==</vt:lpwstr>
  </property>
  <property fmtid="{D5CDD505-2E9C-101B-9397-08002B2CF9AE}" pid="3" name="KSOProductBuildVer">
    <vt:lpwstr>2052-12.1.0.28043</vt:lpwstr>
  </property>
  <property fmtid="{D5CDD505-2E9C-101B-9397-08002B2CF9AE}" pid="4" name="ICV">
    <vt:lpwstr>37164106620D4BB9AD46EB2E9B204440_13</vt:lpwstr>
  </property>
</Properties>
</file>