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2E6E6376">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left"/>
              <w:rPr>
                <w:rFonts w:ascii="宋体"/>
                <w:kern w:val="0"/>
                <w:sz w:val="24"/>
                <w:szCs w:val="24"/>
              </w:rPr>
            </w:pPr>
            <w:bookmarkStart w:id="4" w:name="_GoBack"/>
            <w:bookmarkEnd w:id="4"/>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center"/>
              <w:rPr>
                <w:rFonts w:hint="eastAsia" w:ascii="Times New Roman" w:hAnsi="Times New Roman"/>
                <w:sz w:val="24"/>
                <w:szCs w:val="24"/>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年产3万吨高精铝合金精深加工一体化项目</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left"/>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center"/>
              <w:rPr>
                <w:rFonts w:hint="eastAsia" w:ascii="Times New Roman" w:hAnsi="Times New Roman"/>
                <w:sz w:val="24"/>
                <w:szCs w:val="24"/>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曲靖市高新技术产业开发区白水片区</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left"/>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FAC3FEA">
            <w:pPr>
              <w:widowControl/>
              <w:spacing w:line="280" w:lineRule="exact"/>
              <w:jc w:val="center"/>
              <w:rPr>
                <w:rFonts w:hint="eastAsia" w:ascii="Times New Roman" w:hAnsi="Times New Roman"/>
                <w:sz w:val="24"/>
                <w:szCs w:val="24"/>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云南瑞业新型建材有限公司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ascii="宋体" w:hAnsi="宋体" w:eastAsia="宋体" w:cs="华文仿宋"/>
                <w:kern w:val="0"/>
                <w:sz w:val="24"/>
                <w:szCs w:val="24"/>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环境影响报告书</w:t>
            </w:r>
            <w:r>
              <w:rPr>
                <w:rFonts w:hint="eastAsia" w:ascii="宋体" w:hAnsi="宋体"/>
                <w:kern w:val="0"/>
                <w:sz w:val="24"/>
                <w:szCs w:val="24"/>
              </w:rPr>
              <w:t xml:space="preserve"> </w:t>
            </w:r>
          </w:p>
        </w:tc>
        <w:tc>
          <w:tcPr>
            <w:tcW w:w="1276"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ascii="宋体"/>
                <w:kern w:val="0"/>
                <w:sz w:val="24"/>
                <w:szCs w:val="24"/>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曲靖市坤润环保科技有限公司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6CBE06D0">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项目总占地面积为12537.54m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设计生产能力为年产3万吨高精铝合金，产品为吸尘器配件（吸尘器管等）、警用器具（警棍部件等）、医疗器材（升降床连杆等）、电子元件（散热器/散热片）、行李箱（拉杆等）、摩托及汽车配件（轮毂）等。</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工程内容主要包括：</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氧化（染色）车间、烤漆车间、CNC加工中心（含喷砂）、组装车间、仓库、废气处理设施、废水收集设施，办公楼、员工宿舍依托一期已建设施。</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6AD1242C">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E46DE40">
            <w:pPr>
              <w:pStyle w:val="2"/>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一、施工期</w:t>
            </w:r>
          </w:p>
          <w:p w14:paraId="4D34224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施工期环境影响主要包括施工期扬尘、施工机械废气及焊接烟尘影响；施工废水、施工人员生活污水及雨天径流的影响；施工机械噪声及</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过程</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噪声</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的影响；</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施工期建筑垃圾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生活垃圾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及土石方影响。</w:t>
            </w:r>
          </w:p>
          <w:p w14:paraId="23AE062C">
            <w:pPr>
              <w:pStyle w:val="2"/>
              <w:keepNext w:val="0"/>
              <w:keepLines w:val="0"/>
              <w:pageBreakBefore w:val="0"/>
              <w:widowControl w:val="0"/>
              <w:numPr>
                <w:ilvl w:val="0"/>
                <w:numId w:val="1"/>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运营期</w:t>
            </w:r>
          </w:p>
          <w:p w14:paraId="3B78BBB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主要包括CNC加工废气（挥发性有机物），焊接、打磨、喷砂粉尘，阳极氧化酸雾（硫酸雾、氮氧化物）、烤漆喷漆废气、纸箱印刷废气、吸塑废气、燃气蒸汽锅炉废气影响；阳极氧化自动线、手动线废水、燃气蒸汽锅炉定排水、纯水制备浓水、碱洗塔废水、生活污水、初期雨水的影响；生产设备、</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泵类、风机等</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产生的噪声影响；生活垃圾</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废矿物油、</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阳极氧化槽渣</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废油漆桶漆渣</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废活性炭</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、碱洗塔固废、</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废切削液</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废化学品包装桶</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、铝合金边角料、铝削、不合格铝合金件、</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纸板、</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废塑料</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、布袋除尘灰、喷砂固废（废尼龙砂及粉尘）、废离子交换树脂等产生的影响；项目运行过程地下水土壤环境的影响；</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硫酸储罐区、</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硝酸储罐区、</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阳极氧化线</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（氧化槽）</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、危废暂存间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存在的环境风险影响。</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4C640AA5">
            <w:pPr>
              <w:pStyle w:val="3"/>
              <w:keepNext w:val="0"/>
              <w:keepLines w:val="0"/>
              <w:pageBreakBefore w:val="0"/>
              <w:widowControl w:val="0"/>
              <w:numPr>
                <w:ilvl w:val="0"/>
                <w:numId w:val="2"/>
              </w:numPr>
              <w:kinsoku/>
              <w:wordWrap/>
              <w:overflowPunct/>
              <w:topLinePunct w:val="0"/>
              <w:bidi w:val="0"/>
              <w:snapToGrid/>
              <w:spacing w:line="360" w:lineRule="exact"/>
              <w:textAlignment w:val="auto"/>
              <w:rPr>
                <w:rFonts w:hint="eastAsia"/>
                <w:b/>
                <w:bCs/>
                <w:lang w:val="en-US" w:eastAsia="zh-CN"/>
              </w:rPr>
            </w:pPr>
            <w:r>
              <w:rPr>
                <w:rFonts w:hint="eastAsia"/>
                <w:b/>
                <w:bCs/>
                <w:lang w:val="en-US" w:eastAsia="zh-CN"/>
              </w:rPr>
              <w:t>施工期污染物治理措施</w:t>
            </w:r>
          </w:p>
          <w:p w14:paraId="16A0F9A8">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bookmarkStart w:id="0" w:name="_Toc31182"/>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1.废气污染防治措施</w:t>
            </w:r>
            <w:bookmarkEnd w:id="0"/>
          </w:p>
          <w:p w14:paraId="14C5240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厂房外施工区域和场内道路经常洒水保持场地表土湿润；厂房外堆放物料应采取防尘苫布遮盖等措施；施工建设物料需采用密闭运输；车辆运输时应限速行驶、及时进行清洗；保持路面清洁</w:t>
            </w:r>
            <w:bookmarkStart w:id="1" w:name="_Toc12824"/>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；加强厂房通风。</w:t>
            </w:r>
          </w:p>
          <w:p w14:paraId="7F1BBE21">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2.废水污染防治措施</w:t>
            </w:r>
            <w:bookmarkEnd w:id="1"/>
          </w:p>
          <w:p w14:paraId="6FC6442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优先建设营运期废水收集池，施工废水收集沉淀后用作项目施工场地洒水降尘，不外排。</w:t>
            </w:r>
          </w:p>
          <w:p w14:paraId="41166EE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生活污水由建设单位现有公厕（配套25m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化粪池）收集处理后排至园区污水处理厂进一步处理。雨天径流废水由现有初期雨水收集池（200m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）收集处理。</w:t>
            </w:r>
          </w:p>
          <w:p w14:paraId="463A72B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bookmarkStart w:id="2" w:name="_Toc12748"/>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3.噪声污染防治措施</w:t>
            </w:r>
            <w:bookmarkEnd w:id="2"/>
          </w:p>
          <w:p w14:paraId="6A47A03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禁止在</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12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时至</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14</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时、</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时至次日</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6</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时进行建筑施工作业；制定施工计划时，应尽量避免同时使用大量高噪声设备施工。采取选用低噪声设备、文明施工等措施，尽量避免扰民情况发生。闲置不用的设备应立即关闭，运输车辆进入现场应减速，并减少鸣笛。</w:t>
            </w:r>
          </w:p>
          <w:p w14:paraId="2C450961">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bookmarkStart w:id="3" w:name="_Toc17642"/>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4.固体废物处置措施</w:t>
            </w:r>
            <w:bookmarkEnd w:id="3"/>
          </w:p>
          <w:p w14:paraId="32D2B01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土方即挖即用，用于基础回填和厂区内绿化覆土。建筑垃圾分类收集，可回收利用的外售当地资源回收单位；不可回收部分则由施工单位按照城市建筑垃圾管理办法的要求，及时清运至当地建筑垃圾消纳场。生活垃圾收集至建设单位生活垃圾收集桶，委托当地环卫部门定期清运。</w:t>
            </w:r>
          </w:p>
          <w:p w14:paraId="73D3203D">
            <w:pPr>
              <w:pStyle w:val="3"/>
              <w:keepNext w:val="0"/>
              <w:keepLines w:val="0"/>
              <w:pageBreakBefore w:val="0"/>
              <w:widowControl w:val="0"/>
              <w:kinsoku/>
              <w:wordWrap/>
              <w:overflowPunct/>
              <w:topLinePunct w:val="0"/>
              <w:bidi w:val="0"/>
              <w:snapToGrid/>
              <w:spacing w:line="360" w:lineRule="auto"/>
              <w:textAlignment w:val="auto"/>
              <w:rPr>
                <w:rFonts w:hint="eastAsia"/>
                <w:b/>
                <w:bCs/>
                <w:lang w:val="en-US" w:eastAsia="zh-CN"/>
              </w:rPr>
            </w:pPr>
            <w:r>
              <w:rPr>
                <w:rFonts w:hint="eastAsia"/>
                <w:b/>
                <w:bCs/>
                <w:lang w:val="en-US" w:eastAsia="zh-CN"/>
              </w:rPr>
              <w:t>二、运营期污染物治理措施</w:t>
            </w:r>
          </w:p>
          <w:p w14:paraId="097BECF8">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3"/>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1.</w:t>
            </w:r>
            <w:r>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t>大气污染防治措施</w:t>
            </w:r>
          </w:p>
          <w:p w14:paraId="78B32E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CNC切削废气采用集气罩收集后经20米高排气筒排放（DA009）。焊接工序产生的颗粒物由集气罩收集至移动式焊烟机净化器（布袋除尘器）收集处理后经20米高排气筒排放（DA010）。喷砂设备密闭，喷砂产生的颗粒物由集气罩收集至布袋除尘器处理，打磨工艺设置集气罩，粉尘经收集后进入布袋除尘器（与喷砂共用）处理后由20米高排气筒排放（DA011）。化学抛光槽和</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氧化</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槽加盖密闭</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硫酸雾收集后汇集到一座二级碱液喷淋塔处理后经高20m排气筒达标排放（DA012）。喷漆房和烘干道密闭，喷漆废气收集后利用后置风机的引力由风管输送到布袋除尘器（</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聚四氟乙烯（PTFE）覆膜</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经过预处理后的有机废气再进入二级活性炭箱吸附去除挥发性有机物（非甲烷总烃），最后通过高20m排气筒达标排放（DA013）。托盘成型废气由半包围集气罩（软帘）负压收集，通过二级活性炭吸附处理后经20m高排气筒排放（DA014）。印刷机密闭，印刷废气经收集后通过20m高排气筒达标排放（DA015）。燃烧废气通过风机由20m高排气筒排放（DA016）。</w:t>
            </w:r>
          </w:p>
          <w:p w14:paraId="03818C38">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3"/>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2.废水</w:t>
            </w:r>
            <w:r>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t>污染防治措施</w:t>
            </w:r>
          </w:p>
          <w:p w14:paraId="69C9A7D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项目利用已建厂房安装设备进行建设，已建厂房已经建设完成雨污分流系统，设置有容积200m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的初期雨水收集池，本项目不再计算初期雨水，本项目初期雨水依托一期已建设施及排放口。酸碱废水分别收集进入场内收集池（酸碱收集池分开设置，不混合），酸性废水经收集后由新设置的酸性排放口DW004排入工业园区酸性专管后进入工业园区污水处理厂处理；碱性废水经收集后由新设置的碱性排放口DW005排入工业园区酸性专管后进入工业园区污水处理厂处理。项目办公生活区依托一期，</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生活污水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由建设单位现有隔油池（2m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）+化粪池（25m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收集</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处理后经现有生活污水排放口（DW002）排入工业大道侧园区污水收集管网进入白水片区污水处理厂处理。</w:t>
            </w:r>
          </w:p>
          <w:p w14:paraId="58C12388">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3"/>
              <w:rPr>
                <w:rFonts w:hint="default" w:ascii="Times New Roman" w:hAnsi="Times New Roman" w:eastAsia="宋体" w:cs="Times New Roman"/>
                <w:b/>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3.噪声污染防治措施</w:t>
            </w:r>
          </w:p>
          <w:p w14:paraId="60DC44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产噪设备设置在厂房内；选用低噪声设备，合理布置产噪设备，高噪声设备设置在厂区中间位置，与厂界保持一定距离；加强厂区管理、规范操作，及时对设备进行检修，确保设备处于良好的运行状态，避免因设备未正常运转而产生高噪声现象，并及时加固设备支架。</w:t>
            </w:r>
          </w:p>
          <w:p w14:paraId="2876C968">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3"/>
              <w:rPr>
                <w:rFonts w:hint="default" w:ascii="Times New Roman" w:hAnsi="Times New Roman" w:eastAsia="宋体" w:cs="Times New Roman"/>
                <w:b/>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4.固废污染防治措施</w:t>
            </w:r>
          </w:p>
          <w:p w14:paraId="7DE70F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生活垃圾由垃圾桶收集后清运至项目区附近生活垃圾清运点。</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废铝屑</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不合格铝合金产品</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废纸张</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废包装材料</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和</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废塑料</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暂存于厂内一般固废暂存间，收集后外售处理。</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布袋灰尘</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和</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废焊材暂存于厂内一般固废暂存间，收集后</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外售。废离子交换树脂收集后委托有资质单位处置。</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废润滑油</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阳极氧化槽渣</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、化抛槽液、</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废油漆桶</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和</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漆渣</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废活性炭</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废切削液</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废化学品包装桶</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、废碱渣</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收集后暂存于危险废物暂存间内，定期</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委托有</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危险废物经营许可证的单位处理</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。新建50m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危废暂存间，危废暂存间按照《</w:t>
            </w:r>
            <w:r>
              <w:rPr>
                <w:rFonts w:hint="eastAsia" w:ascii="Times New Roman" w:hAnsi="Times New Roman" w:eastAsia="方正仿宋_GB2312" w:cs="Times New Roman"/>
                <w:snapToGrid/>
                <w:color w:val="000000" w:themeColor="text1"/>
                <w:kern w:val="0"/>
                <w:sz w:val="24"/>
                <w:szCs w:val="24"/>
                <w:u w:val="none"/>
                <w:lang w:val="en-US" w:eastAsia="zh-CN" w:bidi="ar"/>
                <w14:textFill>
                  <w14:solidFill>
                    <w14:schemeClr w14:val="tx1"/>
                  </w14:solidFill>
                </w14:textFill>
              </w:rPr>
              <w:t>危险废物</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贮存污染控制标准》（GB18597-2023）相关要求设置；危废暂存间的防渗参照《环境影响评价技术导则－地下水环境》（HJ610-2016）中重点防渗区的防渗要求进行防渗设计。新建50m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一般固废暂存间，按照《一般工业固体废物贮存和填埋控制标准》（GB18599-2020）相关要求设置。一般固废暂存间的防渗参照《环境影响评价技术导则－地下水环境》（HJ610-2016）中一般防渗区的防渗要求进行防渗设计。</w:t>
            </w:r>
          </w:p>
          <w:p w14:paraId="66C1F93E">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3"/>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5.地下水及土壤污染防治措施</w:t>
            </w:r>
          </w:p>
          <w:p w14:paraId="5AF9CB4D">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200" w:right="0" w:rightChars="0"/>
              <w:jc w:val="lef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危废暂存间、阳极氧化车间、事故水池、废水收集池、磷酸暂存室、硫酸暂存室和硝</w:t>
            </w:r>
          </w:p>
          <w:p w14:paraId="151086FA">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jc w:val="lef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酸暂存室划分为重点防渗区；烤漆车间、一般固废暂存间划分为一般防渗区；其他区域划分为简单防渗区。对于重点防渗区，参照《环境影响评价技术导则－地下水环境》（HJ610-2016）中重点防渗区的防渗要求进行防渗设计，防渗层的防渗性能应等效于厚度≥6m，渗透系数≤1.0×10</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-7</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cm/s的黏土层的防渗性能。对于一般防渗区，参照《环境影响评价技术导则－地下水环境》（HJ610-2016）中一般防渗区的防渗要求进行防渗设计，防渗层的防渗性能应等效于厚度≥1.5m，渗透系数≤1.0×10</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-7</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cm/s的黏土层的防渗性能。对于简单防渗区，不采取专门针对地下水污染的防治措施，地面可采用一般硬化。项目区上下游各设置1个跟踪监测井。</w:t>
            </w:r>
          </w:p>
          <w:p w14:paraId="72E1DC6D">
            <w:pPr>
              <w:numPr>
                <w:ilvl w:val="0"/>
                <w:numId w:val="0"/>
              </w:numPr>
              <w:bidi w:val="0"/>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6.风险防范措施</w:t>
            </w:r>
          </w:p>
          <w:p w14:paraId="7B4312B9">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在贮罐和贮槽周围设计符合要求的围堰。围堰采用钢筋混凝土结构，直径根据储罐的具体尺寸确定；安装液位上限报警装置，按规程操作；安装防静电和防感应雷的接地装置，罐区内电气装置符合防火防爆要求；严格按照存储物料的理化性质保障贮存条件。敞开空间内的泄漏事故发生时，应首先查找泄漏源，及时修补容器或管道，以防污染物更多的泄漏。易挥发物料发生泄漏后，应对扩散至大气中的污染物采用洗消等措施，减小对环境空气的影响。</w:t>
            </w:r>
          </w:p>
          <w:p w14:paraId="092FF4D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火灾、爆炸等事故发生时，应使用水、干粉或二氧化碳灭火器扑救。同时对扩散至空气中的未燃烧物、烟尘等污染物进行洗消，以减小对环境空气的影响。设置100m</w:t>
            </w:r>
            <w:r>
              <w:rPr>
                <w:rFonts w:hint="eastAsia"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3</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事故池。企业按事故池设计能够满足事故时污水储存要求。一旦发生泄漏事故，污染物可在储罐区围堰范围内接收，超过容量部分可泵入厂内事故池，不向外排放，不会对保护目标产生影响。做好分区防渗。按照《环境影响评价技术导则地下水环境》（</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HJ610-2016</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的要求做好分区防控，一般情况下应以水平防渗为主，对难以采取水平防渗的场地，可采用垂直防渗为主，局部水平防渗为辅的防控措施。加强环境管理。加强厂区巡检，对跑冒滴漏做到及时发现、及时控制；做好厂区储罐区等地面防渗的管理，防渗层破裂后及时补救、更换。制定事故应急减缓措施，首先控制污染源、切断泄漏途径，其次，对受污染的地下水根据污染物种类、受污染场地地质构造等因素，采取抽提技术、气提技术、空气吹脱技术、生物修复技术、渗透反应墙技术、原位化学修复等进行修复。</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30ABFA">
        <w:tblPrEx>
          <w:tblCellMar>
            <w:top w:w="0" w:type="dxa"/>
            <w:left w:w="108" w:type="dxa"/>
            <w:bottom w:w="0" w:type="dxa"/>
            <w:right w:w="108" w:type="dxa"/>
          </w:tblCellMar>
        </w:tblPrEx>
        <w:trPr>
          <w:trHeight w:val="449"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FEEC31F">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auto"/>
            </w:pP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202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4</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月</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21</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日</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，建设单位</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在</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“曲靖珠江网”</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进行第一次网络公示。建设单位于202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月1</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4</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日，在</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“曲靖珠江网”</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进行第二次网络公示。建设单位分别于202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月</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23</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日、202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月</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27</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日在</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“云南信息报”</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对本项目环境影响报告书征求意见稿信息进行了两次报纸公示。在征求意见稿公示期间，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建设单位在白水镇白水社区居民委员会公告栏</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进行粘贴公示，主动联系了项目所在的</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居民委员会</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工作人员，全面征求政府机关及公众对本项目建设的意见及建议。202</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6年7月10日，建设单位在“曲靖珠江网”进行了报批前公示。公示期间未收到公众反馈意见。</w:t>
            </w:r>
          </w:p>
        </w:tc>
      </w:tr>
      <w:tr w14:paraId="44773E70">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2EFC629B">
            <w:pPr>
              <w:pStyle w:val="2"/>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同意公开的情况说明。</w:t>
            </w:r>
          </w:p>
        </w:tc>
      </w:tr>
      <w:tr w14:paraId="3D890382">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06A54C2A">
            <w:pPr>
              <w:widowControl/>
              <w:spacing w:line="280" w:lineRule="exact"/>
              <w:jc w:val="left"/>
              <w:rPr>
                <w:rFonts w:ascii="宋体"/>
                <w:kern w:val="0"/>
                <w:sz w:val="24"/>
                <w:szCs w:val="24"/>
              </w:rPr>
            </w:pPr>
            <w:r>
              <w:rPr>
                <w:rFonts w:hint="eastAsia" w:ascii="宋体" w:hAnsi="宋体"/>
                <w:kern w:val="0"/>
                <w:sz w:val="24"/>
                <w:szCs w:val="24"/>
              </w:rPr>
              <w:t>注</w:t>
            </w:r>
            <w:r>
              <w:rPr>
                <w:rFonts w:hint="eastAsia" w:ascii="宋体" w:hAnsi="宋体"/>
                <w:kern w:val="0"/>
                <w:sz w:val="24"/>
                <w:szCs w:val="24"/>
                <w:lang w:eastAsia="zh-CN"/>
              </w:rPr>
              <w:t>：</w:t>
            </w:r>
            <w:r>
              <w:rPr>
                <w:rFonts w:hint="eastAsia" w:ascii="宋体" w:hAnsi="宋体"/>
                <w:kern w:val="0"/>
                <w:sz w:val="24"/>
                <w:szCs w:val="24"/>
              </w:rPr>
              <w:t>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69E413F3">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B9F7DDF9-12D0-4F1C-BCE6-77B36FAE9F5E}"/>
  </w:font>
  <w:font w:name="华文仿宋">
    <w:panose1 w:val="02010600040101010101"/>
    <w:charset w:val="86"/>
    <w:family w:val="auto"/>
    <w:pitch w:val="default"/>
    <w:sig w:usb0="00000287" w:usb1="080F0000" w:usb2="00000000" w:usb3="00000000" w:csb0="0004009F" w:csb1="DFD70000"/>
    <w:embedRegular r:id="rId2" w:fontKey="{F82A5195-D442-4875-B680-CD6330A74706}"/>
  </w:font>
  <w:font w:name="WPSEMBED1">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PSEMBED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B5A00"/>
    <w:multiLevelType w:val="singleLevel"/>
    <w:tmpl w:val="933B5A00"/>
    <w:lvl w:ilvl="0" w:tentative="0">
      <w:start w:val="2"/>
      <w:numFmt w:val="chineseCounting"/>
      <w:suff w:val="nothing"/>
      <w:lvlText w:val="%1、"/>
      <w:lvlJc w:val="left"/>
      <w:rPr>
        <w:rFonts w:hint="eastAsia"/>
      </w:rPr>
    </w:lvl>
  </w:abstractNum>
  <w:abstractNum w:abstractNumId="1">
    <w:nsid w:val="66DCFFAC"/>
    <w:multiLevelType w:val="singleLevel"/>
    <w:tmpl w:val="66DCFF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0870623F"/>
    <w:rsid w:val="0E7539A2"/>
    <w:rsid w:val="13B34670"/>
    <w:rsid w:val="17FC2877"/>
    <w:rsid w:val="1A3C46BC"/>
    <w:rsid w:val="1B020E5E"/>
    <w:rsid w:val="1C8733A0"/>
    <w:rsid w:val="201D4921"/>
    <w:rsid w:val="20547DB6"/>
    <w:rsid w:val="21602F6F"/>
    <w:rsid w:val="22862C6A"/>
    <w:rsid w:val="245D4345"/>
    <w:rsid w:val="24694EB2"/>
    <w:rsid w:val="25502092"/>
    <w:rsid w:val="292F552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26C2071"/>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36746F1"/>
    <w:rsid w:val="54752240"/>
    <w:rsid w:val="555D267C"/>
    <w:rsid w:val="5653575C"/>
    <w:rsid w:val="577942AD"/>
    <w:rsid w:val="57974543"/>
    <w:rsid w:val="58FF0EBE"/>
    <w:rsid w:val="5998453C"/>
    <w:rsid w:val="5A834766"/>
    <w:rsid w:val="5BED57C7"/>
    <w:rsid w:val="5D2E69AB"/>
    <w:rsid w:val="5DCC4393"/>
    <w:rsid w:val="5E951367"/>
    <w:rsid w:val="5F257633"/>
    <w:rsid w:val="60EA0DC0"/>
    <w:rsid w:val="614E3CA3"/>
    <w:rsid w:val="625A1504"/>
    <w:rsid w:val="64CE0A00"/>
    <w:rsid w:val="66336F03"/>
    <w:rsid w:val="66B00A67"/>
    <w:rsid w:val="6AB93F9D"/>
    <w:rsid w:val="6BBD6D80"/>
    <w:rsid w:val="6C8A7DA4"/>
    <w:rsid w:val="714078D6"/>
    <w:rsid w:val="715F713D"/>
    <w:rsid w:val="747E39E9"/>
    <w:rsid w:val="74857523"/>
    <w:rsid w:val="77533B6A"/>
    <w:rsid w:val="78CD4DAD"/>
    <w:rsid w:val="79377A43"/>
    <w:rsid w:val="79CC62C5"/>
    <w:rsid w:val="79EF4D86"/>
    <w:rsid w:val="7A184FF5"/>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5">
    <w:name w:val="heading 2"/>
    <w:basedOn w:val="1"/>
    <w:next w:val="1"/>
    <w:link w:val="25"/>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6">
    <w:name w:val="heading 3"/>
    <w:basedOn w:val="1"/>
    <w:next w:val="1"/>
    <w:link w:val="20"/>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7">
    <w:name w:val="heading 4"/>
    <w:basedOn w:val="1"/>
    <w:next w:val="1"/>
    <w:link w:val="23"/>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snapToGrid w:val="0"/>
      <w:kern w:val="0"/>
      <w:szCs w:val="20"/>
    </w:rPr>
  </w:style>
  <w:style w:type="paragraph" w:customStyle="1" w:styleId="3">
    <w:name w:val="Default"/>
    <w:basedOn w:val="4"/>
    <w:next w:val="1"/>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4">
    <w:name w:val="纯文本1"/>
    <w:basedOn w:val="1"/>
    <w:qFormat/>
    <w:uiPriority w:val="0"/>
    <w:pPr>
      <w:suppressAutoHyphens/>
    </w:pPr>
    <w:rPr>
      <w:rFonts w:ascii="宋体" w:hAnsi="宋体" w:eastAsia="宋体" w:cs="Times New Roman"/>
      <w:kern w:val="1"/>
      <w:sz w:val="28"/>
      <w:lang w:eastAsia="ar-SA"/>
    </w:rPr>
  </w:style>
  <w:style w:type="paragraph" w:styleId="8">
    <w:name w:val="Normal Indent"/>
    <w:basedOn w:val="1"/>
    <w:next w:val="1"/>
    <w:qFormat/>
    <w:uiPriority w:val="0"/>
    <w:pPr>
      <w:spacing w:line="240" w:lineRule="auto"/>
      <w:ind w:firstLine="0" w:firstLineChars="0"/>
      <w:jc w:val="center"/>
    </w:pPr>
    <w:rPr>
      <w:rFonts w:ascii="Times New Roman" w:hAnsi="Times New Roman" w:eastAsia="宋体"/>
      <w:sz w:val="21"/>
    </w:rPr>
  </w:style>
  <w:style w:type="paragraph" w:styleId="9">
    <w:name w:val="Body Text"/>
    <w:basedOn w:val="10"/>
    <w:next w:val="10"/>
    <w:qFormat/>
    <w:uiPriority w:val="1"/>
    <w:rPr>
      <w:sz w:val="24"/>
      <w:szCs w:val="24"/>
    </w:rPr>
  </w:style>
  <w:style w:type="paragraph" w:styleId="10">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11">
    <w:name w:val="footer"/>
    <w:basedOn w:val="1"/>
    <w:link w:val="24"/>
    <w:qFormat/>
    <w:uiPriority w:val="0"/>
    <w:pPr>
      <w:tabs>
        <w:tab w:val="center" w:pos="4153"/>
        <w:tab w:val="right" w:pos="8306"/>
      </w:tabs>
      <w:snapToGrid w:val="0"/>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jc w:val="left"/>
    </w:pPr>
    <w:rPr>
      <w:rFonts w:eastAsia="宋体"/>
      <w:kern w:val="0"/>
      <w:sz w:val="24"/>
    </w:rPr>
  </w:style>
  <w:style w:type="character" w:styleId="16">
    <w:name w:val="Strong"/>
    <w:basedOn w:val="15"/>
    <w:qFormat/>
    <w:uiPriority w:val="0"/>
    <w:rPr>
      <w:b/>
    </w:rPr>
  </w:style>
  <w:style w:type="character" w:styleId="17">
    <w:name w:val="annotation reference"/>
    <w:basedOn w:val="15"/>
    <w:qFormat/>
    <w:uiPriority w:val="0"/>
    <w:rPr>
      <w:sz w:val="21"/>
      <w:szCs w:val="21"/>
    </w:rPr>
  </w:style>
  <w:style w:type="paragraph" w:customStyle="1" w:styleId="18">
    <w:name w:val="Normal Indent1"/>
    <w:basedOn w:val="1"/>
    <w:next w:val="1"/>
    <w:qFormat/>
    <w:uiPriority w:val="99"/>
    <w:pPr>
      <w:ind w:firstLine="420"/>
    </w:pPr>
  </w:style>
  <w:style w:type="paragraph" w:customStyle="1" w:styleId="19">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20">
    <w:name w:val="标题 3 字符"/>
    <w:link w:val="6"/>
    <w:qFormat/>
    <w:uiPriority w:val="0"/>
    <w:rPr>
      <w:rFonts w:eastAsia="楷体_GB2312"/>
      <w:b/>
      <w:bCs/>
      <w:color w:val="000000"/>
      <w:kern w:val="2"/>
      <w:sz w:val="28"/>
      <w:szCs w:val="28"/>
    </w:rPr>
  </w:style>
  <w:style w:type="character" w:customStyle="1" w:styleId="21">
    <w:name w:val="标题 3 Char"/>
    <w:semiHidden/>
    <w:qFormat/>
    <w:uiPriority w:val="0"/>
    <w:rPr>
      <w:rFonts w:ascii="Calibri" w:hAnsi="Calibri" w:eastAsia="方正仿宋_GBK"/>
      <w:b/>
      <w:bCs/>
      <w:kern w:val="32"/>
      <w:sz w:val="32"/>
      <w:szCs w:val="32"/>
    </w:rPr>
  </w:style>
  <w:style w:type="character" w:customStyle="1" w:styleId="22">
    <w:name w:val="页眉 字符"/>
    <w:link w:val="12"/>
    <w:qFormat/>
    <w:uiPriority w:val="0"/>
    <w:rPr>
      <w:rFonts w:ascii="Calibri" w:hAnsi="Calibri" w:eastAsia="方正仿宋_GBK"/>
      <w:kern w:val="32"/>
      <w:sz w:val="18"/>
      <w:szCs w:val="18"/>
    </w:rPr>
  </w:style>
  <w:style w:type="character" w:customStyle="1" w:styleId="23">
    <w:name w:val="标题 4 字符"/>
    <w:link w:val="7"/>
    <w:qFormat/>
    <w:uiPriority w:val="0"/>
    <w:rPr>
      <w:rFonts w:ascii="Arial" w:hAnsi="Arial" w:eastAsia="黑体"/>
      <w:b/>
      <w:bCs/>
      <w:kern w:val="2"/>
      <w:sz w:val="28"/>
      <w:szCs w:val="28"/>
    </w:rPr>
  </w:style>
  <w:style w:type="character" w:customStyle="1" w:styleId="24">
    <w:name w:val="页脚 字符"/>
    <w:link w:val="11"/>
    <w:qFormat/>
    <w:uiPriority w:val="0"/>
    <w:rPr>
      <w:rFonts w:ascii="Calibri" w:hAnsi="Calibri" w:eastAsia="方正仿宋_GBK"/>
      <w:kern w:val="32"/>
      <w:sz w:val="18"/>
      <w:szCs w:val="18"/>
    </w:rPr>
  </w:style>
  <w:style w:type="character" w:customStyle="1" w:styleId="25">
    <w:name w:val="标题 2 字符"/>
    <w:link w:val="5"/>
    <w:qFormat/>
    <w:uiPriority w:val="0"/>
    <w:rPr>
      <w:rFonts w:eastAsia="宋体"/>
      <w:b/>
      <w:sz w:val="24"/>
      <w:szCs w:val="24"/>
    </w:rPr>
  </w:style>
  <w:style w:type="character" w:customStyle="1" w:styleId="26">
    <w:name w:val="标题 4 Char"/>
    <w:semiHidden/>
    <w:qFormat/>
    <w:uiPriority w:val="0"/>
    <w:rPr>
      <w:rFonts w:ascii="Cambria" w:hAnsi="Cambria" w:eastAsia="宋体" w:cs="Times New Roman"/>
      <w:b/>
      <w:bCs/>
      <w:kern w:val="32"/>
      <w:sz w:val="28"/>
      <w:szCs w:val="28"/>
    </w:rPr>
  </w:style>
  <w:style w:type="character" w:customStyle="1" w:styleId="27">
    <w:name w:val="正文 旺源文字段落 Char"/>
    <w:link w:val="28"/>
    <w:qFormat/>
    <w:uiPriority w:val="0"/>
    <w:rPr>
      <w:rFonts w:ascii="宋体" w:hAnsi="宋体" w:cs="宋体"/>
      <w:kern w:val="24"/>
      <w:sz w:val="24"/>
      <w:szCs w:val="24"/>
    </w:rPr>
  </w:style>
  <w:style w:type="paragraph" w:customStyle="1" w:styleId="28">
    <w:name w:val="正文 旺源文字段落"/>
    <w:basedOn w:val="1"/>
    <w:link w:val="27"/>
    <w:qFormat/>
    <w:uiPriority w:val="0"/>
    <w:pPr>
      <w:spacing w:line="500" w:lineRule="exact"/>
      <w:ind w:firstLine="420"/>
    </w:pPr>
    <w:rPr>
      <w:rFonts w:ascii="宋体" w:hAnsi="宋体" w:eastAsia="宋体"/>
      <w:kern w:val="24"/>
      <w:sz w:val="24"/>
      <w:szCs w:val="24"/>
    </w:rPr>
  </w:style>
  <w:style w:type="paragraph" w:customStyle="1" w:styleId="29">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30">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 w:type="paragraph" w:customStyle="1" w:styleId="32">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3">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4">
    <w:name w:val="【正文】"/>
    <w:basedOn w:val="1"/>
    <w:qFormat/>
    <w:uiPriority w:val="0"/>
    <w:rPr>
      <w:rFonts w:cs="宋体"/>
    </w:rPr>
  </w:style>
  <w:style w:type="paragraph" w:customStyle="1" w:styleId="35">
    <w:name w:val="表格"/>
    <w:basedOn w:val="8"/>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3970</Words>
  <Characters>4220</Characters>
  <Lines>97</Lines>
  <Paragraphs>85</Paragraphs>
  <TotalTime>11</TotalTime>
  <ScaleCrop>false</ScaleCrop>
  <LinksUpToDate>false</LinksUpToDate>
  <CharactersWithSpaces>4222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2026-08-03T09:32:48Z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1E74DB3EF21049D3A377FC858026385B_13</vt:lpwstr>
  </property>
  <property fmtid="{D5CDD505-2E9C-101B-9397-08002B2CF9AE}" pid="4" name="KSOTemplateDocerSaveRecord">
    <vt:lpwstr>eyJoZGlkIjoiYTA0OTFiNTllN2E3YTc2MDc5ZTIwYTg0ZjFlZjFlMWQiLCJ1c2VySWQiOiIzNzMyMDUyODEifQ==</vt:lpwstr>
  </property>
</Properties>
</file>